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0FC" w:rsidRDefault="00486165">
      <w:pPr>
        <w:pStyle w:val="BodyText"/>
        <w:spacing w:line="44" w:lineRule="exact"/>
        <w:ind w:left="93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030" style="width:467.55pt;height:2.2pt;mso-position-horizontal-relative:char;mso-position-vertical-relative:line" coordsize="9351,44">
            <v:line id="_x0000_s1031" style="position:absolute" from="0,22" to="9350,22" strokeweight="2.16pt"/>
            <w10:anchorlock/>
          </v:group>
        </w:pict>
      </w:r>
    </w:p>
    <w:p w:rsidR="00C810FC" w:rsidRDefault="00486165">
      <w:pPr>
        <w:pStyle w:val="BodyText"/>
        <w:spacing w:before="5"/>
        <w:rPr>
          <w:sz w:val="9"/>
        </w:rPr>
      </w:pPr>
      <w:r>
        <w:pict>
          <v:line id="_x0000_s1029" style="position:absolute;z-index:-251659264;mso-wrap-distance-left:0;mso-wrap-distance-right:0;mso-position-horizontal-relative:page" from="71.75pt,7.9pt" to="539.3pt,7.9pt" strokeweight=".96pt">
            <w10:wrap type="topAndBottom" anchorx="page"/>
          </v:line>
        </w:pict>
      </w:r>
    </w:p>
    <w:p w:rsidR="00C810FC" w:rsidRDefault="00B1620D">
      <w:pPr>
        <w:spacing w:before="93" w:after="119"/>
        <w:ind w:left="3370" w:right="3548"/>
        <w:jc w:val="center"/>
        <w:rPr>
          <w:b/>
          <w:sz w:val="28"/>
        </w:rPr>
      </w:pPr>
      <w:r>
        <w:rPr>
          <w:b/>
          <w:sz w:val="28"/>
        </w:rPr>
        <w:t>2019 Editorial Changes</w:t>
      </w:r>
      <w:r w:rsidR="00486165">
        <w:rPr>
          <w:b/>
          <w:sz w:val="28"/>
        </w:rPr>
        <w:t xml:space="preserve"> </w:t>
      </w:r>
      <w:bookmarkStart w:id="0" w:name="_GoBack"/>
      <w:bookmarkEnd w:id="0"/>
    </w:p>
    <w:p w:rsidR="00C810FC" w:rsidRDefault="00486165">
      <w:pPr>
        <w:pStyle w:val="BodyText"/>
        <w:spacing w:line="20" w:lineRule="exact"/>
        <w:ind w:left="9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468.25pt;height:1pt;mso-position-horizontal-relative:char;mso-position-vertical-relative:line" coordsize="9365,20">
            <v:line id="_x0000_s1028" style="position:absolute" from="0,10" to="9365,10" strokeweight=".96pt"/>
            <w10:anchorlock/>
          </v:group>
        </w:pict>
      </w:r>
    </w:p>
    <w:p w:rsidR="00C810FC" w:rsidRDefault="00C810FC">
      <w:pPr>
        <w:pStyle w:val="BodyText"/>
        <w:spacing w:before="8"/>
        <w:rPr>
          <w:b/>
          <w:sz w:val="12"/>
        </w:rPr>
      </w:pPr>
    </w:p>
    <w:p w:rsidR="00C810FC" w:rsidRDefault="00B1620D">
      <w:pPr>
        <w:pStyle w:val="BodyText"/>
        <w:spacing w:before="92"/>
        <w:ind w:left="120" w:right="277"/>
        <w:jc w:val="both"/>
      </w:pPr>
      <w:r>
        <w:t>The following items were deemed editorial in nature based on the following criteria: 1) the modified text did not change the meaning or procedure outlined, 2) modified text corrected an omission or clarified how the</w:t>
      </w:r>
      <w:r>
        <w:rPr>
          <w:spacing w:val="-5"/>
        </w:rPr>
        <w:t xml:space="preserve"> </w:t>
      </w:r>
      <w:r>
        <w:t>text</w:t>
      </w:r>
      <w:r>
        <w:rPr>
          <w:spacing w:val="-5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written,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3)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item</w:t>
      </w:r>
      <w:r>
        <w:rPr>
          <w:spacing w:val="-5"/>
        </w:rPr>
        <w:t xml:space="preserve"> </w:t>
      </w:r>
      <w:r>
        <w:t>itself</w:t>
      </w:r>
      <w:r>
        <w:rPr>
          <w:spacing w:val="-3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reformatted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relocated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text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organization of the content more</w:t>
      </w:r>
      <w:r>
        <w:rPr>
          <w:spacing w:val="3"/>
        </w:rPr>
        <w:t xml:space="preserve"> </w:t>
      </w:r>
      <w:r>
        <w:t>meaningful.</w:t>
      </w:r>
    </w:p>
    <w:p w:rsidR="00C810FC" w:rsidRDefault="00C810FC">
      <w:pPr>
        <w:pStyle w:val="BodyText"/>
        <w:spacing w:before="11"/>
        <w:rPr>
          <w:sz w:val="20"/>
        </w:rPr>
      </w:pPr>
    </w:p>
    <w:p w:rsidR="00C810FC" w:rsidRDefault="00B1620D">
      <w:pPr>
        <w:ind w:left="120" w:right="275"/>
        <w:jc w:val="both"/>
      </w:pPr>
      <w:r>
        <w:rPr>
          <w:b/>
        </w:rPr>
        <w:t xml:space="preserve">Note: </w:t>
      </w:r>
      <w:r>
        <w:t xml:space="preserve">For the purposes of this table, the </w:t>
      </w:r>
      <w:r>
        <w:rPr>
          <w:b/>
        </w:rPr>
        <w:t xml:space="preserve">bold, </w:t>
      </w:r>
      <w:r>
        <w:rPr>
          <w:b/>
          <w:u w:val="thick"/>
        </w:rPr>
        <w:t>underscored</w:t>
      </w:r>
      <w:r>
        <w:rPr>
          <w:b/>
        </w:rPr>
        <w:t xml:space="preserve"> </w:t>
      </w:r>
      <w:r>
        <w:t xml:space="preserve">text indicates new language added and </w:t>
      </w:r>
      <w:r>
        <w:rPr>
          <w:b/>
        </w:rPr>
        <w:t xml:space="preserve">bold, </w:t>
      </w:r>
      <w:r>
        <w:rPr>
          <w:b/>
          <w:strike/>
        </w:rPr>
        <w:t>strikeout</w:t>
      </w:r>
      <w:r>
        <w:rPr>
          <w:b/>
        </w:rPr>
        <w:t xml:space="preserve"> </w:t>
      </w:r>
      <w:r>
        <w:t>text indicates deleted text.</w:t>
      </w:r>
    </w:p>
    <w:p w:rsidR="00C810FC" w:rsidRDefault="00C810FC">
      <w:pPr>
        <w:pStyle w:val="BodyText"/>
        <w:spacing w:before="7"/>
        <w:rPr>
          <w:sz w:val="21"/>
        </w:rPr>
      </w:pPr>
    </w:p>
    <w:tbl>
      <w:tblPr>
        <w:tblW w:w="0" w:type="auto"/>
        <w:tblInd w:w="14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7"/>
        <w:gridCol w:w="2518"/>
        <w:gridCol w:w="2969"/>
        <w:gridCol w:w="1428"/>
      </w:tblGrid>
      <w:tr w:rsidR="00C810FC">
        <w:trPr>
          <w:trHeight w:val="404"/>
        </w:trPr>
        <w:tc>
          <w:tcPr>
            <w:tcW w:w="2597" w:type="dxa"/>
            <w:tcBorders>
              <w:right w:val="single" w:sz="6" w:space="0" w:color="000000"/>
            </w:tcBorders>
          </w:tcPr>
          <w:p w:rsidR="00C810FC" w:rsidRDefault="00B1620D">
            <w:pPr>
              <w:pStyle w:val="TableParagraph"/>
              <w:spacing w:before="75"/>
              <w:ind w:left="877" w:right="874"/>
              <w:jc w:val="center"/>
              <w:rPr>
                <w:b/>
              </w:rPr>
            </w:pPr>
            <w:r>
              <w:rPr>
                <w:b/>
              </w:rPr>
              <w:t>Chapter</w:t>
            </w:r>
          </w:p>
        </w:tc>
        <w:tc>
          <w:tcPr>
            <w:tcW w:w="2518" w:type="dxa"/>
            <w:tcBorders>
              <w:left w:val="single" w:sz="6" w:space="0" w:color="000000"/>
              <w:right w:val="single" w:sz="6" w:space="0" w:color="000000"/>
            </w:tcBorders>
          </w:tcPr>
          <w:p w:rsidR="00C810FC" w:rsidRDefault="00B1620D">
            <w:pPr>
              <w:pStyle w:val="TableParagraph"/>
              <w:spacing w:before="75"/>
              <w:ind w:left="894" w:right="883"/>
              <w:jc w:val="center"/>
              <w:rPr>
                <w:b/>
              </w:rPr>
            </w:pPr>
            <w:r>
              <w:rPr>
                <w:b/>
              </w:rPr>
              <w:t>Section</w:t>
            </w:r>
          </w:p>
        </w:tc>
        <w:tc>
          <w:tcPr>
            <w:tcW w:w="2969" w:type="dxa"/>
            <w:tcBorders>
              <w:left w:val="single" w:sz="6" w:space="0" w:color="000000"/>
              <w:right w:val="single" w:sz="6" w:space="0" w:color="000000"/>
            </w:tcBorders>
          </w:tcPr>
          <w:p w:rsidR="00C810FC" w:rsidRDefault="00B1620D">
            <w:pPr>
              <w:pStyle w:val="TableParagraph"/>
              <w:spacing w:before="75"/>
              <w:ind w:left="1149" w:right="1141"/>
              <w:jc w:val="center"/>
              <w:rPr>
                <w:b/>
              </w:rPr>
            </w:pPr>
            <w:r>
              <w:rPr>
                <w:b/>
              </w:rPr>
              <w:t>Action</w:t>
            </w:r>
          </w:p>
        </w:tc>
        <w:tc>
          <w:tcPr>
            <w:tcW w:w="1428" w:type="dxa"/>
            <w:tcBorders>
              <w:left w:val="single" w:sz="6" w:space="0" w:color="000000"/>
            </w:tcBorders>
          </w:tcPr>
          <w:p w:rsidR="00C810FC" w:rsidRDefault="00B1620D">
            <w:pPr>
              <w:pStyle w:val="TableParagraph"/>
              <w:spacing w:before="75"/>
              <w:ind w:right="469"/>
              <w:jc w:val="right"/>
              <w:rPr>
                <w:b/>
              </w:rPr>
            </w:pPr>
            <w:r>
              <w:rPr>
                <w:b/>
              </w:rPr>
              <w:t>Page</w:t>
            </w:r>
          </w:p>
        </w:tc>
      </w:tr>
      <w:tr w:rsidR="00C810FC">
        <w:trPr>
          <w:trHeight w:val="364"/>
        </w:trPr>
        <w:tc>
          <w:tcPr>
            <w:tcW w:w="2597" w:type="dxa"/>
            <w:vMerge w:val="restart"/>
            <w:tcBorders>
              <w:bottom w:val="thinThickMediumGap" w:sz="12" w:space="0" w:color="000000"/>
              <w:right w:val="single" w:sz="4" w:space="0" w:color="000000"/>
            </w:tcBorders>
          </w:tcPr>
          <w:p w:rsidR="00C810FC" w:rsidRDefault="00C810FC">
            <w:pPr>
              <w:pStyle w:val="TableParagraph"/>
              <w:spacing w:before="0"/>
              <w:rPr>
                <w:sz w:val="24"/>
              </w:rPr>
            </w:pPr>
          </w:p>
          <w:p w:rsidR="00C810FC" w:rsidRDefault="00C810FC">
            <w:pPr>
              <w:pStyle w:val="TableParagraph"/>
              <w:spacing w:before="0"/>
              <w:rPr>
                <w:sz w:val="24"/>
              </w:rPr>
            </w:pPr>
          </w:p>
          <w:p w:rsidR="00C810FC" w:rsidRDefault="00B1620D">
            <w:pPr>
              <w:pStyle w:val="TableParagraph"/>
              <w:spacing w:before="178"/>
              <w:ind w:left="105"/>
            </w:pPr>
            <w:r>
              <w:t>Introduction</w:t>
            </w: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810FC" w:rsidRDefault="00B1620D">
            <w:pPr>
              <w:pStyle w:val="TableParagraph"/>
              <w:ind w:left="114"/>
            </w:pPr>
            <w:r>
              <w:t>A. Source</w:t>
            </w:r>
          </w:p>
        </w:tc>
        <w:tc>
          <w:tcPr>
            <w:tcW w:w="2969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810FC" w:rsidRDefault="00B1620D">
            <w:pPr>
              <w:pStyle w:val="TableParagraph"/>
              <w:ind w:left="111"/>
            </w:pPr>
            <w:r>
              <w:t>Updated URL and E-mail</w:t>
            </w:r>
          </w:p>
        </w:tc>
        <w:tc>
          <w:tcPr>
            <w:tcW w:w="1428" w:type="dxa"/>
            <w:tcBorders>
              <w:left w:val="single" w:sz="6" w:space="0" w:color="000000"/>
              <w:bottom w:val="single" w:sz="4" w:space="0" w:color="000000"/>
            </w:tcBorders>
          </w:tcPr>
          <w:p w:rsidR="00C810FC" w:rsidRDefault="00B1620D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C810FC">
        <w:trPr>
          <w:trHeight w:val="330"/>
        </w:trPr>
        <w:tc>
          <w:tcPr>
            <w:tcW w:w="2597" w:type="dxa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</w:tcPr>
          <w:p w:rsidR="00C810FC" w:rsidRDefault="00C810FC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810FC" w:rsidRDefault="00B1620D">
            <w:pPr>
              <w:pStyle w:val="TableParagraph"/>
              <w:spacing w:before="21"/>
              <w:ind w:left="114"/>
            </w:pPr>
            <w:r>
              <w:t>C. Amendments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810FC" w:rsidRDefault="00B1620D">
            <w:pPr>
              <w:pStyle w:val="TableParagraph"/>
              <w:spacing w:before="21"/>
              <w:ind w:left="111"/>
            </w:pPr>
            <w:r>
              <w:t>Updated URL’s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C810FC" w:rsidRDefault="00B1620D">
            <w:pPr>
              <w:pStyle w:val="TableParagraph"/>
              <w:spacing w:before="21"/>
              <w:ind w:left="13"/>
              <w:jc w:val="center"/>
            </w:pPr>
            <w:r>
              <w:t>1</w:t>
            </w:r>
          </w:p>
        </w:tc>
      </w:tr>
      <w:tr w:rsidR="00C810FC" w:rsidTr="00B1620D">
        <w:trPr>
          <w:trHeight w:val="837"/>
        </w:trPr>
        <w:tc>
          <w:tcPr>
            <w:tcW w:w="2597" w:type="dxa"/>
            <w:vMerge/>
            <w:tcBorders>
              <w:top w:val="nil"/>
              <w:bottom w:val="thinThickSmallGap" w:sz="24" w:space="0" w:color="auto"/>
              <w:right w:val="single" w:sz="4" w:space="0" w:color="000000"/>
            </w:tcBorders>
          </w:tcPr>
          <w:p w:rsidR="00C810FC" w:rsidRDefault="00C810FC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6" w:space="0" w:color="000000"/>
            </w:tcBorders>
          </w:tcPr>
          <w:p w:rsidR="00C810FC" w:rsidRDefault="00B1620D">
            <w:pPr>
              <w:pStyle w:val="TableParagraph"/>
              <w:spacing w:before="21"/>
              <w:ind w:left="114" w:right="581"/>
            </w:pPr>
            <w:r>
              <w:t>H. The International System of Units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6" w:space="0" w:color="000000"/>
              <w:bottom w:val="thinThickSmallGap" w:sz="24" w:space="0" w:color="auto"/>
              <w:right w:val="single" w:sz="6" w:space="0" w:color="000000"/>
            </w:tcBorders>
          </w:tcPr>
          <w:p w:rsidR="00C810FC" w:rsidRDefault="00B1620D">
            <w:pPr>
              <w:pStyle w:val="TableParagraph"/>
              <w:spacing w:before="21"/>
              <w:ind w:left="111" w:right="190"/>
            </w:pPr>
            <w:r>
              <w:t>Updated acronym for General Conference on Weights and Measures (</w:t>
            </w:r>
            <w:r>
              <w:rPr>
                <w:b/>
                <w:strike/>
              </w:rPr>
              <w:t>GIPM</w:t>
            </w:r>
            <w:r>
              <w:rPr>
                <w:b/>
              </w:rPr>
              <w:t xml:space="preserve"> </w:t>
            </w:r>
            <w:r>
              <w:rPr>
                <w:b/>
                <w:u w:val="thick"/>
              </w:rPr>
              <w:t>CGPM</w:t>
            </w:r>
            <w:r>
              <w:t>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6" w:space="0" w:color="000000"/>
              <w:bottom w:val="thinThickSmallGap" w:sz="24" w:space="0" w:color="auto"/>
            </w:tcBorders>
          </w:tcPr>
          <w:p w:rsidR="00C810FC" w:rsidRDefault="00B1620D">
            <w:pPr>
              <w:pStyle w:val="TableParagraph"/>
              <w:spacing w:before="21"/>
              <w:ind w:left="13"/>
              <w:jc w:val="center"/>
            </w:pPr>
            <w:r>
              <w:t>2</w:t>
            </w:r>
          </w:p>
        </w:tc>
      </w:tr>
      <w:tr w:rsidR="00C810FC" w:rsidTr="00B1620D">
        <w:trPr>
          <w:trHeight w:val="877"/>
        </w:trPr>
        <w:tc>
          <w:tcPr>
            <w:tcW w:w="2597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000000"/>
            </w:tcBorders>
          </w:tcPr>
          <w:p w:rsidR="00C810FC" w:rsidRDefault="00B1620D">
            <w:pPr>
              <w:pStyle w:val="TableParagraph"/>
              <w:spacing w:before="185"/>
              <w:ind w:left="105" w:right="784"/>
            </w:pPr>
            <w:r>
              <w:t>Chapter 1. General Information</w:t>
            </w:r>
          </w:p>
        </w:tc>
        <w:tc>
          <w:tcPr>
            <w:tcW w:w="2518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6" w:space="0" w:color="000000"/>
            </w:tcBorders>
          </w:tcPr>
          <w:p w:rsidR="00C810FC" w:rsidRDefault="00B1620D">
            <w:pPr>
              <w:pStyle w:val="TableParagraph"/>
              <w:ind w:left="114"/>
            </w:pPr>
            <w:r>
              <w:t>1.3. Sampling Plans</w:t>
            </w:r>
          </w:p>
        </w:tc>
        <w:tc>
          <w:tcPr>
            <w:tcW w:w="2969" w:type="dxa"/>
            <w:tcBorders>
              <w:top w:val="thinThickSmallGap" w:sz="24" w:space="0" w:color="auto"/>
              <w:left w:val="single" w:sz="6" w:space="0" w:color="000000"/>
              <w:bottom w:val="thinThickSmallGap" w:sz="24" w:space="0" w:color="auto"/>
              <w:right w:val="single" w:sz="6" w:space="0" w:color="000000"/>
            </w:tcBorders>
          </w:tcPr>
          <w:p w:rsidR="00C810FC" w:rsidRDefault="00B1620D">
            <w:pPr>
              <w:pStyle w:val="TableParagraph"/>
              <w:ind w:left="111" w:right="202"/>
            </w:pPr>
            <w:r>
              <w:t xml:space="preserve">Clarified the instruction to read acceptable lots a </w:t>
            </w:r>
            <w:r>
              <w:rPr>
                <w:b/>
                <w:strike/>
              </w:rPr>
              <w:t>97</w:t>
            </w:r>
            <w:r>
              <w:rPr>
                <w:b/>
                <w:u w:val="thick"/>
              </w:rPr>
              <w:t>95</w:t>
            </w:r>
            <w:r>
              <w:rPr>
                <w:b/>
              </w:rPr>
              <w:t xml:space="preserve"> </w:t>
            </w:r>
            <w:r>
              <w:t>% probability of passing.</w:t>
            </w:r>
          </w:p>
        </w:tc>
        <w:tc>
          <w:tcPr>
            <w:tcW w:w="1428" w:type="dxa"/>
            <w:tcBorders>
              <w:top w:val="thinThickSmallGap" w:sz="24" w:space="0" w:color="auto"/>
              <w:left w:val="single" w:sz="6" w:space="0" w:color="000000"/>
              <w:bottom w:val="thinThickSmallGap" w:sz="24" w:space="0" w:color="auto"/>
            </w:tcBorders>
          </w:tcPr>
          <w:p w:rsidR="00C810FC" w:rsidRDefault="00B1620D">
            <w:pPr>
              <w:pStyle w:val="TableParagraph"/>
              <w:ind w:left="13"/>
              <w:jc w:val="center"/>
            </w:pPr>
            <w:r>
              <w:t>9</w:t>
            </w:r>
          </w:p>
        </w:tc>
      </w:tr>
      <w:tr w:rsidR="00C810FC" w:rsidTr="00B1620D">
        <w:trPr>
          <w:trHeight w:val="2139"/>
        </w:trPr>
        <w:tc>
          <w:tcPr>
            <w:tcW w:w="2597" w:type="dxa"/>
            <w:tcBorders>
              <w:top w:val="thinThickSmallGap" w:sz="24" w:space="0" w:color="auto"/>
              <w:bottom w:val="thinThickSmallGap" w:sz="24" w:space="0" w:color="auto"/>
              <w:right w:val="single" w:sz="6" w:space="0" w:color="000000"/>
            </w:tcBorders>
          </w:tcPr>
          <w:p w:rsidR="00C810FC" w:rsidRDefault="00C810FC">
            <w:pPr>
              <w:pStyle w:val="TableParagraph"/>
              <w:spacing w:before="0"/>
              <w:rPr>
                <w:sz w:val="24"/>
              </w:rPr>
            </w:pPr>
          </w:p>
          <w:p w:rsidR="00C810FC" w:rsidRDefault="00C810FC">
            <w:pPr>
              <w:pStyle w:val="TableParagraph"/>
              <w:spacing w:before="10"/>
              <w:rPr>
                <w:sz w:val="35"/>
              </w:rPr>
            </w:pPr>
          </w:p>
          <w:p w:rsidR="00C810FC" w:rsidRDefault="00B1620D">
            <w:pPr>
              <w:pStyle w:val="TableParagraph"/>
              <w:spacing w:before="0"/>
              <w:ind w:left="105" w:right="433"/>
            </w:pPr>
            <w:r>
              <w:t>Chapter 2. Test Procedures – Packages Labeled by Weight</w:t>
            </w:r>
          </w:p>
        </w:tc>
        <w:tc>
          <w:tcPr>
            <w:tcW w:w="2518" w:type="dxa"/>
            <w:tcBorders>
              <w:top w:val="thinThickSmallGap" w:sz="24" w:space="0" w:color="auto"/>
              <w:left w:val="single" w:sz="6" w:space="0" w:color="000000"/>
              <w:bottom w:val="thinThickSmallGap" w:sz="24" w:space="0" w:color="auto"/>
              <w:right w:val="single" w:sz="6" w:space="0" w:color="000000"/>
            </w:tcBorders>
          </w:tcPr>
          <w:p w:rsidR="00C810FC" w:rsidRDefault="00B1620D">
            <w:pPr>
              <w:pStyle w:val="TableParagraph"/>
              <w:spacing w:before="55"/>
              <w:ind w:left="112" w:right="128"/>
            </w:pPr>
            <w:r>
              <w:t>2.2.5. Other Test Equipment Requirements</w:t>
            </w:r>
          </w:p>
        </w:tc>
        <w:tc>
          <w:tcPr>
            <w:tcW w:w="2969" w:type="dxa"/>
            <w:tcBorders>
              <w:top w:val="thinThickSmallGap" w:sz="24" w:space="0" w:color="auto"/>
              <w:left w:val="single" w:sz="6" w:space="0" w:color="000000"/>
              <w:bottom w:val="thinThickSmallGap" w:sz="24" w:space="0" w:color="auto"/>
              <w:right w:val="single" w:sz="6" w:space="0" w:color="000000"/>
            </w:tcBorders>
          </w:tcPr>
          <w:p w:rsidR="00C810FC" w:rsidRDefault="00B1620D">
            <w:pPr>
              <w:pStyle w:val="TableParagraph"/>
              <w:spacing w:before="55"/>
              <w:ind w:left="111" w:right="104"/>
              <w:rPr>
                <w:b/>
              </w:rPr>
            </w:pPr>
            <w:r>
              <w:t xml:space="preserve">1.  Mass Standards – Use NIST Handbook 105-1, “Specifications and Tolerances for </w:t>
            </w:r>
            <w:r>
              <w:rPr>
                <w:b/>
                <w:strike/>
              </w:rPr>
              <w:t>Reference Standards and</w:t>
            </w:r>
            <w:r>
              <w:rPr>
                <w:b/>
              </w:rPr>
              <w:t xml:space="preserve"> </w:t>
            </w:r>
            <w:r>
              <w:t xml:space="preserve">Field Standard Weights </w:t>
            </w:r>
            <w:r>
              <w:rPr>
                <w:b/>
                <w:strike/>
                <w:spacing w:val="-3"/>
              </w:rPr>
              <w:t xml:space="preserve">and </w:t>
            </w:r>
            <w:r>
              <w:rPr>
                <w:b/>
                <w:strike/>
              </w:rPr>
              <w:t xml:space="preserve">Measures – Field Standard Weights (NIST Class F)” </w:t>
            </w:r>
            <w:r>
              <w:rPr>
                <w:strike/>
              </w:rPr>
              <w:t>(</w:t>
            </w:r>
            <w:r>
              <w:rPr>
                <w:b/>
                <w:strike/>
              </w:rPr>
              <w:t>1990)</w:t>
            </w:r>
            <w:r>
              <w:rPr>
                <w:b/>
              </w:rPr>
              <w:t xml:space="preserve"> </w:t>
            </w:r>
            <w:r>
              <w:rPr>
                <w:b/>
                <w:u w:val="thick"/>
              </w:rPr>
              <w:t>(2019)</w:t>
            </w:r>
          </w:p>
        </w:tc>
        <w:tc>
          <w:tcPr>
            <w:tcW w:w="1428" w:type="dxa"/>
            <w:tcBorders>
              <w:top w:val="thinThickSmallGap" w:sz="24" w:space="0" w:color="auto"/>
              <w:left w:val="single" w:sz="6" w:space="0" w:color="000000"/>
              <w:bottom w:val="thinThickSmallGap" w:sz="24" w:space="0" w:color="auto"/>
            </w:tcBorders>
          </w:tcPr>
          <w:p w:rsidR="00C810FC" w:rsidRDefault="00B1620D">
            <w:pPr>
              <w:pStyle w:val="TableParagraph"/>
              <w:spacing w:before="55"/>
              <w:ind w:right="583"/>
              <w:jc w:val="right"/>
            </w:pPr>
            <w:r>
              <w:t>17</w:t>
            </w:r>
          </w:p>
        </w:tc>
      </w:tr>
      <w:tr w:rsidR="00C810FC" w:rsidTr="00B1620D">
        <w:trPr>
          <w:trHeight w:val="1378"/>
        </w:trPr>
        <w:tc>
          <w:tcPr>
            <w:tcW w:w="2597" w:type="dxa"/>
            <w:vMerge w:val="restart"/>
            <w:tcBorders>
              <w:top w:val="thinThickSmallGap" w:sz="24" w:space="0" w:color="auto"/>
              <w:right w:val="single" w:sz="6" w:space="0" w:color="000000"/>
            </w:tcBorders>
          </w:tcPr>
          <w:p w:rsidR="00C810FC" w:rsidRDefault="00C810FC">
            <w:pPr>
              <w:pStyle w:val="TableParagraph"/>
              <w:spacing w:before="0"/>
              <w:rPr>
                <w:sz w:val="24"/>
              </w:rPr>
            </w:pPr>
          </w:p>
          <w:p w:rsidR="00C810FC" w:rsidRDefault="00C810FC">
            <w:pPr>
              <w:pStyle w:val="TableParagraph"/>
              <w:spacing w:before="9"/>
            </w:pPr>
          </w:p>
          <w:p w:rsidR="00C810FC" w:rsidRDefault="00B1620D">
            <w:pPr>
              <w:pStyle w:val="TableParagraph"/>
              <w:spacing w:before="0"/>
              <w:ind w:left="105" w:right="592"/>
            </w:pPr>
            <w:r>
              <w:t>Chapter 3. Test Procedures – For Packages Labeled by Volume</w:t>
            </w:r>
          </w:p>
        </w:tc>
        <w:tc>
          <w:tcPr>
            <w:tcW w:w="2518" w:type="dxa"/>
            <w:tcBorders>
              <w:top w:val="thinThickSmallGap" w:sz="24" w:space="0" w:color="auto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 w:rsidR="00C810FC" w:rsidRDefault="00B1620D">
            <w:pPr>
              <w:pStyle w:val="TableParagraph"/>
              <w:spacing w:before="55"/>
              <w:ind w:left="112"/>
            </w:pPr>
            <w:r>
              <w:t>Table 3-1</w:t>
            </w:r>
          </w:p>
        </w:tc>
        <w:tc>
          <w:tcPr>
            <w:tcW w:w="2969" w:type="dxa"/>
            <w:tcBorders>
              <w:top w:val="thinThickSmallGap" w:sz="24" w:space="0" w:color="auto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 w:rsidR="00C810FC" w:rsidRDefault="00B1620D">
            <w:pPr>
              <w:pStyle w:val="TableParagraph"/>
              <w:spacing w:before="55"/>
              <w:ind w:left="111" w:right="229"/>
              <w:jc w:val="both"/>
            </w:pPr>
            <w:r>
              <w:t xml:space="preserve">Added acronym to title. Code of Federal Regulation </w:t>
            </w:r>
            <w:r>
              <w:rPr>
                <w:b/>
                <w:u w:val="single"/>
              </w:rPr>
              <w:t>(CFR</w:t>
            </w:r>
            <w:r>
              <w:rPr>
                <w:u w:val="single"/>
              </w:rPr>
              <w:t>)</w:t>
            </w:r>
            <w:r>
              <w:t xml:space="preserve"> Reference*</w:t>
            </w:r>
          </w:p>
        </w:tc>
        <w:tc>
          <w:tcPr>
            <w:tcW w:w="1428" w:type="dxa"/>
            <w:tcBorders>
              <w:top w:val="thinThickSmallGap" w:sz="24" w:space="0" w:color="auto"/>
              <w:left w:val="single" w:sz="6" w:space="0" w:color="000000"/>
              <w:bottom w:val="thinThickMediumGap" w:sz="12" w:space="0" w:color="000000"/>
            </w:tcBorders>
          </w:tcPr>
          <w:p w:rsidR="00C810FC" w:rsidRDefault="00B1620D">
            <w:pPr>
              <w:pStyle w:val="TableParagraph"/>
              <w:spacing w:before="55"/>
              <w:ind w:right="583"/>
              <w:jc w:val="right"/>
            </w:pPr>
            <w:r>
              <w:t>46</w:t>
            </w:r>
          </w:p>
        </w:tc>
      </w:tr>
      <w:tr w:rsidR="00C810FC">
        <w:trPr>
          <w:trHeight w:val="625"/>
        </w:trPr>
        <w:tc>
          <w:tcPr>
            <w:tcW w:w="2597" w:type="dxa"/>
            <w:vMerge/>
            <w:tcBorders>
              <w:top w:val="nil"/>
              <w:right w:val="single" w:sz="6" w:space="0" w:color="000000"/>
            </w:tcBorders>
          </w:tcPr>
          <w:p w:rsidR="00C810FC" w:rsidRDefault="00C810FC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tcBorders>
              <w:top w:val="thickThinMediumGap" w:sz="12" w:space="0" w:color="000000"/>
              <w:left w:val="single" w:sz="6" w:space="0" w:color="000000"/>
              <w:right w:val="single" w:sz="6" w:space="0" w:color="000000"/>
            </w:tcBorders>
          </w:tcPr>
          <w:p w:rsidR="00C810FC" w:rsidRDefault="00B1620D">
            <w:pPr>
              <w:pStyle w:val="TableParagraph"/>
              <w:ind w:left="112" w:right="135"/>
            </w:pPr>
            <w:r>
              <w:t>Table 3-8. Test Measures for Animal Bedding</w:t>
            </w:r>
          </w:p>
        </w:tc>
        <w:tc>
          <w:tcPr>
            <w:tcW w:w="2969" w:type="dxa"/>
            <w:tcBorders>
              <w:top w:val="thickThinMediumGap" w:sz="12" w:space="0" w:color="000000"/>
              <w:left w:val="single" w:sz="6" w:space="0" w:color="000000"/>
              <w:right w:val="single" w:sz="6" w:space="0" w:color="000000"/>
            </w:tcBorders>
          </w:tcPr>
          <w:p w:rsidR="00C810FC" w:rsidRDefault="00B1620D">
            <w:pPr>
              <w:pStyle w:val="TableParagraph"/>
              <w:ind w:left="111" w:right="379"/>
            </w:pPr>
            <w:r>
              <w:t>Corrected title: Rectangular and Square Test Measures</w:t>
            </w:r>
          </w:p>
        </w:tc>
        <w:tc>
          <w:tcPr>
            <w:tcW w:w="1428" w:type="dxa"/>
            <w:tcBorders>
              <w:top w:val="thickThinMediumGap" w:sz="12" w:space="0" w:color="000000"/>
              <w:left w:val="single" w:sz="6" w:space="0" w:color="000000"/>
            </w:tcBorders>
          </w:tcPr>
          <w:p w:rsidR="00C810FC" w:rsidRDefault="00B1620D">
            <w:pPr>
              <w:pStyle w:val="TableParagraph"/>
              <w:ind w:right="528"/>
              <w:jc w:val="right"/>
            </w:pPr>
            <w:r>
              <w:t>101</w:t>
            </w:r>
          </w:p>
        </w:tc>
      </w:tr>
    </w:tbl>
    <w:p w:rsidR="00C810FC" w:rsidRDefault="00C810FC">
      <w:pPr>
        <w:jc w:val="right"/>
        <w:sectPr w:rsidR="00C810FC">
          <w:headerReference w:type="default" r:id="rId6"/>
          <w:footerReference w:type="default" r:id="rId7"/>
          <w:type w:val="continuous"/>
          <w:pgSz w:w="12240" w:h="15840"/>
          <w:pgMar w:top="1420" w:right="1160" w:bottom="940" w:left="1320" w:header="730" w:footer="741" w:gutter="0"/>
          <w:pgNumType w:start="21"/>
          <w:cols w:space="720"/>
        </w:sectPr>
      </w:pPr>
    </w:p>
    <w:tbl>
      <w:tblPr>
        <w:tblW w:w="0" w:type="auto"/>
        <w:tblInd w:w="14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7"/>
        <w:gridCol w:w="2518"/>
        <w:gridCol w:w="2969"/>
        <w:gridCol w:w="1428"/>
      </w:tblGrid>
      <w:tr w:rsidR="00C810FC">
        <w:trPr>
          <w:trHeight w:val="404"/>
        </w:trPr>
        <w:tc>
          <w:tcPr>
            <w:tcW w:w="2597" w:type="dxa"/>
            <w:tcBorders>
              <w:right w:val="single" w:sz="6" w:space="0" w:color="000000"/>
            </w:tcBorders>
          </w:tcPr>
          <w:p w:rsidR="00C810FC" w:rsidRDefault="00B1620D">
            <w:pPr>
              <w:pStyle w:val="TableParagraph"/>
              <w:spacing w:before="75"/>
              <w:ind w:left="877" w:right="874"/>
              <w:jc w:val="center"/>
              <w:rPr>
                <w:b/>
              </w:rPr>
            </w:pPr>
            <w:r>
              <w:rPr>
                <w:b/>
              </w:rPr>
              <w:lastRenderedPageBreak/>
              <w:t>Chapter</w:t>
            </w:r>
          </w:p>
        </w:tc>
        <w:tc>
          <w:tcPr>
            <w:tcW w:w="2518" w:type="dxa"/>
            <w:tcBorders>
              <w:left w:val="single" w:sz="6" w:space="0" w:color="000000"/>
              <w:right w:val="single" w:sz="6" w:space="0" w:color="000000"/>
            </w:tcBorders>
          </w:tcPr>
          <w:p w:rsidR="00C810FC" w:rsidRDefault="00B1620D">
            <w:pPr>
              <w:pStyle w:val="TableParagraph"/>
              <w:spacing w:before="75"/>
              <w:ind w:left="894" w:right="883"/>
              <w:jc w:val="center"/>
              <w:rPr>
                <w:b/>
              </w:rPr>
            </w:pPr>
            <w:r>
              <w:rPr>
                <w:b/>
              </w:rPr>
              <w:t>Section</w:t>
            </w:r>
          </w:p>
        </w:tc>
        <w:tc>
          <w:tcPr>
            <w:tcW w:w="2969" w:type="dxa"/>
            <w:tcBorders>
              <w:left w:val="single" w:sz="6" w:space="0" w:color="000000"/>
              <w:right w:val="single" w:sz="6" w:space="0" w:color="000000"/>
            </w:tcBorders>
          </w:tcPr>
          <w:p w:rsidR="00C810FC" w:rsidRDefault="00B1620D">
            <w:pPr>
              <w:pStyle w:val="TableParagraph"/>
              <w:spacing w:before="75"/>
              <w:ind w:left="1149" w:right="1141"/>
              <w:jc w:val="center"/>
              <w:rPr>
                <w:b/>
              </w:rPr>
            </w:pPr>
            <w:r>
              <w:rPr>
                <w:b/>
              </w:rPr>
              <w:t>Action</w:t>
            </w:r>
          </w:p>
        </w:tc>
        <w:tc>
          <w:tcPr>
            <w:tcW w:w="1428" w:type="dxa"/>
            <w:tcBorders>
              <w:left w:val="single" w:sz="6" w:space="0" w:color="000000"/>
            </w:tcBorders>
          </w:tcPr>
          <w:p w:rsidR="00C810FC" w:rsidRDefault="00B1620D">
            <w:pPr>
              <w:pStyle w:val="TableParagraph"/>
              <w:spacing w:before="75"/>
              <w:ind w:left="142" w:right="130"/>
              <w:jc w:val="center"/>
              <w:rPr>
                <w:b/>
              </w:rPr>
            </w:pPr>
            <w:r>
              <w:rPr>
                <w:b/>
              </w:rPr>
              <w:t>Page</w:t>
            </w:r>
          </w:p>
        </w:tc>
      </w:tr>
      <w:tr w:rsidR="00C810FC">
        <w:trPr>
          <w:trHeight w:val="926"/>
        </w:trPr>
        <w:tc>
          <w:tcPr>
            <w:tcW w:w="2597" w:type="dxa"/>
            <w:vMerge w:val="restart"/>
            <w:tcBorders>
              <w:bottom w:val="thinThickMediumGap" w:sz="12" w:space="0" w:color="000000"/>
              <w:right w:val="single" w:sz="6" w:space="0" w:color="000000"/>
            </w:tcBorders>
          </w:tcPr>
          <w:p w:rsidR="00C810FC" w:rsidRDefault="00C810FC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518" w:type="dxa"/>
            <w:vMerge w:val="restart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810FC" w:rsidRDefault="00C810FC">
            <w:pPr>
              <w:pStyle w:val="TableParagraph"/>
              <w:spacing w:before="0"/>
              <w:rPr>
                <w:sz w:val="24"/>
              </w:rPr>
            </w:pPr>
          </w:p>
          <w:p w:rsidR="00C810FC" w:rsidRDefault="00C810FC">
            <w:pPr>
              <w:pStyle w:val="TableParagraph"/>
              <w:spacing w:before="0"/>
              <w:rPr>
                <w:sz w:val="24"/>
              </w:rPr>
            </w:pPr>
          </w:p>
          <w:p w:rsidR="00C810FC" w:rsidRDefault="00C810FC">
            <w:pPr>
              <w:pStyle w:val="TableParagraph"/>
              <w:spacing w:before="10"/>
              <w:rPr>
                <w:sz w:val="20"/>
              </w:rPr>
            </w:pPr>
          </w:p>
          <w:p w:rsidR="00C810FC" w:rsidRDefault="00B1620D">
            <w:pPr>
              <w:pStyle w:val="TableParagraph"/>
              <w:spacing w:before="0"/>
              <w:ind w:left="112" w:right="122"/>
            </w:pPr>
            <w:r>
              <w:t>Table 3-9. Illustrations of Depth Determinations with Cylindrical Test Measures</w:t>
            </w:r>
          </w:p>
        </w:tc>
        <w:tc>
          <w:tcPr>
            <w:tcW w:w="2969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810FC" w:rsidRDefault="00B1620D">
            <w:pPr>
              <w:pStyle w:val="TableParagraph"/>
              <w:spacing w:before="41"/>
              <w:ind w:left="111" w:right="250"/>
            </w:pPr>
            <w:r>
              <w:t>(its internal radius is 151</w:t>
            </w:r>
            <w:r>
              <w:rPr>
                <w:b/>
                <w:u w:val="thick"/>
              </w:rPr>
              <w:t>.77515</w:t>
            </w:r>
            <w:r>
              <w:rPr>
                <w:b/>
              </w:rPr>
              <w:t xml:space="preserve"> </w:t>
            </w:r>
            <w:r>
              <w:t>mm and its height is 610 mm)</w:t>
            </w:r>
          </w:p>
        </w:tc>
        <w:tc>
          <w:tcPr>
            <w:tcW w:w="1428" w:type="dxa"/>
            <w:tcBorders>
              <w:left w:val="single" w:sz="6" w:space="0" w:color="000000"/>
              <w:bottom w:val="single" w:sz="6" w:space="0" w:color="000000"/>
            </w:tcBorders>
          </w:tcPr>
          <w:p w:rsidR="00C810FC" w:rsidRDefault="00B1620D">
            <w:pPr>
              <w:pStyle w:val="TableParagraph"/>
              <w:spacing w:before="41"/>
              <w:ind w:left="143" w:right="130"/>
              <w:jc w:val="center"/>
            </w:pPr>
            <w:r>
              <w:t>106</w:t>
            </w:r>
          </w:p>
        </w:tc>
      </w:tr>
      <w:tr w:rsidR="00C810FC">
        <w:trPr>
          <w:trHeight w:val="1558"/>
        </w:trPr>
        <w:tc>
          <w:tcPr>
            <w:tcW w:w="2597" w:type="dxa"/>
            <w:vMerge/>
            <w:tcBorders>
              <w:top w:val="nil"/>
              <w:bottom w:val="thinThickMediumGap" w:sz="12" w:space="0" w:color="000000"/>
              <w:right w:val="single" w:sz="6" w:space="0" w:color="000000"/>
            </w:tcBorders>
          </w:tcPr>
          <w:p w:rsidR="00C810FC" w:rsidRDefault="00C810FC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810FC" w:rsidRDefault="00C810FC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810FC" w:rsidRDefault="00B1620D">
            <w:pPr>
              <w:pStyle w:val="TableParagraph"/>
              <w:spacing w:before="21"/>
              <w:ind w:left="111" w:right="422"/>
            </w:pPr>
            <w:r>
              <w:t>The volume was calculated using:</w:t>
            </w:r>
          </w:p>
          <w:p w:rsidR="00C810FC" w:rsidRDefault="00B1620D">
            <w:pPr>
              <w:pStyle w:val="TableParagraph"/>
              <w:spacing w:before="0"/>
              <w:ind w:left="111" w:right="405"/>
            </w:pPr>
            <w:r>
              <w:rPr>
                <w:i/>
              </w:rPr>
              <w:t xml:space="preserve">Volume in liters </w:t>
            </w:r>
            <w:r>
              <w:t xml:space="preserve">= </w:t>
            </w:r>
            <w:r>
              <w:rPr>
                <w:i/>
              </w:rPr>
              <w:t>(πr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 xml:space="preserve">h </w:t>
            </w:r>
            <w:r>
              <w:rPr>
                <w:b/>
                <w:i/>
              </w:rPr>
              <w:t>Pi</w:t>
            </w:r>
            <w:r>
              <w:rPr>
                <w:i/>
              </w:rPr>
              <w:t xml:space="preserve">) 3.14159265 </w:t>
            </w:r>
            <w:r>
              <w:rPr>
                <w:b/>
                <w:i/>
                <w:u w:val="thick"/>
              </w:rPr>
              <w:t>(Pi)</w:t>
            </w:r>
            <w:r>
              <w:rPr>
                <w:b/>
                <w:i/>
              </w:rPr>
              <w:t xml:space="preserve"> </w:t>
            </w:r>
            <w:r>
              <w:t>×</w:t>
            </w:r>
          </w:p>
          <w:p w:rsidR="00C810FC" w:rsidRDefault="00B1620D">
            <w:pPr>
              <w:pStyle w:val="TableParagraph"/>
              <w:spacing w:before="0" w:line="252" w:lineRule="exact"/>
              <w:ind w:left="111"/>
            </w:pPr>
            <w:r>
              <w:rPr>
                <w:i/>
              </w:rPr>
              <w:t xml:space="preserve">23035.69 mm </w:t>
            </w:r>
            <w:r>
              <w:t xml:space="preserve">× </w:t>
            </w:r>
            <w:r>
              <w:rPr>
                <w:i/>
              </w:rPr>
              <w:t xml:space="preserve">130.12 mm </w:t>
            </w:r>
            <w:r>
              <w:t>=</w:t>
            </w:r>
          </w:p>
          <w:p w:rsidR="00C810FC" w:rsidRDefault="00B1620D">
            <w:pPr>
              <w:pStyle w:val="TableParagraph"/>
              <w:spacing w:before="0" w:line="252" w:lineRule="exact"/>
              <w:ind w:left="111"/>
              <w:rPr>
                <w:i/>
              </w:rPr>
            </w:pPr>
            <w:r>
              <w:rPr>
                <w:i/>
              </w:rPr>
              <w:t>9.41 L*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:rsidR="00C810FC" w:rsidRDefault="00B1620D">
            <w:pPr>
              <w:pStyle w:val="TableParagraph"/>
              <w:spacing w:before="21"/>
              <w:ind w:left="143" w:right="130"/>
              <w:jc w:val="center"/>
            </w:pPr>
            <w:r>
              <w:t>106</w:t>
            </w:r>
          </w:p>
        </w:tc>
      </w:tr>
      <w:tr w:rsidR="00C810FC" w:rsidTr="00B1620D">
        <w:trPr>
          <w:trHeight w:val="1091"/>
        </w:trPr>
        <w:tc>
          <w:tcPr>
            <w:tcW w:w="2597" w:type="dxa"/>
            <w:vMerge/>
            <w:tcBorders>
              <w:top w:val="nil"/>
              <w:bottom w:val="thinThickSmallGap" w:sz="24" w:space="0" w:color="auto"/>
              <w:right w:val="single" w:sz="6" w:space="0" w:color="000000"/>
            </w:tcBorders>
          </w:tcPr>
          <w:p w:rsidR="00C810FC" w:rsidRDefault="00C810FC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6" w:space="0" w:color="000000"/>
              <w:bottom w:val="thinThickSmallGap" w:sz="24" w:space="0" w:color="auto"/>
              <w:right w:val="single" w:sz="6" w:space="0" w:color="000000"/>
            </w:tcBorders>
          </w:tcPr>
          <w:p w:rsidR="00C810FC" w:rsidRDefault="00B1620D">
            <w:pPr>
              <w:pStyle w:val="TableParagraph"/>
              <w:spacing w:before="21"/>
              <w:ind w:left="112" w:right="177"/>
            </w:pPr>
            <w:r>
              <w:t>3.15.3. Evaluation of the Test Results and Determination of Pass or Fail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6" w:space="0" w:color="000000"/>
              <w:bottom w:val="thinThickSmallGap" w:sz="24" w:space="0" w:color="auto"/>
              <w:right w:val="single" w:sz="6" w:space="0" w:color="000000"/>
            </w:tcBorders>
          </w:tcPr>
          <w:p w:rsidR="00C810FC" w:rsidRDefault="00B1620D">
            <w:pPr>
              <w:pStyle w:val="TableParagraph"/>
              <w:spacing w:before="21"/>
              <w:ind w:left="111" w:right="190"/>
            </w:pPr>
            <w:r>
              <w:t xml:space="preserve">2. If the Average Error is a negative value go to Step </w:t>
            </w:r>
            <w:r>
              <w:rPr>
                <w:b/>
                <w:strike/>
              </w:rPr>
              <w:t>4</w:t>
            </w:r>
            <w:r>
              <w:rPr>
                <w:b/>
                <w:u w:val="thick"/>
              </w:rPr>
              <w:t>3</w:t>
            </w:r>
            <w:r>
              <w:t>. on the Inspection Worksheet.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6" w:space="0" w:color="000000"/>
              <w:bottom w:val="thinThickSmallGap" w:sz="24" w:space="0" w:color="auto"/>
            </w:tcBorders>
          </w:tcPr>
          <w:p w:rsidR="00C810FC" w:rsidRDefault="00B1620D">
            <w:pPr>
              <w:pStyle w:val="TableParagraph"/>
              <w:spacing w:before="21"/>
              <w:ind w:left="143" w:right="130"/>
              <w:jc w:val="center"/>
            </w:pPr>
            <w:r>
              <w:t>113</w:t>
            </w:r>
          </w:p>
        </w:tc>
      </w:tr>
      <w:tr w:rsidR="00C810FC" w:rsidTr="00B1620D">
        <w:trPr>
          <w:trHeight w:val="1633"/>
        </w:trPr>
        <w:tc>
          <w:tcPr>
            <w:tcW w:w="2597" w:type="dxa"/>
            <w:tcBorders>
              <w:top w:val="thinThickSmallGap" w:sz="24" w:space="0" w:color="auto"/>
              <w:bottom w:val="thinThickSmallGap" w:sz="24" w:space="0" w:color="auto"/>
              <w:right w:val="single" w:sz="6" w:space="0" w:color="000000"/>
            </w:tcBorders>
          </w:tcPr>
          <w:p w:rsidR="00C810FC" w:rsidRDefault="00B1620D">
            <w:pPr>
              <w:pStyle w:val="TableParagraph"/>
              <w:ind w:left="105" w:right="121"/>
            </w:pPr>
            <w:r>
              <w:t xml:space="preserve">Chapter 4. Test Procedures – Packages Labeled by Count, Linear Measure, Area, </w:t>
            </w:r>
            <w:r>
              <w:rPr>
                <w:spacing w:val="-3"/>
              </w:rPr>
              <w:t xml:space="preserve">Thickness, </w:t>
            </w:r>
            <w:r>
              <w:t xml:space="preserve">and Combinations </w:t>
            </w:r>
            <w:r>
              <w:rPr>
                <w:spacing w:val="-3"/>
              </w:rPr>
              <w:t xml:space="preserve">of </w:t>
            </w:r>
            <w:r>
              <w:t>Quantities</w:t>
            </w:r>
          </w:p>
        </w:tc>
        <w:tc>
          <w:tcPr>
            <w:tcW w:w="2518" w:type="dxa"/>
            <w:tcBorders>
              <w:top w:val="thinThickSmallGap" w:sz="24" w:space="0" w:color="auto"/>
              <w:left w:val="single" w:sz="6" w:space="0" w:color="000000"/>
              <w:bottom w:val="thinThickSmallGap" w:sz="24" w:space="0" w:color="auto"/>
              <w:right w:val="single" w:sz="6" w:space="0" w:color="000000"/>
            </w:tcBorders>
          </w:tcPr>
          <w:p w:rsidR="00C810FC" w:rsidRDefault="00B1620D">
            <w:pPr>
              <w:pStyle w:val="TableParagraph"/>
              <w:ind w:left="112" w:right="16"/>
            </w:pPr>
            <w:r>
              <w:t>4.9. Procedure for Checking the contents of Specific Agriculture Seed Packages Labeled by Count</w:t>
            </w:r>
          </w:p>
        </w:tc>
        <w:tc>
          <w:tcPr>
            <w:tcW w:w="2969" w:type="dxa"/>
            <w:tcBorders>
              <w:top w:val="thinThickSmallGap" w:sz="24" w:space="0" w:color="auto"/>
              <w:left w:val="single" w:sz="6" w:space="0" w:color="000000"/>
              <w:bottom w:val="thinThickSmallGap" w:sz="24" w:space="0" w:color="auto"/>
              <w:right w:val="single" w:sz="6" w:space="0" w:color="000000"/>
            </w:tcBorders>
          </w:tcPr>
          <w:p w:rsidR="00C810FC" w:rsidRDefault="00B1620D">
            <w:pPr>
              <w:pStyle w:val="TableParagraph"/>
              <w:ind w:left="111"/>
            </w:pPr>
            <w:r>
              <w:rPr>
                <w:b/>
                <w:strike/>
              </w:rPr>
              <w:t>4.2.3.</w:t>
            </w:r>
            <w:r>
              <w:rPr>
                <w:b/>
              </w:rPr>
              <w:t xml:space="preserve"> </w:t>
            </w:r>
            <w:r>
              <w:rPr>
                <w:b/>
                <w:u w:val="thick"/>
              </w:rPr>
              <w:t>4.9.3.</w:t>
            </w:r>
            <w:r>
              <w:rPr>
                <w:b/>
              </w:rPr>
              <w:t xml:space="preserve"> </w:t>
            </w:r>
            <w:r>
              <w:t>Evaluation of Results</w:t>
            </w:r>
          </w:p>
        </w:tc>
        <w:tc>
          <w:tcPr>
            <w:tcW w:w="1428" w:type="dxa"/>
            <w:tcBorders>
              <w:top w:val="thinThickSmallGap" w:sz="24" w:space="0" w:color="auto"/>
              <w:left w:val="single" w:sz="6" w:space="0" w:color="000000"/>
              <w:bottom w:val="thinThickSmallGap" w:sz="24" w:space="0" w:color="auto"/>
            </w:tcBorders>
          </w:tcPr>
          <w:p w:rsidR="00C810FC" w:rsidRDefault="00B1620D">
            <w:pPr>
              <w:pStyle w:val="TableParagraph"/>
              <w:ind w:left="143" w:right="130"/>
              <w:jc w:val="center"/>
            </w:pPr>
            <w:r>
              <w:t>137</w:t>
            </w:r>
          </w:p>
        </w:tc>
      </w:tr>
      <w:tr w:rsidR="00C810FC" w:rsidTr="00B1620D">
        <w:trPr>
          <w:trHeight w:val="1381"/>
        </w:trPr>
        <w:tc>
          <w:tcPr>
            <w:tcW w:w="2597" w:type="dxa"/>
            <w:tcBorders>
              <w:top w:val="thinThickSmallGap" w:sz="24" w:space="0" w:color="auto"/>
              <w:bottom w:val="thinThickSmallGap" w:sz="24" w:space="0" w:color="auto"/>
              <w:right w:val="single" w:sz="6" w:space="0" w:color="000000"/>
            </w:tcBorders>
          </w:tcPr>
          <w:p w:rsidR="00C810FC" w:rsidRDefault="00C810FC">
            <w:pPr>
              <w:pStyle w:val="TableParagraph"/>
              <w:spacing w:before="0"/>
              <w:rPr>
                <w:sz w:val="24"/>
              </w:rPr>
            </w:pPr>
          </w:p>
          <w:p w:rsidR="00C810FC" w:rsidRDefault="00B1620D">
            <w:pPr>
              <w:pStyle w:val="TableParagraph"/>
              <w:spacing w:before="161"/>
              <w:ind w:left="105" w:right="261"/>
            </w:pPr>
            <w:r>
              <w:t>Appendix C. Model Inspection Report Forms</w:t>
            </w:r>
          </w:p>
        </w:tc>
        <w:tc>
          <w:tcPr>
            <w:tcW w:w="2518" w:type="dxa"/>
            <w:tcBorders>
              <w:top w:val="thinThickSmallGap" w:sz="24" w:space="0" w:color="auto"/>
              <w:left w:val="single" w:sz="6" w:space="0" w:color="000000"/>
              <w:bottom w:val="thinThickSmallGap" w:sz="24" w:space="0" w:color="auto"/>
              <w:right w:val="single" w:sz="6" w:space="0" w:color="000000"/>
            </w:tcBorders>
          </w:tcPr>
          <w:p w:rsidR="00C810FC" w:rsidRDefault="00B1620D">
            <w:pPr>
              <w:pStyle w:val="TableParagraph"/>
              <w:ind w:left="112" w:right="110"/>
            </w:pPr>
            <w:r>
              <w:t>Measurement Grid and Package Error Worksheet for Cylindrical and Square or Rectangular Test Measures</w:t>
            </w:r>
          </w:p>
        </w:tc>
        <w:tc>
          <w:tcPr>
            <w:tcW w:w="2969" w:type="dxa"/>
            <w:tcBorders>
              <w:top w:val="thinThickSmallGap" w:sz="24" w:space="0" w:color="auto"/>
              <w:left w:val="single" w:sz="6" w:space="0" w:color="000000"/>
              <w:bottom w:val="thinThickSmallGap" w:sz="24" w:space="0" w:color="auto"/>
              <w:right w:val="single" w:sz="6" w:space="0" w:color="000000"/>
            </w:tcBorders>
          </w:tcPr>
          <w:p w:rsidR="00C810FC" w:rsidRDefault="00B1620D">
            <w:pPr>
              <w:pStyle w:val="TableParagraph"/>
              <w:spacing w:line="252" w:lineRule="exact"/>
              <w:ind w:left="111"/>
            </w:pPr>
            <w:r>
              <w:t>Editorial change:</w:t>
            </w:r>
          </w:p>
          <w:p w:rsidR="00C810FC" w:rsidRDefault="00B1620D">
            <w:pPr>
              <w:pStyle w:val="TableParagraph"/>
              <w:spacing w:before="0"/>
              <w:ind w:left="111" w:right="458"/>
            </w:pPr>
            <w:r>
              <w:t xml:space="preserve">C. Average Depth (Sum of Measurements ÷ </w:t>
            </w:r>
            <w:r>
              <w:rPr>
                <w:b/>
                <w:strike/>
              </w:rPr>
              <w:t>26</w:t>
            </w:r>
            <w:r>
              <w:rPr>
                <w:b/>
                <w:u w:val="thick"/>
              </w:rPr>
              <w:t>9</w:t>
            </w:r>
            <w:r>
              <w:t>):</w:t>
            </w:r>
          </w:p>
        </w:tc>
        <w:tc>
          <w:tcPr>
            <w:tcW w:w="1428" w:type="dxa"/>
            <w:tcBorders>
              <w:top w:val="thinThickSmallGap" w:sz="24" w:space="0" w:color="auto"/>
              <w:left w:val="single" w:sz="6" w:space="0" w:color="000000"/>
              <w:bottom w:val="thinThickSmallGap" w:sz="24" w:space="0" w:color="auto"/>
            </w:tcBorders>
          </w:tcPr>
          <w:p w:rsidR="00C810FC" w:rsidRDefault="00B1620D">
            <w:pPr>
              <w:pStyle w:val="TableParagraph"/>
              <w:ind w:left="143" w:right="130"/>
              <w:jc w:val="center"/>
            </w:pPr>
            <w:r>
              <w:t>185</w:t>
            </w:r>
          </w:p>
        </w:tc>
      </w:tr>
      <w:tr w:rsidR="00C810FC" w:rsidTr="00B1620D">
        <w:trPr>
          <w:trHeight w:val="874"/>
        </w:trPr>
        <w:tc>
          <w:tcPr>
            <w:tcW w:w="2597" w:type="dxa"/>
            <w:tcBorders>
              <w:top w:val="thinThickSmallGap" w:sz="24" w:space="0" w:color="auto"/>
              <w:bottom w:val="thinThickMediumGap" w:sz="12" w:space="0" w:color="000000"/>
              <w:right w:val="single" w:sz="6" w:space="0" w:color="000000"/>
            </w:tcBorders>
          </w:tcPr>
          <w:p w:rsidR="00C810FC" w:rsidRDefault="00B1620D">
            <w:pPr>
              <w:pStyle w:val="TableParagraph"/>
              <w:ind w:left="105" w:right="586"/>
            </w:pPr>
            <w:r>
              <w:t>Appendix E. General Tables of Units of Measurement</w:t>
            </w:r>
          </w:p>
        </w:tc>
        <w:tc>
          <w:tcPr>
            <w:tcW w:w="2518" w:type="dxa"/>
            <w:tcBorders>
              <w:top w:val="thinThickSmallGap" w:sz="24" w:space="0" w:color="auto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 w:rsidR="00C810FC" w:rsidRDefault="00B1620D">
            <w:pPr>
              <w:pStyle w:val="TableParagraph"/>
              <w:ind w:left="112"/>
            </w:pPr>
            <w:r>
              <w:t>Footnote 9 and 10</w:t>
            </w:r>
          </w:p>
        </w:tc>
        <w:tc>
          <w:tcPr>
            <w:tcW w:w="2969" w:type="dxa"/>
            <w:tcBorders>
              <w:top w:val="thinThickSmallGap" w:sz="24" w:space="0" w:color="auto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 w:rsidR="00C810FC" w:rsidRDefault="00B1620D">
            <w:pPr>
              <w:pStyle w:val="TableParagraph"/>
              <w:ind w:left="111" w:right="470"/>
            </w:pPr>
            <w:r>
              <w:t>Added notice regarding deprecation of U.S. survey foot.</w:t>
            </w:r>
          </w:p>
        </w:tc>
        <w:tc>
          <w:tcPr>
            <w:tcW w:w="1428" w:type="dxa"/>
            <w:tcBorders>
              <w:top w:val="thinThickSmallGap" w:sz="24" w:space="0" w:color="auto"/>
              <w:left w:val="single" w:sz="6" w:space="0" w:color="000000"/>
              <w:bottom w:val="thinThickMediumGap" w:sz="12" w:space="0" w:color="000000"/>
            </w:tcBorders>
          </w:tcPr>
          <w:p w:rsidR="00C810FC" w:rsidRDefault="00B1620D">
            <w:pPr>
              <w:pStyle w:val="TableParagraph"/>
              <w:ind w:left="147" w:right="130"/>
              <w:jc w:val="center"/>
            </w:pPr>
            <w:r>
              <w:t>219 and 221</w:t>
            </w:r>
          </w:p>
        </w:tc>
      </w:tr>
      <w:tr w:rsidR="00C810FC">
        <w:trPr>
          <w:trHeight w:val="1878"/>
        </w:trPr>
        <w:tc>
          <w:tcPr>
            <w:tcW w:w="2597" w:type="dxa"/>
            <w:vMerge w:val="restart"/>
            <w:tcBorders>
              <w:top w:val="thickThinMediumGap" w:sz="12" w:space="0" w:color="000000"/>
              <w:right w:val="single" w:sz="6" w:space="0" w:color="000000"/>
            </w:tcBorders>
          </w:tcPr>
          <w:p w:rsidR="00C810FC" w:rsidRDefault="00C810FC">
            <w:pPr>
              <w:pStyle w:val="TableParagraph"/>
              <w:spacing w:before="0"/>
              <w:rPr>
                <w:sz w:val="24"/>
              </w:rPr>
            </w:pPr>
          </w:p>
          <w:p w:rsidR="00C810FC" w:rsidRDefault="00C810FC">
            <w:pPr>
              <w:pStyle w:val="TableParagraph"/>
              <w:spacing w:before="0"/>
              <w:rPr>
                <w:sz w:val="24"/>
              </w:rPr>
            </w:pPr>
          </w:p>
          <w:p w:rsidR="00C810FC" w:rsidRDefault="00C810FC">
            <w:pPr>
              <w:pStyle w:val="TableParagraph"/>
              <w:spacing w:before="0"/>
              <w:rPr>
                <w:sz w:val="24"/>
              </w:rPr>
            </w:pPr>
          </w:p>
          <w:p w:rsidR="00C810FC" w:rsidRDefault="00C810FC">
            <w:pPr>
              <w:pStyle w:val="TableParagraph"/>
              <w:spacing w:before="0"/>
              <w:rPr>
                <w:sz w:val="24"/>
              </w:rPr>
            </w:pPr>
          </w:p>
          <w:p w:rsidR="00C810FC" w:rsidRDefault="00C810FC">
            <w:pPr>
              <w:pStyle w:val="TableParagraph"/>
              <w:spacing w:before="0"/>
              <w:rPr>
                <w:sz w:val="24"/>
              </w:rPr>
            </w:pPr>
          </w:p>
          <w:p w:rsidR="00C810FC" w:rsidRDefault="00C810FC">
            <w:pPr>
              <w:pStyle w:val="TableParagraph"/>
              <w:spacing w:before="0"/>
              <w:rPr>
                <w:sz w:val="24"/>
              </w:rPr>
            </w:pPr>
          </w:p>
          <w:p w:rsidR="00C810FC" w:rsidRDefault="00C810FC">
            <w:pPr>
              <w:pStyle w:val="TableParagraph"/>
              <w:spacing w:before="7"/>
              <w:rPr>
                <w:sz w:val="20"/>
              </w:rPr>
            </w:pPr>
          </w:p>
          <w:p w:rsidR="00C810FC" w:rsidRDefault="00B1620D">
            <w:pPr>
              <w:pStyle w:val="TableParagraph"/>
              <w:spacing w:before="0"/>
              <w:ind w:left="105"/>
            </w:pPr>
            <w:r>
              <w:t>Appendix F. Glossary</w:t>
            </w:r>
          </w:p>
        </w:tc>
        <w:tc>
          <w:tcPr>
            <w:tcW w:w="2518" w:type="dxa"/>
            <w:tcBorders>
              <w:top w:val="thickThinMediumGap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810FC" w:rsidRDefault="00B1620D">
            <w:pPr>
              <w:pStyle w:val="TableParagraph"/>
              <w:ind w:left="112"/>
            </w:pPr>
            <w:r>
              <w:t>Sample Correction Factor</w:t>
            </w:r>
          </w:p>
        </w:tc>
        <w:tc>
          <w:tcPr>
            <w:tcW w:w="2969" w:type="dxa"/>
            <w:tcBorders>
              <w:top w:val="thickThinMediumGap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810FC" w:rsidRDefault="00B1620D">
            <w:pPr>
              <w:pStyle w:val="TableParagraph"/>
              <w:ind w:left="111" w:right="134"/>
            </w:pPr>
            <w:r>
              <w:t xml:space="preserve">The factor as computed is the ratio of the </w:t>
            </w:r>
            <w:r>
              <w:rPr>
                <w:b/>
                <w:strike/>
              </w:rPr>
              <w:t>97.5</w:t>
            </w:r>
            <w:r>
              <w:rPr>
                <w:b/>
              </w:rPr>
              <w:t xml:space="preserve"> 95</w:t>
            </w:r>
            <w:r>
              <w:rPr>
                <w:b/>
                <w:position w:val="8"/>
                <w:sz w:val="14"/>
              </w:rPr>
              <w:t xml:space="preserve">th </w:t>
            </w:r>
            <w:r>
              <w:t>quantile of the student’s t distribution (one-sided) with (n 1) degrees of freedom and the square root of n where n is the sample size.</w:t>
            </w:r>
          </w:p>
        </w:tc>
        <w:tc>
          <w:tcPr>
            <w:tcW w:w="1428" w:type="dxa"/>
            <w:tcBorders>
              <w:top w:val="thickThinMediumGap" w:sz="12" w:space="0" w:color="000000"/>
              <w:left w:val="single" w:sz="6" w:space="0" w:color="000000"/>
              <w:bottom w:val="single" w:sz="4" w:space="0" w:color="000000"/>
            </w:tcBorders>
          </w:tcPr>
          <w:p w:rsidR="00C810FC" w:rsidRDefault="00B1620D">
            <w:pPr>
              <w:pStyle w:val="TableParagraph"/>
              <w:ind w:left="143" w:right="130"/>
              <w:jc w:val="center"/>
            </w:pPr>
            <w:r>
              <w:t>240</w:t>
            </w:r>
          </w:p>
        </w:tc>
      </w:tr>
      <w:tr w:rsidR="00C810FC">
        <w:trPr>
          <w:trHeight w:val="1882"/>
        </w:trPr>
        <w:tc>
          <w:tcPr>
            <w:tcW w:w="2597" w:type="dxa"/>
            <w:vMerge/>
            <w:tcBorders>
              <w:top w:val="nil"/>
              <w:right w:val="single" w:sz="6" w:space="0" w:color="000000"/>
            </w:tcBorders>
          </w:tcPr>
          <w:p w:rsidR="00C810FC" w:rsidRDefault="00C810FC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C810FC" w:rsidRDefault="00B1620D">
            <w:pPr>
              <w:pStyle w:val="TableParagraph"/>
              <w:spacing w:before="51"/>
              <w:ind w:left="112" w:right="648"/>
            </w:pPr>
            <w:r>
              <w:t>Sample Error Limit (SEL)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C810FC" w:rsidRDefault="00B1620D">
            <w:pPr>
              <w:pStyle w:val="TableParagraph"/>
              <w:spacing w:before="51"/>
              <w:ind w:left="111" w:right="118"/>
            </w:pPr>
            <w:r>
              <w:t xml:space="preserve">The SEL value allows for the uncertainty between the average error of the sample and the average error of the inspection lot with an approximately </w:t>
            </w:r>
            <w:r>
              <w:rPr>
                <w:b/>
                <w:strike/>
              </w:rPr>
              <w:t>97.5</w:t>
            </w:r>
            <w:r>
              <w:rPr>
                <w:b/>
                <w:u w:val="thick"/>
              </w:rPr>
              <w:t xml:space="preserve"> 95</w:t>
            </w:r>
            <w:r>
              <w:rPr>
                <w:b/>
              </w:rPr>
              <w:t xml:space="preserve"> </w:t>
            </w:r>
            <w:r>
              <w:t>% level of confidence.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6" w:space="0" w:color="000000"/>
            </w:tcBorders>
          </w:tcPr>
          <w:p w:rsidR="00C810FC" w:rsidRDefault="00B1620D">
            <w:pPr>
              <w:pStyle w:val="TableParagraph"/>
              <w:spacing w:before="51"/>
              <w:ind w:left="143" w:right="130"/>
              <w:jc w:val="center"/>
            </w:pPr>
            <w:r>
              <w:t>240</w:t>
            </w:r>
          </w:p>
        </w:tc>
      </w:tr>
    </w:tbl>
    <w:p w:rsidR="00C810FC" w:rsidRDefault="00486165">
      <w:pPr>
        <w:rPr>
          <w:sz w:val="2"/>
          <w:szCs w:val="2"/>
        </w:rPr>
      </w:pPr>
      <w:r>
        <w:pict>
          <v:line id="_x0000_s1026" style="position:absolute;z-index:-251660288;mso-position-horizontal-relative:page;mso-position-vertical-relative:page" from="407.3pt,523pt" to="424.3pt,523pt" strokeweight="1.08pt">
            <w10:wrap anchorx="page" anchory="page"/>
          </v:line>
        </w:pict>
      </w:r>
    </w:p>
    <w:sectPr w:rsidR="00C810FC">
      <w:headerReference w:type="default" r:id="rId8"/>
      <w:pgSz w:w="12240" w:h="15840"/>
      <w:pgMar w:top="1420" w:right="1160" w:bottom="940" w:left="1320" w:header="730" w:footer="7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197" w:rsidRDefault="00B1620D">
      <w:r>
        <w:separator/>
      </w:r>
    </w:p>
  </w:endnote>
  <w:endnote w:type="continuationSeparator" w:id="0">
    <w:p w:rsidR="00383197" w:rsidRDefault="00B16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0FC" w:rsidRDefault="00486165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6.2pt;margin-top:743.95pt;width:19.5pt;height:13.05pt;z-index:-7912;mso-position-horizontal-relative:page;mso-position-vertical-relative:page" filled="f" stroked="f">
          <v:textbox inset="0,0,0,0">
            <w:txbxContent>
              <w:p w:rsidR="00C810FC" w:rsidRDefault="00B1620D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 \* roman </w:instrText>
                </w:r>
                <w:r>
                  <w:fldChar w:fldCharType="separate"/>
                </w:r>
                <w:r>
                  <w:t>xxii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197" w:rsidRDefault="00B1620D">
      <w:r>
        <w:separator/>
      </w:r>
    </w:p>
  </w:footnote>
  <w:footnote w:type="continuationSeparator" w:id="0">
    <w:p w:rsidR="00383197" w:rsidRDefault="00B16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0FC" w:rsidRDefault="00486165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35.5pt;width:91.3pt;height:13.05pt;z-index:-7960;mso-position-horizontal-relative:page;mso-position-vertical-relative:page" filled="f" stroked="f">
          <v:textbox inset="0,0,0,0">
            <w:txbxContent>
              <w:p w:rsidR="00C810FC" w:rsidRDefault="00B1620D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Handbook 133 – 2020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88.5pt;margin-top:35.5pt;width:152.4pt;height:13.05pt;z-index:-7936;mso-position-horizontal-relative:page;mso-position-vertical-relative:page" filled="f" stroked="f">
          <v:textbox inset="0,0,0,0">
            <w:txbxContent>
              <w:p w:rsidR="00C810FC" w:rsidRDefault="00B1620D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2019 Amendments/Editorial Changes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0FC" w:rsidRDefault="00486165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pt;margin-top:35.5pt;width:152.4pt;height:13.05pt;z-index:-7888;mso-position-horizontal-relative:page;mso-position-vertical-relative:page" filled="f" stroked="f">
          <v:textbox inset="0,0,0,0">
            <w:txbxContent>
              <w:p w:rsidR="00C810FC" w:rsidRDefault="00B1620D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2019 Amendments/Editorial Changes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49.85pt;margin-top:35.5pt;width:91.3pt;height:13.05pt;z-index:-7864;mso-position-horizontal-relative:page;mso-position-vertical-relative:page" filled="f" stroked="f">
          <v:textbox inset="0,0,0,0">
            <w:txbxContent>
              <w:p w:rsidR="00C810FC" w:rsidRDefault="00B1620D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Handbook 133 – 2020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10FC"/>
    <w:rsid w:val="00383197"/>
    <w:rsid w:val="00486165"/>
    <w:rsid w:val="00B1620D"/>
    <w:rsid w:val="00C8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7C97AB95"/>
  <w15:docId w15:val="{83DA48E7-67E9-4DAB-B38B-BE81FFE0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Checking the Net Contents of Packaged Goods</dc:title>
  <dc:subject>2019 edition</dc:subject>
  <dc:creator>lisa.warfield@nist.gov;breyanna.blackwell@nist.gov</dc:creator>
  <cp:lastModifiedBy>Blackwell, Breyanna M. (Fed)</cp:lastModifiedBy>
  <cp:revision>3</cp:revision>
  <dcterms:created xsi:type="dcterms:W3CDTF">2019-11-22T17:31:00Z</dcterms:created>
  <dcterms:modified xsi:type="dcterms:W3CDTF">2019-12-03T14:46:00Z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2019-11-22T00:00:00Z</vt:filetime>
  </property>
</Properties>
</file>