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4"/>
        <w:rPr>
          <w:sz w:val="7"/>
        </w:rPr>
      </w:pPr>
    </w:p>
    <w:p>
      <w:pPr>
        <w:pStyle w:val="BodyText"/>
        <w:spacing w:line="90" w:lineRule="exact"/>
        <w:ind w:left="66"/>
        <w:rPr>
          <w:sz w:val="9"/>
        </w:rPr>
      </w:pPr>
      <w:r>
        <w:rPr>
          <w:position w:val="-1"/>
          <w:sz w:val="9"/>
        </w:rPr>
        <w:pict>
          <v:group style="width:470.9pt;height:4.45pt;mso-position-horizontal-relative:char;mso-position-vertical-relative:line" coordorigin="0,0" coordsize="9418,89">
            <v:line style="position:absolute" from="0,44" to="9418,44" stroked="true" strokeweight="4.440pt" strokecolor="#000000">
              <v:stroke dashstyle="solid"/>
            </v:line>
          </v:group>
        </w:pict>
      </w:r>
      <w:r>
        <w:rPr>
          <w:position w:val="-1"/>
          <w:sz w:val="9"/>
        </w:rPr>
      </w:r>
    </w:p>
    <w:p>
      <w:pPr>
        <w:pStyle w:val="BodyText"/>
        <w:spacing w:before="3"/>
        <w:rPr>
          <w:sz w:val="10"/>
        </w:rPr>
      </w:pPr>
      <w:r>
        <w:rPr/>
        <w:pict>
          <v:line style="position:absolute;mso-position-horizontal-relative:page;mso-position-vertical-relative:paragraph;z-index:-1000;mso-wrap-distance-left:0;mso-wrap-distance-right:0" from="70.559998pt,8.613233pt" to="541.439998pt,8.613233pt" stroked="true" strokeweight="1.44pt" strokecolor="#000000">
            <v:stroke dashstyle="solid"/>
            <w10:wrap type="topAndBottom"/>
          </v:line>
        </w:pict>
      </w:r>
    </w:p>
    <w:p>
      <w:pPr>
        <w:spacing w:before="90" w:after="119"/>
        <w:ind w:left="3463" w:right="3463" w:firstLine="0"/>
        <w:jc w:val="center"/>
        <w:rPr>
          <w:b/>
          <w:sz w:val="28"/>
        </w:rPr>
      </w:pPr>
      <w:r>
        <w:rPr>
          <w:b/>
          <w:sz w:val="28"/>
        </w:rPr>
        <w:t>Appendix F.</w:t>
      </w:r>
      <w:r>
        <w:rPr>
          <w:b/>
          <w:spacing w:val="67"/>
          <w:sz w:val="28"/>
        </w:rPr>
        <w:t> </w:t>
      </w:r>
      <w:r>
        <w:rPr>
          <w:b/>
          <w:sz w:val="28"/>
        </w:rPr>
        <w:t>Glossary</w:t>
      </w:r>
    </w:p>
    <w:p>
      <w:pPr>
        <w:pStyle w:val="BodyText"/>
        <w:spacing w:line="30" w:lineRule="exact"/>
        <w:ind w:left="96"/>
        <w:rPr>
          <w:sz w:val="3"/>
        </w:rPr>
      </w:pPr>
      <w:r>
        <w:rPr>
          <w:position w:val="0"/>
          <w:sz w:val="3"/>
        </w:rPr>
        <w:pict>
          <v:group style="width:470.9pt;height:1.45pt;mso-position-horizontal-relative:char;mso-position-vertical-relative:line" coordorigin="0,0" coordsize="9418,29">
            <v:line style="position:absolute" from="0,14" to="9418,14" stroked="true" strokeweight="1.44pt" strokecolor="#000000">
              <v:stroke dashstyle="solid"/>
            </v:line>
          </v:group>
        </w:pict>
      </w:r>
      <w:r>
        <w:rPr>
          <w:position w:val="0"/>
          <w:sz w:val="3"/>
        </w:rPr>
      </w:r>
    </w:p>
    <w:p>
      <w:pPr>
        <w:pStyle w:val="Heading1"/>
        <w:spacing w:before="157"/>
        <w:ind w:left="4733"/>
      </w:pPr>
      <w:r>
        <w:rPr>
          <w:w w:val="99"/>
        </w:rPr>
        <w:t>A</w:t>
      </w:r>
    </w:p>
    <w:p>
      <w:pPr>
        <w:pStyle w:val="BodyText"/>
        <w:spacing w:before="9"/>
        <w:rPr>
          <w:b/>
          <w:sz w:val="20"/>
        </w:rPr>
      </w:pPr>
    </w:p>
    <w:p>
      <w:pPr>
        <w:pStyle w:val="BodyText"/>
        <w:ind w:left="140" w:right="133"/>
        <w:jc w:val="both"/>
      </w:pPr>
      <w:r>
        <w:rPr>
          <w:b/>
        </w:rPr>
        <w:t>allowable difference. </w:t>
      </w:r>
      <w:r>
        <w:rPr/>
        <w:t>The amount, by which the actual quantity in the package may differ from the declared quantity. Pressed and blown tumblers and stemware labeled by count and capacity are assigned an allowable difference in capacity. This is also called a tolerance.</w:t>
      </w:r>
    </w:p>
    <w:p>
      <w:pPr>
        <w:pStyle w:val="BodyText"/>
        <w:rPr>
          <w:sz w:val="21"/>
        </w:rPr>
      </w:pPr>
    </w:p>
    <w:p>
      <w:pPr>
        <w:pStyle w:val="BodyText"/>
        <w:ind w:left="140"/>
      </w:pPr>
      <w:r>
        <w:rPr>
          <w:b/>
        </w:rPr>
        <w:t>audit testing. </w:t>
      </w:r>
      <w:r>
        <w:rPr/>
        <w:t>Preliminary tests designed to quickly identify potential noncompliance units.</w:t>
      </w:r>
    </w:p>
    <w:p>
      <w:pPr>
        <w:pStyle w:val="BodyText"/>
        <w:spacing w:before="9"/>
        <w:rPr>
          <w:sz w:val="20"/>
        </w:rPr>
      </w:pPr>
    </w:p>
    <w:p>
      <w:pPr>
        <w:pStyle w:val="BodyText"/>
        <w:spacing w:line="242" w:lineRule="auto"/>
        <w:ind w:left="139" w:right="136"/>
        <w:jc w:val="both"/>
      </w:pPr>
      <w:r>
        <w:rPr>
          <w:b/>
        </w:rPr>
        <w:t>average. </w:t>
      </w:r>
      <w:r>
        <w:rPr/>
        <w:t>The sum of a number of individual measurement values divided by the number of values. For example, the sum of the individual weights of 12 packages divided by 12 would be the average weight of those packages.</w:t>
      </w:r>
    </w:p>
    <w:p>
      <w:pPr>
        <w:pStyle w:val="BodyText"/>
        <w:spacing w:before="2"/>
        <w:rPr>
          <w:sz w:val="20"/>
        </w:rPr>
      </w:pPr>
    </w:p>
    <w:p>
      <w:pPr>
        <w:pStyle w:val="BodyText"/>
        <w:ind w:left="139" w:right="136"/>
        <w:jc w:val="both"/>
      </w:pPr>
      <w:r>
        <w:rPr>
          <w:b/>
        </w:rPr>
        <w:t>average error. </w:t>
      </w:r>
      <w:r>
        <w:rPr/>
        <w:t>The sum of the individual “package errors” (defined) (considering their arithmetic sign) divided by the number of packages comprising the sample.</w:t>
      </w:r>
    </w:p>
    <w:p>
      <w:pPr>
        <w:pStyle w:val="BodyText"/>
        <w:spacing w:before="10"/>
        <w:rPr>
          <w:sz w:val="20"/>
        </w:rPr>
      </w:pPr>
    </w:p>
    <w:p>
      <w:pPr>
        <w:pStyle w:val="BodyText"/>
        <w:ind w:left="139" w:right="136"/>
        <w:jc w:val="both"/>
      </w:pPr>
      <w:r>
        <w:rPr>
          <w:b/>
        </w:rPr>
        <w:t>average</w:t>
      </w:r>
      <w:r>
        <w:rPr>
          <w:b/>
          <w:spacing w:val="-14"/>
        </w:rPr>
        <w:t> </w:t>
      </w:r>
      <w:r>
        <w:rPr>
          <w:b/>
        </w:rPr>
        <w:t>requirement.</w:t>
      </w:r>
      <w:r>
        <w:rPr>
          <w:b/>
          <w:spacing w:val="29"/>
        </w:rPr>
        <w:t> </w:t>
      </w:r>
      <w:r>
        <w:rPr/>
        <w:t>A</w:t>
      </w:r>
      <w:r>
        <w:rPr>
          <w:spacing w:val="-15"/>
        </w:rPr>
        <w:t> </w:t>
      </w:r>
      <w:r>
        <w:rPr/>
        <w:t>requirement</w:t>
      </w:r>
      <w:r>
        <w:rPr>
          <w:spacing w:val="-12"/>
        </w:rPr>
        <w:t> </w:t>
      </w:r>
      <w:r>
        <w:rPr/>
        <w:t>that</w:t>
      </w:r>
      <w:r>
        <w:rPr>
          <w:spacing w:val="-13"/>
        </w:rPr>
        <w:t> </w:t>
      </w:r>
      <w:r>
        <w:rPr/>
        <w:t>the</w:t>
      </w:r>
      <w:r>
        <w:rPr>
          <w:spacing w:val="-13"/>
        </w:rPr>
        <w:t> </w:t>
      </w:r>
      <w:r>
        <w:rPr/>
        <w:t>average</w:t>
      </w:r>
      <w:r>
        <w:rPr>
          <w:spacing w:val="-15"/>
        </w:rPr>
        <w:t> </w:t>
      </w:r>
      <w:r>
        <w:rPr/>
        <w:t>net</w:t>
      </w:r>
      <w:r>
        <w:rPr>
          <w:spacing w:val="-13"/>
        </w:rPr>
        <w:t> </w:t>
      </w:r>
      <w:r>
        <w:rPr/>
        <w:t>quantity</w:t>
      </w:r>
      <w:r>
        <w:rPr>
          <w:spacing w:val="-16"/>
        </w:rPr>
        <w:t> </w:t>
      </w:r>
      <w:r>
        <w:rPr/>
        <w:t>of</w:t>
      </w:r>
      <w:r>
        <w:rPr>
          <w:spacing w:val="-12"/>
        </w:rPr>
        <w:t> </w:t>
      </w:r>
      <w:r>
        <w:rPr/>
        <w:t>contents</w:t>
      </w:r>
      <w:r>
        <w:rPr>
          <w:spacing w:val="-13"/>
        </w:rPr>
        <w:t> </w:t>
      </w:r>
      <w:r>
        <w:rPr/>
        <w:t>of</w:t>
      </w:r>
      <w:r>
        <w:rPr>
          <w:spacing w:val="-13"/>
        </w:rPr>
        <w:t> </w:t>
      </w:r>
      <w:r>
        <w:rPr/>
        <w:t>packages</w:t>
      </w:r>
      <w:r>
        <w:rPr>
          <w:spacing w:val="-13"/>
        </w:rPr>
        <w:t> </w:t>
      </w:r>
      <w:r>
        <w:rPr/>
        <w:t>in</w:t>
      </w:r>
      <w:r>
        <w:rPr>
          <w:spacing w:val="-13"/>
        </w:rPr>
        <w:t> </w:t>
      </w:r>
      <w:r>
        <w:rPr/>
        <w:t>a</w:t>
      </w:r>
      <w:r>
        <w:rPr>
          <w:spacing w:val="-14"/>
        </w:rPr>
        <w:t> </w:t>
      </w:r>
      <w:r>
        <w:rPr/>
        <w:t>“lot”</w:t>
      </w:r>
      <w:r>
        <w:rPr>
          <w:spacing w:val="-13"/>
        </w:rPr>
        <w:t> </w:t>
      </w:r>
      <w:r>
        <w:rPr/>
        <w:t>equals the net quantity of contents printed on the</w:t>
      </w:r>
      <w:r>
        <w:rPr>
          <w:spacing w:val="-7"/>
        </w:rPr>
        <w:t> </w:t>
      </w:r>
      <w:r>
        <w:rPr/>
        <w:t>label.</w:t>
      </w:r>
    </w:p>
    <w:p>
      <w:pPr>
        <w:pStyle w:val="BodyText"/>
        <w:spacing w:before="11"/>
        <w:rPr>
          <w:sz w:val="20"/>
        </w:rPr>
      </w:pPr>
    </w:p>
    <w:p>
      <w:pPr>
        <w:pStyle w:val="BodyText"/>
        <w:ind w:left="140" w:right="138"/>
        <w:jc w:val="both"/>
      </w:pPr>
      <w:r>
        <w:rPr>
          <w:b/>
        </w:rPr>
        <w:t>average tare. </w:t>
      </w:r>
      <w:r>
        <w:rPr/>
        <w:t>The sum of the weights of individual package containers (or wrappers, etc.) divided by the number of containers or wrappers weighed.</w:t>
      </w:r>
    </w:p>
    <w:p>
      <w:pPr>
        <w:pStyle w:val="BodyText"/>
        <w:spacing w:before="11"/>
        <w:rPr>
          <w:sz w:val="12"/>
        </w:rPr>
      </w:pPr>
    </w:p>
    <w:p>
      <w:pPr>
        <w:pStyle w:val="Heading1"/>
        <w:spacing w:before="90"/>
        <w:ind w:left="4738"/>
      </w:pPr>
      <w:r>
        <w:rPr/>
        <w:t>B</w:t>
      </w:r>
    </w:p>
    <w:p>
      <w:pPr>
        <w:pStyle w:val="BodyText"/>
        <w:spacing w:before="9"/>
        <w:rPr>
          <w:b/>
          <w:sz w:val="20"/>
        </w:rPr>
      </w:pPr>
    </w:p>
    <w:p>
      <w:pPr>
        <w:pStyle w:val="BodyText"/>
        <w:spacing w:line="244" w:lineRule="auto"/>
        <w:ind w:left="140"/>
      </w:pPr>
      <w:r>
        <w:rPr>
          <w:b/>
        </w:rPr>
        <w:t>berry baskets and boxes. </w:t>
      </w:r>
      <w:r>
        <w:rPr/>
        <w:t>Disposable containers in capacities of 1 dry quart or less for berries and small fruits. See Section 4.46. in NIST Handbook 44.</w:t>
      </w:r>
    </w:p>
    <w:p>
      <w:pPr>
        <w:pStyle w:val="BodyText"/>
        <w:spacing w:before="3"/>
        <w:rPr>
          <w:sz w:val="12"/>
        </w:rPr>
      </w:pPr>
    </w:p>
    <w:p>
      <w:pPr>
        <w:pStyle w:val="Heading1"/>
        <w:spacing w:before="90"/>
        <w:ind w:left="4733"/>
      </w:pPr>
      <w:r>
        <w:rPr>
          <w:w w:val="99"/>
        </w:rPr>
        <w:t>C</w:t>
      </w:r>
    </w:p>
    <w:p>
      <w:pPr>
        <w:pStyle w:val="BodyText"/>
        <w:spacing w:before="10"/>
        <w:rPr>
          <w:b/>
          <w:sz w:val="20"/>
        </w:rPr>
      </w:pPr>
    </w:p>
    <w:p>
      <w:pPr>
        <w:pStyle w:val="BodyText"/>
        <w:spacing w:line="244" w:lineRule="auto"/>
        <w:ind w:left="140" w:right="71"/>
      </w:pPr>
      <w:r>
        <w:rPr>
          <w:b/>
        </w:rPr>
        <w:t>Category A (Category B). </w:t>
      </w:r>
      <w:r>
        <w:rPr/>
        <w:t>A set of sampling plans provided in this handbook to use in checking packages that must (except when exempted) meet the “average requirement” (defined).</w:t>
      </w:r>
    </w:p>
    <w:p>
      <w:pPr>
        <w:pStyle w:val="BodyText"/>
        <w:spacing w:before="2"/>
        <w:rPr>
          <w:sz w:val="20"/>
        </w:rPr>
      </w:pPr>
    </w:p>
    <w:p>
      <w:pPr>
        <w:pStyle w:val="BodyText"/>
        <w:spacing w:before="1"/>
        <w:ind w:left="140"/>
      </w:pPr>
      <w:r>
        <w:rPr>
          <w:b/>
        </w:rPr>
        <w:t>chamois. </w:t>
      </w:r>
      <w:r>
        <w:rPr/>
        <w:t>A natural leather made from skins of sheep and lambs that have been oil-tanned.</w:t>
      </w:r>
    </w:p>
    <w:p>
      <w:pPr>
        <w:pStyle w:val="BodyText"/>
        <w:spacing w:before="6"/>
        <w:rPr>
          <w:sz w:val="20"/>
        </w:rPr>
      </w:pPr>
    </w:p>
    <w:p>
      <w:pPr>
        <w:spacing w:line="244" w:lineRule="auto" w:before="0"/>
        <w:ind w:left="140" w:right="71" w:firstLine="0"/>
        <w:jc w:val="left"/>
        <w:rPr>
          <w:sz w:val="22"/>
        </w:rPr>
      </w:pPr>
      <w:r>
        <w:rPr>
          <w:b/>
          <w:sz w:val="22"/>
        </w:rPr>
        <w:t>combination quantity declarations. </w:t>
      </w:r>
      <w:r>
        <w:rPr>
          <w:sz w:val="22"/>
        </w:rPr>
        <w:t>A package label that contains the count of items in the package as well as one or more of the following: weight, measure, or size.</w:t>
      </w:r>
    </w:p>
    <w:p>
      <w:pPr>
        <w:pStyle w:val="BodyText"/>
        <w:spacing w:before="3"/>
        <w:rPr>
          <w:sz w:val="20"/>
        </w:rPr>
      </w:pPr>
    </w:p>
    <w:p>
      <w:pPr>
        <w:spacing w:before="0"/>
        <w:ind w:left="140" w:right="0" w:firstLine="0"/>
        <w:jc w:val="left"/>
        <w:rPr>
          <w:sz w:val="22"/>
        </w:rPr>
      </w:pPr>
      <w:r>
        <w:rPr>
          <w:b/>
          <w:sz w:val="22"/>
        </w:rPr>
        <w:t>compliance testing. </w:t>
      </w:r>
      <w:r>
        <w:rPr>
          <w:sz w:val="22"/>
        </w:rPr>
        <w:t>Determining package conformance using specified legal requirements.</w:t>
      </w:r>
    </w:p>
    <w:p>
      <w:pPr>
        <w:pStyle w:val="BodyText"/>
        <w:spacing w:before="9"/>
        <w:rPr>
          <w:sz w:val="20"/>
        </w:rPr>
      </w:pPr>
    </w:p>
    <w:p>
      <w:pPr>
        <w:pStyle w:val="Heading1"/>
        <w:spacing w:before="1"/>
        <w:ind w:left="4733"/>
      </w:pPr>
      <w:r>
        <w:rPr>
          <w:w w:val="99"/>
        </w:rPr>
        <w:t>D</w:t>
      </w:r>
    </w:p>
    <w:p>
      <w:pPr>
        <w:pStyle w:val="BodyText"/>
        <w:spacing w:before="9"/>
        <w:rPr>
          <w:b/>
          <w:sz w:val="20"/>
        </w:rPr>
      </w:pPr>
    </w:p>
    <w:p>
      <w:pPr>
        <w:pStyle w:val="BodyText"/>
        <w:ind w:left="140"/>
      </w:pPr>
      <w:r>
        <w:rPr>
          <w:b/>
        </w:rPr>
        <w:t>decision criteria. </w:t>
      </w:r>
      <w:r>
        <w:rPr/>
        <w:t>The rules for deciding whether or not a lot conforms to package requirements based on the results of checking the packages in the sample.</w:t>
      </w:r>
    </w:p>
    <w:p>
      <w:pPr>
        <w:pStyle w:val="BodyText"/>
        <w:spacing w:before="10"/>
        <w:rPr>
          <w:sz w:val="20"/>
        </w:rPr>
      </w:pPr>
    </w:p>
    <w:p>
      <w:pPr>
        <w:pStyle w:val="BodyText"/>
        <w:ind w:left="140"/>
      </w:pPr>
      <w:r>
        <w:rPr>
          <w:b/>
        </w:rPr>
        <w:t>delivery. </w:t>
      </w:r>
      <w:r>
        <w:rPr/>
        <w:t>A quantity of identically labeled product received at one time by a buyer.</w:t>
      </w:r>
    </w:p>
    <w:p>
      <w:pPr>
        <w:spacing w:after="0"/>
        <w:sectPr>
          <w:headerReference w:type="even" r:id="rId5"/>
          <w:headerReference w:type="default" r:id="rId6"/>
          <w:footerReference w:type="even" r:id="rId7"/>
          <w:footerReference w:type="default" r:id="rId8"/>
          <w:type w:val="continuous"/>
          <w:pgSz w:w="12240" w:h="15840"/>
          <w:pgMar w:header="730" w:footer="741" w:top="1340" w:bottom="940" w:left="1300" w:right="1300"/>
          <w:pgNumType w:start="236"/>
        </w:sectPr>
      </w:pPr>
    </w:p>
    <w:p>
      <w:pPr>
        <w:pStyle w:val="BodyText"/>
        <w:spacing w:before="81"/>
        <w:ind w:left="139" w:right="134"/>
        <w:jc w:val="both"/>
      </w:pPr>
      <w:r>
        <w:rPr>
          <w:b/>
        </w:rPr>
        <w:t>dimensionless</w:t>
      </w:r>
      <w:r>
        <w:rPr>
          <w:b/>
          <w:spacing w:val="-14"/>
        </w:rPr>
        <w:t> </w:t>
      </w:r>
      <w:r>
        <w:rPr>
          <w:b/>
        </w:rPr>
        <w:t>units.</w:t>
      </w:r>
      <w:r>
        <w:rPr>
          <w:b/>
          <w:spacing w:val="25"/>
        </w:rPr>
        <w:t> </w:t>
      </w:r>
      <w:r>
        <w:rPr/>
        <w:t>The</w:t>
      </w:r>
      <w:r>
        <w:rPr>
          <w:spacing w:val="-13"/>
        </w:rPr>
        <w:t> </w:t>
      </w:r>
      <w:r>
        <w:rPr/>
        <w:t>integers</w:t>
      </w:r>
      <w:r>
        <w:rPr>
          <w:spacing w:val="-15"/>
        </w:rPr>
        <w:t> </w:t>
      </w:r>
      <w:r>
        <w:rPr/>
        <w:t>in</w:t>
      </w:r>
      <w:r>
        <w:rPr>
          <w:spacing w:val="-14"/>
        </w:rPr>
        <w:t> </w:t>
      </w:r>
      <w:r>
        <w:rPr/>
        <w:t>terms</w:t>
      </w:r>
      <w:r>
        <w:rPr>
          <w:spacing w:val="-13"/>
        </w:rPr>
        <w:t> </w:t>
      </w:r>
      <w:r>
        <w:rPr/>
        <w:t>of</w:t>
      </w:r>
      <w:r>
        <w:rPr>
          <w:spacing w:val="-13"/>
        </w:rPr>
        <w:t> </w:t>
      </w:r>
      <w:r>
        <w:rPr/>
        <w:t>which</w:t>
      </w:r>
      <w:r>
        <w:rPr>
          <w:spacing w:val="-16"/>
        </w:rPr>
        <w:t> </w:t>
      </w:r>
      <w:r>
        <w:rPr/>
        <w:t>the</w:t>
      </w:r>
      <w:r>
        <w:rPr>
          <w:spacing w:val="-13"/>
        </w:rPr>
        <w:t> </w:t>
      </w:r>
      <w:r>
        <w:rPr/>
        <w:t>official</w:t>
      </w:r>
      <w:r>
        <w:rPr>
          <w:spacing w:val="-16"/>
        </w:rPr>
        <w:t> </w:t>
      </w:r>
      <w:r>
        <w:rPr/>
        <w:t>records</w:t>
      </w:r>
      <w:r>
        <w:rPr>
          <w:spacing w:val="-13"/>
        </w:rPr>
        <w:t> </w:t>
      </w:r>
      <w:r>
        <w:rPr/>
        <w:t>package</w:t>
      </w:r>
      <w:r>
        <w:rPr>
          <w:spacing w:val="-14"/>
        </w:rPr>
        <w:t> </w:t>
      </w:r>
      <w:r>
        <w:rPr/>
        <w:t>errors.</w:t>
      </w:r>
      <w:r>
        <w:rPr>
          <w:spacing w:val="28"/>
        </w:rPr>
        <w:t> </w:t>
      </w:r>
      <w:r>
        <w:rPr/>
        <w:t>The</w:t>
      </w:r>
      <w:r>
        <w:rPr>
          <w:spacing w:val="-13"/>
        </w:rPr>
        <w:t> </w:t>
      </w:r>
      <w:r>
        <w:rPr/>
        <w:t>dimensionless units must be multiplied by the “unit of measure” to obtain package errors in terms of weight, length,</w:t>
      </w:r>
      <w:r>
        <w:rPr>
          <w:spacing w:val="-30"/>
        </w:rPr>
        <w:t> </w:t>
      </w:r>
      <w:r>
        <w:rPr/>
        <w:t>etc.</w:t>
      </w:r>
    </w:p>
    <w:p>
      <w:pPr>
        <w:pStyle w:val="BodyText"/>
        <w:spacing w:before="10"/>
        <w:rPr>
          <w:sz w:val="20"/>
        </w:rPr>
      </w:pPr>
    </w:p>
    <w:p>
      <w:pPr>
        <w:pStyle w:val="BodyText"/>
        <w:spacing w:line="242" w:lineRule="auto"/>
        <w:ind w:left="140" w:right="134"/>
        <w:jc w:val="both"/>
      </w:pPr>
      <w:r>
        <w:rPr>
          <w:b/>
        </w:rPr>
        <w:t>division,</w:t>
      </w:r>
      <w:r>
        <w:rPr>
          <w:b/>
          <w:spacing w:val="-16"/>
        </w:rPr>
        <w:t> </w:t>
      </w:r>
      <w:r>
        <w:rPr>
          <w:b/>
        </w:rPr>
        <w:t>value</w:t>
      </w:r>
      <w:r>
        <w:rPr>
          <w:b/>
          <w:spacing w:val="-15"/>
        </w:rPr>
        <w:t> </w:t>
      </w:r>
      <w:r>
        <w:rPr>
          <w:b/>
        </w:rPr>
        <w:t>of</w:t>
      </w:r>
      <w:r>
        <w:rPr>
          <w:b/>
          <w:spacing w:val="-11"/>
        </w:rPr>
        <w:t> </w:t>
      </w:r>
      <w:r>
        <w:rPr>
          <w:b/>
        </w:rPr>
        <w:t>(d).</w:t>
      </w:r>
      <w:r>
        <w:rPr>
          <w:b/>
          <w:spacing w:val="24"/>
        </w:rPr>
        <w:t> </w:t>
      </w:r>
      <w:r>
        <w:rPr/>
        <w:t>The</w:t>
      </w:r>
      <w:r>
        <w:rPr>
          <w:spacing w:val="-14"/>
        </w:rPr>
        <w:t> </w:t>
      </w:r>
      <w:r>
        <w:rPr/>
        <w:t>value</w:t>
      </w:r>
      <w:r>
        <w:rPr>
          <w:spacing w:val="-15"/>
        </w:rPr>
        <w:t> </w:t>
      </w:r>
      <w:r>
        <w:rPr/>
        <w:t>of</w:t>
      </w:r>
      <w:r>
        <w:rPr>
          <w:spacing w:val="-15"/>
        </w:rPr>
        <w:t> </w:t>
      </w:r>
      <w:r>
        <w:rPr/>
        <w:t>the</w:t>
      </w:r>
      <w:r>
        <w:rPr>
          <w:spacing w:val="-14"/>
        </w:rPr>
        <w:t> </w:t>
      </w:r>
      <w:r>
        <w:rPr/>
        <w:t>scale</w:t>
      </w:r>
      <w:r>
        <w:rPr>
          <w:spacing w:val="-15"/>
        </w:rPr>
        <w:t> </w:t>
      </w:r>
      <w:r>
        <w:rPr/>
        <w:t>division,</w:t>
      </w:r>
      <w:r>
        <w:rPr>
          <w:spacing w:val="-15"/>
        </w:rPr>
        <w:t> </w:t>
      </w:r>
      <w:r>
        <w:rPr/>
        <w:t>expressed</w:t>
      </w:r>
      <w:r>
        <w:rPr>
          <w:spacing w:val="-16"/>
        </w:rPr>
        <w:t> </w:t>
      </w:r>
      <w:r>
        <w:rPr/>
        <w:t>in</w:t>
      </w:r>
      <w:r>
        <w:rPr>
          <w:spacing w:val="-16"/>
        </w:rPr>
        <w:t> </w:t>
      </w:r>
      <w:r>
        <w:rPr/>
        <w:t>units</w:t>
      </w:r>
      <w:r>
        <w:rPr>
          <w:spacing w:val="-14"/>
        </w:rPr>
        <w:t> </w:t>
      </w:r>
      <w:r>
        <w:rPr/>
        <w:t>of</w:t>
      </w:r>
      <w:r>
        <w:rPr>
          <w:spacing w:val="-15"/>
        </w:rPr>
        <w:t> </w:t>
      </w:r>
      <w:r>
        <w:rPr/>
        <w:t>mass,</w:t>
      </w:r>
      <w:r>
        <w:rPr>
          <w:spacing w:val="-16"/>
        </w:rPr>
        <w:t> </w:t>
      </w:r>
      <w:r>
        <w:rPr/>
        <w:t>is</w:t>
      </w:r>
      <w:r>
        <w:rPr>
          <w:spacing w:val="-14"/>
        </w:rPr>
        <w:t> </w:t>
      </w:r>
      <w:r>
        <w:rPr/>
        <w:t>the</w:t>
      </w:r>
      <w:r>
        <w:rPr>
          <w:spacing w:val="-15"/>
        </w:rPr>
        <w:t> </w:t>
      </w:r>
      <w:r>
        <w:rPr/>
        <w:t>smallest</w:t>
      </w:r>
      <w:r>
        <w:rPr>
          <w:spacing w:val="-14"/>
        </w:rPr>
        <w:t> </w:t>
      </w:r>
      <w:r>
        <w:rPr/>
        <w:t>subdivision of the scale for analog indication or the difference between two consecutively indicated or printed values for digital indication or printing. See NIST Handbook</w:t>
      </w:r>
      <w:r>
        <w:rPr>
          <w:spacing w:val="-6"/>
        </w:rPr>
        <w:t> </w:t>
      </w:r>
      <w:r>
        <w:rPr/>
        <w:t>44.</w:t>
      </w:r>
    </w:p>
    <w:p>
      <w:pPr>
        <w:pStyle w:val="BodyText"/>
        <w:spacing w:before="2"/>
        <w:rPr>
          <w:sz w:val="20"/>
        </w:rPr>
      </w:pPr>
    </w:p>
    <w:p>
      <w:pPr>
        <w:pStyle w:val="BodyText"/>
        <w:ind w:left="139" w:right="135"/>
        <w:jc w:val="both"/>
      </w:pPr>
      <w:r>
        <w:rPr>
          <w:b/>
        </w:rPr>
        <w:t>drained weight. </w:t>
      </w:r>
      <w:r>
        <w:rPr/>
        <w:t>The weight of solid or semisolid product representing the contents of a package obtained after a prescribed method for removal of the liquid has been employed.</w:t>
      </w:r>
    </w:p>
    <w:p>
      <w:pPr>
        <w:pStyle w:val="BodyText"/>
        <w:spacing w:before="10"/>
        <w:rPr>
          <w:sz w:val="20"/>
        </w:rPr>
      </w:pPr>
    </w:p>
    <w:p>
      <w:pPr>
        <w:pStyle w:val="BodyText"/>
        <w:spacing w:before="1"/>
        <w:ind w:left="139" w:right="136"/>
        <w:jc w:val="both"/>
      </w:pPr>
      <w:r>
        <w:rPr>
          <w:b/>
        </w:rPr>
        <w:t>dry measure. </w:t>
      </w:r>
      <w:r>
        <w:rPr/>
        <w:t>Rigid containers designed for general and repeated use in the volume measurement of particulate solids. See Section 4.45. Dry Measures in NIST Handbook 44.</w:t>
      </w:r>
    </w:p>
    <w:p>
      <w:pPr>
        <w:pStyle w:val="BodyText"/>
        <w:spacing w:before="10"/>
        <w:rPr>
          <w:sz w:val="20"/>
        </w:rPr>
      </w:pPr>
    </w:p>
    <w:p>
      <w:pPr>
        <w:pStyle w:val="BodyText"/>
        <w:ind w:left="139" w:right="137"/>
        <w:jc w:val="both"/>
      </w:pPr>
      <w:r>
        <w:rPr>
          <w:b/>
        </w:rPr>
        <w:t>dry</w:t>
      </w:r>
      <w:r>
        <w:rPr>
          <w:b/>
          <w:spacing w:val="-6"/>
        </w:rPr>
        <w:t> </w:t>
      </w:r>
      <w:r>
        <w:rPr>
          <w:b/>
        </w:rPr>
        <w:t>pet</w:t>
      </w:r>
      <w:r>
        <w:rPr>
          <w:b/>
          <w:spacing w:val="-10"/>
        </w:rPr>
        <w:t> </w:t>
      </w:r>
      <w:r>
        <w:rPr>
          <w:b/>
        </w:rPr>
        <w:t>food.</w:t>
      </w:r>
      <w:r>
        <w:rPr>
          <w:b/>
          <w:spacing w:val="43"/>
        </w:rPr>
        <w:t> </w:t>
      </w:r>
      <w:r>
        <w:rPr/>
        <w:t>All</w:t>
      </w:r>
      <w:r>
        <w:rPr>
          <w:spacing w:val="-5"/>
        </w:rPr>
        <w:t> </w:t>
      </w:r>
      <w:r>
        <w:rPr/>
        <w:t>extruded</w:t>
      </w:r>
      <w:r>
        <w:rPr>
          <w:spacing w:val="-11"/>
        </w:rPr>
        <w:t> </w:t>
      </w:r>
      <w:r>
        <w:rPr/>
        <w:t>dog</w:t>
      </w:r>
      <w:r>
        <w:rPr>
          <w:spacing w:val="-9"/>
        </w:rPr>
        <w:t> </w:t>
      </w:r>
      <w:r>
        <w:rPr/>
        <w:t>and</w:t>
      </w:r>
      <w:r>
        <w:rPr>
          <w:spacing w:val="-6"/>
        </w:rPr>
        <w:t> </w:t>
      </w:r>
      <w:r>
        <w:rPr/>
        <w:t>cat</w:t>
      </w:r>
      <w:r>
        <w:rPr>
          <w:spacing w:val="-5"/>
        </w:rPr>
        <w:t> </w:t>
      </w:r>
      <w:r>
        <w:rPr/>
        <w:t>foods</w:t>
      </w:r>
      <w:r>
        <w:rPr>
          <w:spacing w:val="-8"/>
        </w:rPr>
        <w:t> </w:t>
      </w:r>
      <w:r>
        <w:rPr/>
        <w:t>and</w:t>
      </w:r>
      <w:r>
        <w:rPr>
          <w:spacing w:val="-6"/>
        </w:rPr>
        <w:t> </w:t>
      </w:r>
      <w:r>
        <w:rPr/>
        <w:t>baked</w:t>
      </w:r>
      <w:r>
        <w:rPr>
          <w:spacing w:val="-6"/>
        </w:rPr>
        <w:t> </w:t>
      </w:r>
      <w:r>
        <w:rPr/>
        <w:t>treats</w:t>
      </w:r>
      <w:r>
        <w:rPr>
          <w:spacing w:val="-6"/>
        </w:rPr>
        <w:t> </w:t>
      </w:r>
      <w:r>
        <w:rPr/>
        <w:t>packaged</w:t>
      </w:r>
      <w:r>
        <w:rPr>
          <w:spacing w:val="-6"/>
        </w:rPr>
        <w:t> </w:t>
      </w:r>
      <w:r>
        <w:rPr/>
        <w:t>in</w:t>
      </w:r>
      <w:r>
        <w:rPr>
          <w:spacing w:val="-9"/>
        </w:rPr>
        <w:t> </w:t>
      </w:r>
      <w:r>
        <w:rPr/>
        <w:t>Kraft</w:t>
      </w:r>
      <w:r>
        <w:rPr>
          <w:spacing w:val="-5"/>
        </w:rPr>
        <w:t> </w:t>
      </w:r>
      <w:r>
        <w:rPr/>
        <w:t>paper</w:t>
      </w:r>
      <w:r>
        <w:rPr>
          <w:spacing w:val="-8"/>
        </w:rPr>
        <w:t> </w:t>
      </w:r>
      <w:r>
        <w:rPr/>
        <w:t>bags</w:t>
      </w:r>
      <w:r>
        <w:rPr>
          <w:spacing w:val="-5"/>
        </w:rPr>
        <w:t> </w:t>
      </w:r>
      <w:r>
        <w:rPr/>
        <w:t>and</w:t>
      </w:r>
      <w:r>
        <w:rPr>
          <w:spacing w:val="-8"/>
        </w:rPr>
        <w:t> </w:t>
      </w:r>
      <w:r>
        <w:rPr/>
        <w:t>cardboard boxes that have a moisture content of 13 % or less at the time of</w:t>
      </w:r>
      <w:r>
        <w:rPr>
          <w:spacing w:val="-11"/>
        </w:rPr>
        <w:t> </w:t>
      </w:r>
      <w:r>
        <w:rPr/>
        <w:t>packaging.</w:t>
      </w:r>
    </w:p>
    <w:p>
      <w:pPr>
        <w:pStyle w:val="BodyText"/>
        <w:spacing w:before="11"/>
        <w:rPr>
          <w:sz w:val="12"/>
        </w:rPr>
      </w:pPr>
    </w:p>
    <w:p>
      <w:pPr>
        <w:spacing w:before="91"/>
        <w:ind w:left="139" w:right="0" w:firstLine="0"/>
        <w:jc w:val="left"/>
        <w:rPr>
          <w:sz w:val="22"/>
        </w:rPr>
      </w:pPr>
      <w:r>
        <w:rPr>
          <w:b/>
          <w:sz w:val="22"/>
        </w:rPr>
        <w:t>dry tare. </w:t>
      </w:r>
      <w:r>
        <w:rPr>
          <w:sz w:val="22"/>
        </w:rPr>
        <w:t>See UNUSED DRY TARE.</w:t>
      </w:r>
    </w:p>
    <w:p>
      <w:pPr>
        <w:pStyle w:val="BodyText"/>
        <w:spacing w:before="10"/>
        <w:rPr>
          <w:sz w:val="20"/>
        </w:rPr>
      </w:pPr>
    </w:p>
    <w:p>
      <w:pPr>
        <w:pStyle w:val="Heading1"/>
        <w:ind w:right="1"/>
        <w:jc w:val="center"/>
      </w:pPr>
      <w:r>
        <w:rPr/>
        <w:t>E</w:t>
      </w:r>
    </w:p>
    <w:p>
      <w:pPr>
        <w:pStyle w:val="BodyText"/>
        <w:spacing w:before="1"/>
        <w:rPr>
          <w:b/>
          <w:sz w:val="13"/>
        </w:rPr>
      </w:pPr>
    </w:p>
    <w:p>
      <w:pPr>
        <w:spacing w:before="92"/>
        <w:ind w:left="140" w:right="0" w:firstLine="0"/>
        <w:jc w:val="left"/>
        <w:rPr>
          <w:sz w:val="22"/>
        </w:rPr>
      </w:pPr>
      <w:r>
        <w:rPr>
          <w:b/>
          <w:sz w:val="22"/>
        </w:rPr>
        <w:t>error. </w:t>
      </w:r>
      <w:r>
        <w:rPr>
          <w:sz w:val="22"/>
        </w:rPr>
        <w:t>See PACKAGE ERROR.</w:t>
      </w:r>
    </w:p>
    <w:p>
      <w:pPr>
        <w:pStyle w:val="BodyText"/>
        <w:spacing w:before="7"/>
        <w:rPr>
          <w:sz w:val="20"/>
        </w:rPr>
      </w:pPr>
    </w:p>
    <w:p>
      <w:pPr>
        <w:pStyle w:val="Heading1"/>
        <w:jc w:val="center"/>
      </w:pPr>
      <w:r>
        <w:rPr/>
        <w:t>G</w:t>
      </w:r>
    </w:p>
    <w:p>
      <w:pPr>
        <w:pStyle w:val="BodyText"/>
        <w:spacing w:before="1"/>
        <w:rPr>
          <w:b/>
          <w:sz w:val="13"/>
        </w:rPr>
      </w:pPr>
    </w:p>
    <w:p>
      <w:pPr>
        <w:spacing w:before="91"/>
        <w:ind w:left="140" w:right="0" w:firstLine="0"/>
        <w:jc w:val="both"/>
        <w:rPr>
          <w:sz w:val="22"/>
        </w:rPr>
      </w:pPr>
      <w:r>
        <w:rPr>
          <w:b/>
          <w:sz w:val="22"/>
        </w:rPr>
        <w:t>gravimetric test procedure. </w:t>
      </w:r>
      <w:r>
        <w:rPr>
          <w:sz w:val="22"/>
        </w:rPr>
        <w:t>An analytical procedure that involves measurement by mass or weight.</w:t>
      </w:r>
    </w:p>
    <w:p>
      <w:pPr>
        <w:pStyle w:val="BodyText"/>
        <w:rPr>
          <w:sz w:val="21"/>
        </w:rPr>
      </w:pPr>
    </w:p>
    <w:p>
      <w:pPr>
        <w:pStyle w:val="BodyText"/>
        <w:ind w:left="140"/>
        <w:jc w:val="both"/>
      </w:pPr>
      <w:r>
        <w:rPr>
          <w:b/>
        </w:rPr>
        <w:t>gross weight. </w:t>
      </w:r>
      <w:r>
        <w:rPr/>
        <w:t>The weight of the package including contents, packing material, labels.</w:t>
      </w:r>
    </w:p>
    <w:p>
      <w:pPr>
        <w:pStyle w:val="BodyText"/>
        <w:spacing w:before="7"/>
        <w:rPr>
          <w:sz w:val="20"/>
        </w:rPr>
      </w:pPr>
    </w:p>
    <w:p>
      <w:pPr>
        <w:pStyle w:val="Heading1"/>
        <w:jc w:val="center"/>
      </w:pPr>
      <w:r>
        <w:rPr/>
        <w:t>H</w:t>
      </w:r>
    </w:p>
    <w:p>
      <w:pPr>
        <w:pStyle w:val="BodyText"/>
        <w:spacing w:before="1"/>
        <w:rPr>
          <w:b/>
          <w:sz w:val="21"/>
        </w:rPr>
      </w:pPr>
    </w:p>
    <w:p>
      <w:pPr>
        <w:pStyle w:val="BodyText"/>
        <w:ind w:left="140"/>
        <w:jc w:val="both"/>
      </w:pPr>
      <w:r>
        <w:rPr>
          <w:b/>
        </w:rPr>
        <w:t>headspace. </w:t>
      </w:r>
      <w:r>
        <w:rPr/>
        <w:t>The container volume not occupied by product.</w:t>
      </w:r>
    </w:p>
    <w:p>
      <w:pPr>
        <w:pStyle w:val="BodyText"/>
        <w:spacing w:before="7"/>
        <w:rPr>
          <w:sz w:val="20"/>
        </w:rPr>
      </w:pPr>
    </w:p>
    <w:p>
      <w:pPr>
        <w:pStyle w:val="Heading1"/>
        <w:jc w:val="center"/>
      </w:pPr>
      <w:r>
        <w:rPr>
          <w:w w:val="99"/>
        </w:rPr>
        <w:t>I</w:t>
      </w:r>
    </w:p>
    <w:p>
      <w:pPr>
        <w:pStyle w:val="BodyText"/>
        <w:spacing w:before="9"/>
        <w:rPr>
          <w:b/>
          <w:sz w:val="20"/>
        </w:rPr>
      </w:pPr>
    </w:p>
    <w:p>
      <w:pPr>
        <w:pStyle w:val="BodyText"/>
        <w:spacing w:before="1"/>
        <w:ind w:left="140" w:right="134"/>
        <w:jc w:val="both"/>
      </w:pPr>
      <w:r>
        <w:rPr>
          <w:b/>
        </w:rPr>
        <w:t>initial tare sample. </w:t>
      </w:r>
      <w:r>
        <w:rPr/>
        <w:t>The first packages (either two or five) selected from the sample to be opened for tare determination in the tare procedure. Depending upon the variability of these individual tare weights as compared</w:t>
      </w:r>
      <w:r>
        <w:rPr>
          <w:spacing w:val="-12"/>
        </w:rPr>
        <w:t> </w:t>
      </w:r>
      <w:r>
        <w:rPr/>
        <w:t>with</w:t>
      </w:r>
      <w:r>
        <w:rPr>
          <w:spacing w:val="-11"/>
        </w:rPr>
        <w:t> </w:t>
      </w:r>
      <w:r>
        <w:rPr/>
        <w:t>the</w:t>
      </w:r>
      <w:r>
        <w:rPr>
          <w:spacing w:val="-11"/>
        </w:rPr>
        <w:t> </w:t>
      </w:r>
      <w:r>
        <w:rPr/>
        <w:t>variability</w:t>
      </w:r>
      <w:r>
        <w:rPr>
          <w:spacing w:val="-14"/>
        </w:rPr>
        <w:t> </w:t>
      </w:r>
      <w:r>
        <w:rPr/>
        <w:t>of</w:t>
      </w:r>
      <w:r>
        <w:rPr>
          <w:spacing w:val="-10"/>
        </w:rPr>
        <w:t> </w:t>
      </w:r>
      <w:r>
        <w:rPr/>
        <w:t>the</w:t>
      </w:r>
      <w:r>
        <w:rPr>
          <w:spacing w:val="-10"/>
        </w:rPr>
        <w:t> </w:t>
      </w:r>
      <w:r>
        <w:rPr/>
        <w:t>net</w:t>
      </w:r>
      <w:r>
        <w:rPr>
          <w:spacing w:val="-11"/>
        </w:rPr>
        <w:t> </w:t>
      </w:r>
      <w:r>
        <w:rPr/>
        <w:t>contents,</w:t>
      </w:r>
      <w:r>
        <w:rPr>
          <w:spacing w:val="-11"/>
        </w:rPr>
        <w:t> </w:t>
      </w:r>
      <w:r>
        <w:rPr/>
        <w:t>this</w:t>
      </w:r>
      <w:r>
        <w:rPr>
          <w:spacing w:val="-13"/>
        </w:rPr>
        <w:t> </w:t>
      </w:r>
      <w:r>
        <w:rPr/>
        <w:t>initial</w:t>
      </w:r>
      <w:r>
        <w:rPr>
          <w:spacing w:val="-12"/>
        </w:rPr>
        <w:t> </w:t>
      </w:r>
      <w:r>
        <w:rPr/>
        <w:t>tare</w:t>
      </w:r>
      <w:r>
        <w:rPr>
          <w:spacing w:val="-11"/>
        </w:rPr>
        <w:t> </w:t>
      </w:r>
      <w:r>
        <w:rPr/>
        <w:t>sample</w:t>
      </w:r>
      <w:r>
        <w:rPr>
          <w:spacing w:val="-10"/>
        </w:rPr>
        <w:t> </w:t>
      </w:r>
      <w:r>
        <w:rPr/>
        <w:t>may</w:t>
      </w:r>
      <w:r>
        <w:rPr>
          <w:spacing w:val="-13"/>
        </w:rPr>
        <w:t> </w:t>
      </w:r>
      <w:r>
        <w:rPr/>
        <w:t>be</w:t>
      </w:r>
      <w:r>
        <w:rPr>
          <w:spacing w:val="-10"/>
        </w:rPr>
        <w:t> </w:t>
      </w:r>
      <w:r>
        <w:rPr/>
        <w:t>sufficient</w:t>
      </w:r>
      <w:r>
        <w:rPr>
          <w:spacing w:val="-11"/>
        </w:rPr>
        <w:t> </w:t>
      </w:r>
      <w:r>
        <w:rPr/>
        <w:t>or</w:t>
      </w:r>
      <w:r>
        <w:rPr>
          <w:spacing w:val="-10"/>
        </w:rPr>
        <w:t> </w:t>
      </w:r>
      <w:r>
        <w:rPr/>
        <w:t>more</w:t>
      </w:r>
      <w:r>
        <w:rPr>
          <w:spacing w:val="-10"/>
        </w:rPr>
        <w:t> </w:t>
      </w:r>
      <w:r>
        <w:rPr/>
        <w:t>packages may be needed to determine the</w:t>
      </w:r>
      <w:r>
        <w:rPr>
          <w:spacing w:val="-8"/>
        </w:rPr>
        <w:t> </w:t>
      </w:r>
      <w:r>
        <w:rPr/>
        <w:t>tare.</w:t>
      </w:r>
    </w:p>
    <w:p>
      <w:pPr>
        <w:pStyle w:val="BodyText"/>
        <w:spacing w:before="1"/>
      </w:pPr>
    </w:p>
    <w:p>
      <w:pPr>
        <w:pStyle w:val="BodyText"/>
        <w:spacing w:before="1"/>
        <w:ind w:left="140" w:right="133"/>
        <w:jc w:val="both"/>
      </w:pPr>
      <w:r>
        <w:rPr>
          <w:b/>
        </w:rPr>
        <w:t>inspection lot. </w:t>
      </w:r>
      <w:r>
        <w:rPr/>
        <w:t>The collection of identically labeled (random packages, in some cases, are exempt from identity and labeled quantity when determining the inspection lot) packages available for inspection at</w:t>
      </w:r>
      <w:r>
        <w:rPr>
          <w:spacing w:val="-40"/>
        </w:rPr>
        <w:t> </w:t>
      </w:r>
      <w:r>
        <w:rPr/>
        <w:t>one time. This collection will pass or fail as a whole based on the results of tests on a sample drawn from this collection.</w:t>
      </w:r>
    </w:p>
    <w:p>
      <w:pPr>
        <w:pStyle w:val="BodyText"/>
        <w:spacing w:before="11"/>
        <w:rPr>
          <w:sz w:val="12"/>
        </w:rPr>
      </w:pPr>
    </w:p>
    <w:p>
      <w:pPr>
        <w:pStyle w:val="Heading1"/>
        <w:spacing w:before="90"/>
        <w:ind w:left="4738"/>
      </w:pPr>
      <w:r>
        <w:rPr/>
        <w:t>L</w:t>
      </w:r>
    </w:p>
    <w:p>
      <w:pPr>
        <w:pStyle w:val="BodyText"/>
        <w:spacing w:before="9"/>
        <w:rPr>
          <w:b/>
          <w:sz w:val="20"/>
        </w:rPr>
      </w:pPr>
    </w:p>
    <w:p>
      <w:pPr>
        <w:pStyle w:val="BodyText"/>
        <w:ind w:left="140" w:right="136"/>
        <w:jc w:val="both"/>
      </w:pPr>
      <w:r>
        <w:rPr>
          <w:b/>
        </w:rPr>
        <w:t>label.</w:t>
      </w:r>
      <w:r>
        <w:rPr>
          <w:b/>
          <w:spacing w:val="28"/>
        </w:rPr>
        <w:t> </w:t>
      </w:r>
      <w:r>
        <w:rPr/>
        <w:t>Any</w:t>
      </w:r>
      <w:r>
        <w:rPr>
          <w:spacing w:val="-16"/>
        </w:rPr>
        <w:t> </w:t>
      </w:r>
      <w:r>
        <w:rPr/>
        <w:t>written,</w:t>
      </w:r>
      <w:r>
        <w:rPr>
          <w:spacing w:val="-13"/>
        </w:rPr>
        <w:t> </w:t>
      </w:r>
      <w:r>
        <w:rPr/>
        <w:t>printed,</w:t>
      </w:r>
      <w:r>
        <w:rPr>
          <w:spacing w:val="-16"/>
        </w:rPr>
        <w:t> </w:t>
      </w:r>
      <w:r>
        <w:rPr/>
        <w:t>or</w:t>
      </w:r>
      <w:r>
        <w:rPr>
          <w:spacing w:val="-12"/>
        </w:rPr>
        <w:t> </w:t>
      </w:r>
      <w:r>
        <w:rPr/>
        <w:t>graphic</w:t>
      </w:r>
      <w:r>
        <w:rPr>
          <w:spacing w:val="-13"/>
        </w:rPr>
        <w:t> </w:t>
      </w:r>
      <w:r>
        <w:rPr/>
        <w:t>matter</w:t>
      </w:r>
      <w:r>
        <w:rPr>
          <w:spacing w:val="-12"/>
        </w:rPr>
        <w:t> </w:t>
      </w:r>
      <w:r>
        <w:rPr/>
        <w:t>affixed</w:t>
      </w:r>
      <w:r>
        <w:rPr>
          <w:spacing w:val="-16"/>
        </w:rPr>
        <w:t> </w:t>
      </w:r>
      <w:r>
        <w:rPr/>
        <w:t>to,</w:t>
      </w:r>
      <w:r>
        <w:rPr>
          <w:spacing w:val="-13"/>
        </w:rPr>
        <w:t> </w:t>
      </w:r>
      <w:r>
        <w:rPr/>
        <w:t>applied</w:t>
      </w:r>
      <w:r>
        <w:rPr>
          <w:spacing w:val="-16"/>
        </w:rPr>
        <w:t> </w:t>
      </w:r>
      <w:r>
        <w:rPr/>
        <w:t>to,</w:t>
      </w:r>
      <w:r>
        <w:rPr>
          <w:spacing w:val="-13"/>
        </w:rPr>
        <w:t> </w:t>
      </w:r>
      <w:r>
        <w:rPr/>
        <w:t>attached</w:t>
      </w:r>
      <w:r>
        <w:rPr>
          <w:spacing w:val="-13"/>
        </w:rPr>
        <w:t> </w:t>
      </w:r>
      <w:r>
        <w:rPr/>
        <w:t>to,</w:t>
      </w:r>
      <w:r>
        <w:rPr>
          <w:spacing w:val="-13"/>
        </w:rPr>
        <w:t> </w:t>
      </w:r>
      <w:r>
        <w:rPr/>
        <w:t>blown</w:t>
      </w:r>
      <w:r>
        <w:rPr>
          <w:spacing w:val="-13"/>
        </w:rPr>
        <w:t> </w:t>
      </w:r>
      <w:r>
        <w:rPr/>
        <w:t>into,</w:t>
      </w:r>
      <w:r>
        <w:rPr>
          <w:spacing w:val="-16"/>
        </w:rPr>
        <w:t> </w:t>
      </w:r>
      <w:r>
        <w:rPr/>
        <w:t>formed,</w:t>
      </w:r>
      <w:r>
        <w:rPr>
          <w:spacing w:val="-13"/>
        </w:rPr>
        <w:t> </w:t>
      </w:r>
      <w:r>
        <w:rPr/>
        <w:t>molded into, embossed on, or appearing upon or adjacent to a consumer commodity or a package containing any consumer commodity, for purposes of branding, identifying, or giving any information with respect to the commodity</w:t>
      </w:r>
      <w:r>
        <w:rPr>
          <w:spacing w:val="-12"/>
        </w:rPr>
        <w:t> </w:t>
      </w:r>
      <w:r>
        <w:rPr/>
        <w:t>or</w:t>
      </w:r>
      <w:r>
        <w:rPr>
          <w:spacing w:val="-8"/>
        </w:rPr>
        <w:t> </w:t>
      </w:r>
      <w:r>
        <w:rPr/>
        <w:t>to</w:t>
      </w:r>
      <w:r>
        <w:rPr>
          <w:spacing w:val="-9"/>
        </w:rPr>
        <w:t> </w:t>
      </w:r>
      <w:r>
        <w:rPr/>
        <w:t>the</w:t>
      </w:r>
      <w:r>
        <w:rPr>
          <w:spacing w:val="-11"/>
        </w:rPr>
        <w:t> </w:t>
      </w:r>
      <w:r>
        <w:rPr/>
        <w:t>contents</w:t>
      </w:r>
      <w:r>
        <w:rPr>
          <w:spacing w:val="-8"/>
        </w:rPr>
        <w:t> </w:t>
      </w:r>
      <w:r>
        <w:rPr/>
        <w:t>of</w:t>
      </w:r>
      <w:r>
        <w:rPr>
          <w:spacing w:val="-10"/>
        </w:rPr>
        <w:t> </w:t>
      </w:r>
      <w:r>
        <w:rPr/>
        <w:t>the</w:t>
      </w:r>
      <w:r>
        <w:rPr>
          <w:spacing w:val="-12"/>
        </w:rPr>
        <w:t> </w:t>
      </w:r>
      <w:r>
        <w:rPr/>
        <w:t>package,</w:t>
      </w:r>
      <w:r>
        <w:rPr>
          <w:spacing w:val="-9"/>
        </w:rPr>
        <w:t> </w:t>
      </w:r>
      <w:r>
        <w:rPr/>
        <w:t>except</w:t>
      </w:r>
      <w:r>
        <w:rPr>
          <w:spacing w:val="-10"/>
        </w:rPr>
        <w:t> </w:t>
      </w:r>
      <w:r>
        <w:rPr/>
        <w:t>that</w:t>
      </w:r>
      <w:r>
        <w:rPr>
          <w:spacing w:val="-9"/>
        </w:rPr>
        <w:t> </w:t>
      </w:r>
      <w:r>
        <w:rPr/>
        <w:t>an</w:t>
      </w:r>
      <w:r>
        <w:rPr>
          <w:spacing w:val="-11"/>
        </w:rPr>
        <w:t> </w:t>
      </w:r>
      <w:r>
        <w:rPr/>
        <w:t>inspector’s</w:t>
      </w:r>
      <w:r>
        <w:rPr>
          <w:spacing w:val="-10"/>
        </w:rPr>
        <w:t> </w:t>
      </w:r>
      <w:r>
        <w:rPr/>
        <w:t>tag</w:t>
      </w:r>
      <w:r>
        <w:rPr>
          <w:spacing w:val="-11"/>
        </w:rPr>
        <w:t> </w:t>
      </w:r>
      <w:r>
        <w:rPr/>
        <w:t>or</w:t>
      </w:r>
      <w:r>
        <w:rPr>
          <w:spacing w:val="-11"/>
        </w:rPr>
        <w:t> </w:t>
      </w:r>
      <w:r>
        <w:rPr/>
        <w:t>other</w:t>
      </w:r>
      <w:r>
        <w:rPr>
          <w:spacing w:val="-10"/>
        </w:rPr>
        <w:t> </w:t>
      </w:r>
      <w:r>
        <w:rPr/>
        <w:t>non-promotional</w:t>
      </w:r>
      <w:r>
        <w:rPr>
          <w:spacing w:val="-8"/>
        </w:rPr>
        <w:t> </w:t>
      </w:r>
      <w:r>
        <w:rPr/>
        <w:t>matter</w:t>
      </w:r>
    </w:p>
    <w:p>
      <w:pPr>
        <w:spacing w:after="0"/>
        <w:jc w:val="both"/>
        <w:sectPr>
          <w:pgSz w:w="12240" w:h="15840"/>
          <w:pgMar w:header="730" w:footer="741" w:top="1340" w:bottom="940" w:left="1300" w:right="1300"/>
        </w:sectPr>
      </w:pPr>
    </w:p>
    <w:p>
      <w:pPr>
        <w:pStyle w:val="BodyText"/>
        <w:spacing w:before="81"/>
        <w:ind w:left="140" w:right="134"/>
        <w:jc w:val="both"/>
      </w:pPr>
      <w:r>
        <w:rPr/>
        <w:t>affixed to or appearing upon a consumer commodity is not a label. See Section 2.5 in the Uniform Packaging and Labeling Regulation in NIST Handbook 130.</w:t>
      </w:r>
    </w:p>
    <w:p>
      <w:pPr>
        <w:pStyle w:val="BodyText"/>
        <w:spacing w:before="1"/>
        <w:rPr>
          <w:sz w:val="21"/>
        </w:rPr>
      </w:pPr>
    </w:p>
    <w:p>
      <w:pPr>
        <w:spacing w:before="0"/>
        <w:ind w:left="140" w:right="0" w:firstLine="0"/>
        <w:jc w:val="both"/>
        <w:rPr>
          <w:sz w:val="22"/>
        </w:rPr>
      </w:pPr>
      <w:r>
        <w:rPr>
          <w:b/>
          <w:sz w:val="22"/>
        </w:rPr>
        <w:t>linear measures. </w:t>
      </w:r>
      <w:r>
        <w:rPr>
          <w:sz w:val="22"/>
        </w:rPr>
        <w:t>Rulers and Tape Measures.</w:t>
      </w:r>
    </w:p>
    <w:p>
      <w:pPr>
        <w:pStyle w:val="BodyText"/>
        <w:spacing w:before="7"/>
        <w:rPr>
          <w:sz w:val="20"/>
        </w:rPr>
      </w:pPr>
    </w:p>
    <w:p>
      <w:pPr>
        <w:pStyle w:val="BodyText"/>
        <w:ind w:left="140" w:right="133"/>
        <w:jc w:val="both"/>
      </w:pPr>
      <w:r>
        <w:rPr>
          <w:b/>
        </w:rPr>
        <w:t>location of test. </w:t>
      </w:r>
      <w:r>
        <w:rPr/>
        <w:t>The place where the package will be examined. This is broadly defined as one of three general locations: (1) where the commodity was packaged, (2) a warehouse or storage location, or (3) a retail outlet.</w:t>
      </w:r>
    </w:p>
    <w:p>
      <w:pPr>
        <w:pStyle w:val="BodyText"/>
        <w:rPr>
          <w:sz w:val="21"/>
        </w:rPr>
      </w:pPr>
    </w:p>
    <w:p>
      <w:pPr>
        <w:spacing w:before="0"/>
        <w:ind w:left="140" w:right="0" w:firstLine="0"/>
        <w:jc w:val="both"/>
        <w:rPr>
          <w:sz w:val="22"/>
        </w:rPr>
      </w:pPr>
      <w:r>
        <w:rPr>
          <w:b/>
          <w:sz w:val="22"/>
        </w:rPr>
        <w:t>lot. </w:t>
      </w:r>
      <w:r>
        <w:rPr>
          <w:sz w:val="22"/>
        </w:rPr>
        <w:t>See INSPECTION LOT.</w:t>
      </w:r>
    </w:p>
    <w:p>
      <w:pPr>
        <w:pStyle w:val="BodyText"/>
        <w:spacing w:before="9"/>
        <w:rPr>
          <w:sz w:val="20"/>
        </w:rPr>
      </w:pPr>
    </w:p>
    <w:p>
      <w:pPr>
        <w:pStyle w:val="BodyText"/>
        <w:ind w:left="140" w:right="137"/>
        <w:jc w:val="both"/>
      </w:pPr>
      <w:r>
        <w:rPr>
          <w:b/>
        </w:rPr>
        <w:t>lot code. </w:t>
      </w:r>
      <w:r>
        <w:rPr/>
        <w:t>A series of identifying numbers and/or letters on the outside of a package designed to provide information such as the date and location of packaging or the expiration date.</w:t>
      </w:r>
    </w:p>
    <w:p>
      <w:pPr>
        <w:pStyle w:val="BodyText"/>
        <w:spacing w:before="1"/>
        <w:rPr>
          <w:sz w:val="21"/>
        </w:rPr>
      </w:pPr>
    </w:p>
    <w:p>
      <w:pPr>
        <w:pStyle w:val="BodyText"/>
        <w:ind w:left="140"/>
        <w:jc w:val="both"/>
      </w:pPr>
      <w:r>
        <w:rPr>
          <w:b/>
        </w:rPr>
        <w:t>lot size. </w:t>
      </w:r>
      <w:r>
        <w:rPr/>
        <w:t>The number of packages in the “inspection lot”.</w:t>
      </w:r>
    </w:p>
    <w:p>
      <w:pPr>
        <w:pStyle w:val="BodyText"/>
        <w:spacing w:before="8"/>
        <w:rPr>
          <w:sz w:val="20"/>
        </w:rPr>
      </w:pPr>
    </w:p>
    <w:p>
      <w:pPr>
        <w:pStyle w:val="Heading1"/>
        <w:ind w:left="4707"/>
      </w:pPr>
      <w:r>
        <w:rPr/>
        <w:t>M</w:t>
      </w:r>
    </w:p>
    <w:p>
      <w:pPr>
        <w:pStyle w:val="BodyText"/>
        <w:rPr>
          <w:b/>
          <w:sz w:val="21"/>
        </w:rPr>
      </w:pPr>
    </w:p>
    <w:p>
      <w:pPr>
        <w:pStyle w:val="BodyText"/>
        <w:ind w:left="140"/>
        <w:jc w:val="both"/>
      </w:pPr>
      <w:r>
        <w:rPr>
          <w:b/>
        </w:rPr>
        <w:t>MAV. </w:t>
      </w:r>
      <w:r>
        <w:rPr/>
        <w:t>See MAXIMUM ALLOWABLE VARIATION</w:t>
      </w:r>
    </w:p>
    <w:p>
      <w:pPr>
        <w:pStyle w:val="BodyText"/>
        <w:spacing w:before="7"/>
        <w:rPr>
          <w:sz w:val="20"/>
        </w:rPr>
      </w:pPr>
    </w:p>
    <w:p>
      <w:pPr>
        <w:pStyle w:val="BodyText"/>
        <w:ind w:left="140" w:right="138"/>
        <w:jc w:val="both"/>
      </w:pPr>
      <w:r>
        <w:rPr>
          <w:b/>
        </w:rPr>
        <w:t>maximum allowable variation (MAV). </w:t>
      </w:r>
      <w:r>
        <w:rPr/>
        <w:t>A deficiency in the weight, measure, or count of an individual package</w:t>
      </w:r>
      <w:r>
        <w:rPr>
          <w:spacing w:val="-10"/>
        </w:rPr>
        <w:t> </w:t>
      </w:r>
      <w:r>
        <w:rPr/>
        <w:t>beyond</w:t>
      </w:r>
      <w:r>
        <w:rPr>
          <w:spacing w:val="-10"/>
        </w:rPr>
        <w:t> </w:t>
      </w:r>
      <w:r>
        <w:rPr/>
        <w:t>which</w:t>
      </w:r>
      <w:r>
        <w:rPr>
          <w:spacing w:val="-11"/>
        </w:rPr>
        <w:t> </w:t>
      </w:r>
      <w:r>
        <w:rPr/>
        <w:t>the</w:t>
      </w:r>
      <w:r>
        <w:rPr>
          <w:spacing w:val="-12"/>
        </w:rPr>
        <w:t> </w:t>
      </w:r>
      <w:r>
        <w:rPr/>
        <w:t>deficiency</w:t>
      </w:r>
      <w:r>
        <w:rPr>
          <w:spacing w:val="-13"/>
        </w:rPr>
        <w:t> </w:t>
      </w:r>
      <w:r>
        <w:rPr/>
        <w:t>is</w:t>
      </w:r>
      <w:r>
        <w:rPr>
          <w:spacing w:val="-10"/>
        </w:rPr>
        <w:t> </w:t>
      </w:r>
      <w:r>
        <w:rPr/>
        <w:t>considered</w:t>
      </w:r>
      <w:r>
        <w:rPr>
          <w:spacing w:val="-13"/>
        </w:rPr>
        <w:t> </w:t>
      </w:r>
      <w:r>
        <w:rPr/>
        <w:t>to</w:t>
      </w:r>
      <w:r>
        <w:rPr>
          <w:spacing w:val="-10"/>
        </w:rPr>
        <w:t> </w:t>
      </w:r>
      <w:r>
        <w:rPr/>
        <w:t>be</w:t>
      </w:r>
      <w:r>
        <w:rPr>
          <w:spacing w:val="-10"/>
        </w:rPr>
        <w:t> </w:t>
      </w:r>
      <w:r>
        <w:rPr/>
        <w:t>an</w:t>
      </w:r>
      <w:r>
        <w:rPr>
          <w:spacing w:val="-10"/>
        </w:rPr>
        <w:t> </w:t>
      </w:r>
      <w:r>
        <w:rPr/>
        <w:t>“unreasonable</w:t>
      </w:r>
      <w:r>
        <w:rPr>
          <w:spacing w:val="-10"/>
        </w:rPr>
        <w:t> </w:t>
      </w:r>
      <w:r>
        <w:rPr/>
        <w:t>error”.</w:t>
      </w:r>
      <w:r>
        <w:rPr>
          <w:spacing w:val="32"/>
        </w:rPr>
        <w:t> </w:t>
      </w:r>
      <w:r>
        <w:rPr/>
        <w:t>The</w:t>
      </w:r>
      <w:r>
        <w:rPr>
          <w:spacing w:val="-10"/>
        </w:rPr>
        <w:t> </w:t>
      </w:r>
      <w:r>
        <w:rPr/>
        <w:t>number</w:t>
      </w:r>
      <w:r>
        <w:rPr>
          <w:spacing w:val="-9"/>
        </w:rPr>
        <w:t> </w:t>
      </w:r>
      <w:r>
        <w:rPr/>
        <w:t>of</w:t>
      </w:r>
      <w:r>
        <w:rPr>
          <w:spacing w:val="-10"/>
        </w:rPr>
        <w:t> </w:t>
      </w:r>
      <w:r>
        <w:rPr/>
        <w:t>packages with deficiencies that are greater than the MAV is controlled by the sampling</w:t>
      </w:r>
      <w:r>
        <w:rPr>
          <w:spacing w:val="-21"/>
        </w:rPr>
        <w:t> </w:t>
      </w:r>
      <w:r>
        <w:rPr/>
        <w:t>procedure.</w:t>
      </w:r>
    </w:p>
    <w:p>
      <w:pPr>
        <w:pStyle w:val="BodyText"/>
        <w:rPr>
          <w:sz w:val="21"/>
        </w:rPr>
      </w:pPr>
    </w:p>
    <w:p>
      <w:pPr>
        <w:pStyle w:val="BodyText"/>
        <w:ind w:left="139" w:right="136"/>
        <w:jc w:val="both"/>
      </w:pPr>
      <w:r>
        <w:rPr>
          <w:b/>
        </w:rPr>
        <w:t>measure containers. </w:t>
      </w:r>
      <w:r>
        <w:rPr/>
        <w:t>Containers whose capacities are used to determine quantity. They are of two basic types: (a) retail and (b) prepackaged. Retail containers are packaged at the time of retail sale, and prepackaged containers are packaged in advance of sale. An example of a prepackaged measure container is an ice cream package.</w:t>
      </w:r>
    </w:p>
    <w:p>
      <w:pPr>
        <w:pStyle w:val="BodyText"/>
        <w:spacing w:before="8"/>
        <w:rPr>
          <w:sz w:val="20"/>
        </w:rPr>
      </w:pPr>
    </w:p>
    <w:p>
      <w:pPr>
        <w:spacing w:before="1"/>
        <w:ind w:left="139" w:right="136" w:firstLine="0"/>
        <w:jc w:val="both"/>
        <w:rPr>
          <w:sz w:val="22"/>
        </w:rPr>
      </w:pPr>
      <w:r>
        <w:rPr>
          <w:b/>
          <w:sz w:val="22"/>
        </w:rPr>
        <w:t>metric or SI units. </w:t>
      </w:r>
      <w:r>
        <w:rPr>
          <w:sz w:val="22"/>
        </w:rPr>
        <w:t>Units of the International System of Units as established in 1960 by the General Conference</w:t>
      </w:r>
      <w:r>
        <w:rPr>
          <w:spacing w:val="-3"/>
          <w:sz w:val="22"/>
        </w:rPr>
        <w:t> </w:t>
      </w:r>
      <w:r>
        <w:rPr>
          <w:sz w:val="22"/>
        </w:rPr>
        <w:t>on</w:t>
      </w:r>
      <w:r>
        <w:rPr>
          <w:spacing w:val="-6"/>
          <w:sz w:val="22"/>
        </w:rPr>
        <w:t> </w:t>
      </w:r>
      <w:r>
        <w:rPr>
          <w:sz w:val="22"/>
        </w:rPr>
        <w:t>Weights</w:t>
      </w:r>
      <w:r>
        <w:rPr>
          <w:spacing w:val="-6"/>
          <w:sz w:val="22"/>
        </w:rPr>
        <w:t> </w:t>
      </w:r>
      <w:r>
        <w:rPr>
          <w:sz w:val="22"/>
        </w:rPr>
        <w:t>and</w:t>
      </w:r>
      <w:r>
        <w:rPr>
          <w:spacing w:val="-6"/>
          <w:sz w:val="22"/>
        </w:rPr>
        <w:t> </w:t>
      </w:r>
      <w:r>
        <w:rPr>
          <w:sz w:val="22"/>
        </w:rPr>
        <w:t>Measures</w:t>
      </w:r>
      <w:r>
        <w:rPr>
          <w:spacing w:val="-5"/>
          <w:sz w:val="22"/>
        </w:rPr>
        <w:t> </w:t>
      </w:r>
      <w:r>
        <w:rPr>
          <w:sz w:val="22"/>
        </w:rPr>
        <w:t>and</w:t>
      </w:r>
      <w:r>
        <w:rPr>
          <w:spacing w:val="-6"/>
          <w:sz w:val="22"/>
        </w:rPr>
        <w:t> </w:t>
      </w:r>
      <w:r>
        <w:rPr>
          <w:sz w:val="22"/>
        </w:rPr>
        <w:t>interpreted</w:t>
      </w:r>
      <w:r>
        <w:rPr>
          <w:spacing w:val="-6"/>
          <w:sz w:val="22"/>
        </w:rPr>
        <w:t> </w:t>
      </w:r>
      <w:r>
        <w:rPr>
          <w:sz w:val="22"/>
        </w:rPr>
        <w:t>or</w:t>
      </w:r>
      <w:r>
        <w:rPr>
          <w:spacing w:val="-3"/>
          <w:sz w:val="22"/>
        </w:rPr>
        <w:t> </w:t>
      </w:r>
      <w:r>
        <w:rPr>
          <w:sz w:val="22"/>
        </w:rPr>
        <w:t>modified</w:t>
      </w:r>
      <w:r>
        <w:rPr>
          <w:spacing w:val="-6"/>
          <w:sz w:val="22"/>
        </w:rPr>
        <w:t> </w:t>
      </w:r>
      <w:r>
        <w:rPr>
          <w:sz w:val="22"/>
        </w:rPr>
        <w:t>for</w:t>
      </w:r>
      <w:r>
        <w:rPr>
          <w:spacing w:val="-4"/>
          <w:sz w:val="22"/>
        </w:rPr>
        <w:t> </w:t>
      </w:r>
      <w:r>
        <w:rPr>
          <w:sz w:val="22"/>
        </w:rPr>
        <w:t>the</w:t>
      </w:r>
      <w:r>
        <w:rPr>
          <w:spacing w:val="-3"/>
          <w:sz w:val="22"/>
        </w:rPr>
        <w:t> </w:t>
      </w:r>
      <w:r>
        <w:rPr>
          <w:sz w:val="22"/>
        </w:rPr>
        <w:t>United</w:t>
      </w:r>
      <w:r>
        <w:rPr>
          <w:spacing w:val="-6"/>
          <w:sz w:val="22"/>
        </w:rPr>
        <w:t> </w:t>
      </w:r>
      <w:r>
        <w:rPr>
          <w:sz w:val="22"/>
        </w:rPr>
        <w:t>States</w:t>
      </w:r>
      <w:r>
        <w:rPr>
          <w:spacing w:val="-6"/>
          <w:sz w:val="22"/>
        </w:rPr>
        <w:t> </w:t>
      </w:r>
      <w:r>
        <w:rPr>
          <w:sz w:val="22"/>
        </w:rPr>
        <w:t>by</w:t>
      </w:r>
      <w:r>
        <w:rPr>
          <w:spacing w:val="-6"/>
          <w:sz w:val="22"/>
        </w:rPr>
        <w:t> </w:t>
      </w:r>
      <w:r>
        <w:rPr>
          <w:sz w:val="22"/>
        </w:rPr>
        <w:t>the</w:t>
      </w:r>
      <w:r>
        <w:rPr>
          <w:spacing w:val="-5"/>
          <w:sz w:val="22"/>
        </w:rPr>
        <w:t> </w:t>
      </w:r>
      <w:r>
        <w:rPr>
          <w:sz w:val="22"/>
        </w:rPr>
        <w:t>Secretary</w:t>
      </w:r>
      <w:r>
        <w:rPr>
          <w:spacing w:val="-6"/>
          <w:sz w:val="22"/>
        </w:rPr>
        <w:t> </w:t>
      </w:r>
      <w:r>
        <w:rPr>
          <w:sz w:val="22"/>
        </w:rPr>
        <w:t>of Commerce. (see NIST Special Publication (SP) 811, “Guide for the Use of the International System of Units (SI)” [</w:t>
      </w:r>
      <w:hyperlink r:id="rId9">
        <w:r>
          <w:rPr>
            <w:b/>
            <w:sz w:val="22"/>
          </w:rPr>
          <w:t>www.nist.gov/physical-measurement-laboratory/special-publication-811</w:t>
        </w:r>
      </w:hyperlink>
      <w:r>
        <w:rPr>
          <w:sz w:val="22"/>
        </w:rPr>
        <w:t>] and SP 330, The International System of Units (SI)”</w:t>
      </w:r>
      <w:r>
        <w:rPr>
          <w:spacing w:val="-9"/>
          <w:sz w:val="22"/>
        </w:rPr>
        <w:t> </w:t>
      </w:r>
      <w:r>
        <w:rPr>
          <w:sz w:val="22"/>
        </w:rPr>
        <w:t>[</w:t>
      </w:r>
      <w:hyperlink r:id="rId10">
        <w:r>
          <w:rPr>
            <w:b/>
            <w:sz w:val="22"/>
          </w:rPr>
          <w:t>www.nist.gov/pml/special-publication-330</w:t>
        </w:r>
      </w:hyperlink>
      <w:r>
        <w:rPr>
          <w:sz w:val="22"/>
        </w:rPr>
        <w:t>].)</w:t>
      </w:r>
    </w:p>
    <w:p>
      <w:pPr>
        <w:pStyle w:val="BodyText"/>
        <w:spacing w:before="9"/>
        <w:rPr>
          <w:sz w:val="20"/>
        </w:rPr>
      </w:pPr>
    </w:p>
    <w:p>
      <w:pPr>
        <w:pStyle w:val="BodyText"/>
        <w:spacing w:line="244" w:lineRule="auto"/>
        <w:ind w:left="139" w:right="135"/>
        <w:jc w:val="both"/>
      </w:pPr>
      <w:r>
        <w:rPr>
          <w:b/>
        </w:rPr>
        <w:t>minus or plus errors. </w:t>
      </w:r>
      <w:r>
        <w:rPr/>
        <w:t>Negative or positive deviations from the labeled quantity of the actual package quantities as measured. See PACKAGE ERROR.</w:t>
      </w:r>
    </w:p>
    <w:p>
      <w:pPr>
        <w:pStyle w:val="BodyText"/>
        <w:rPr>
          <w:sz w:val="20"/>
        </w:rPr>
      </w:pPr>
    </w:p>
    <w:p>
      <w:pPr>
        <w:pStyle w:val="BodyText"/>
        <w:ind w:left="139" w:right="134"/>
        <w:jc w:val="both"/>
      </w:pPr>
      <w:r>
        <w:rPr>
          <w:b/>
        </w:rPr>
        <w:t>moisture allowance. </w:t>
      </w:r>
      <w:r>
        <w:rPr/>
        <w:t>That variation in weight of a packaged product permitted in order to account for loss of weight due to loss of moisture during good package distribution practices. For packaged goods subject to moisture loss, when the average net weight of a sample is found between the labeled weight and the boundary of the moisture allowance, the lot is said to be in a no-decision area. Further information is required to determine lot compliance or noncompliance.</w:t>
      </w:r>
    </w:p>
    <w:p>
      <w:pPr>
        <w:pStyle w:val="BodyText"/>
        <w:spacing w:before="10"/>
        <w:rPr>
          <w:sz w:val="20"/>
        </w:rPr>
      </w:pPr>
    </w:p>
    <w:p>
      <w:pPr>
        <w:pStyle w:val="BodyText"/>
        <w:ind w:left="139" w:right="136"/>
        <w:jc w:val="both"/>
      </w:pPr>
      <w:r>
        <w:rPr>
          <w:b/>
        </w:rPr>
        <w:t>mulch. </w:t>
      </w:r>
      <w:r>
        <w:rPr/>
        <w:t>Any product or material other than peat or peat moss for sale, or sold for primary use as a horticultural, above-ground dressing for decoration, moisture control, weed control, erosion control, temperature control, or other similar purposes.</w:t>
      </w:r>
    </w:p>
    <w:p>
      <w:pPr>
        <w:spacing w:after="0"/>
        <w:jc w:val="both"/>
        <w:sectPr>
          <w:pgSz w:w="12240" w:h="15840"/>
          <w:pgMar w:header="730" w:footer="741" w:top="1340" w:bottom="940" w:left="1300" w:right="1300"/>
        </w:sectPr>
      </w:pPr>
    </w:p>
    <w:p>
      <w:pPr>
        <w:pStyle w:val="Heading1"/>
        <w:spacing w:before="82"/>
        <w:ind w:left="4733"/>
      </w:pPr>
      <w:r>
        <w:rPr>
          <w:w w:val="99"/>
        </w:rPr>
        <w:t>N</w:t>
      </w:r>
    </w:p>
    <w:p>
      <w:pPr>
        <w:pStyle w:val="BodyText"/>
        <w:spacing w:before="9"/>
        <w:rPr>
          <w:b/>
          <w:sz w:val="20"/>
        </w:rPr>
      </w:pPr>
    </w:p>
    <w:p>
      <w:pPr>
        <w:spacing w:before="0"/>
        <w:ind w:left="140" w:right="135" w:firstLine="0"/>
        <w:jc w:val="both"/>
        <w:rPr>
          <w:sz w:val="22"/>
        </w:rPr>
      </w:pPr>
      <w:r>
        <w:rPr>
          <w:b/>
          <w:sz w:val="22"/>
        </w:rPr>
        <w:t>net quantity or net contents. </w:t>
      </w:r>
      <w:r>
        <w:rPr>
          <w:sz w:val="22"/>
        </w:rPr>
        <w:t>That quantity of packaged product remaining after all necessary deductions for tare (defined) have been made.</w:t>
      </w:r>
    </w:p>
    <w:p>
      <w:pPr>
        <w:pStyle w:val="BodyText"/>
        <w:spacing w:before="1"/>
        <w:rPr>
          <w:sz w:val="21"/>
        </w:rPr>
      </w:pPr>
    </w:p>
    <w:p>
      <w:pPr>
        <w:pStyle w:val="BodyText"/>
        <w:ind w:left="140"/>
        <w:jc w:val="both"/>
      </w:pPr>
      <w:r>
        <w:rPr>
          <w:b/>
        </w:rPr>
        <w:t>nominal. </w:t>
      </w:r>
      <w:r>
        <w:rPr/>
        <w:t>A designated or theoretical size that may vary from the actual.</w:t>
      </w:r>
    </w:p>
    <w:p>
      <w:pPr>
        <w:pStyle w:val="BodyText"/>
        <w:spacing w:before="7"/>
        <w:rPr>
          <w:sz w:val="20"/>
        </w:rPr>
      </w:pPr>
    </w:p>
    <w:p>
      <w:pPr>
        <w:pStyle w:val="BodyText"/>
        <w:spacing w:line="244" w:lineRule="auto"/>
        <w:ind w:left="139" w:right="136"/>
        <w:jc w:val="both"/>
      </w:pPr>
      <w:r>
        <w:rPr>
          <w:b/>
        </w:rPr>
        <w:t>nominal gross weight. </w:t>
      </w:r>
      <w:r>
        <w:rPr/>
        <w:t>The sum of the nominal tare weight (defined) plus the declared or labeled weight (or other labeled quantity converted to a weight basis).</w:t>
      </w:r>
    </w:p>
    <w:p>
      <w:pPr>
        <w:pStyle w:val="BodyText"/>
        <w:spacing w:before="1"/>
        <w:rPr>
          <w:sz w:val="20"/>
        </w:rPr>
      </w:pPr>
    </w:p>
    <w:p>
      <w:pPr>
        <w:pStyle w:val="Heading1"/>
        <w:ind w:left="4745"/>
      </w:pPr>
      <w:r>
        <w:rPr/>
        <w:t>P</w:t>
      </w:r>
    </w:p>
    <w:p>
      <w:pPr>
        <w:pStyle w:val="BodyText"/>
        <w:spacing w:before="9"/>
        <w:rPr>
          <w:b/>
          <w:sz w:val="20"/>
        </w:rPr>
      </w:pPr>
    </w:p>
    <w:p>
      <w:pPr>
        <w:pStyle w:val="BodyText"/>
        <w:spacing w:line="242" w:lineRule="auto" w:before="1"/>
        <w:ind w:left="140" w:right="134"/>
        <w:jc w:val="both"/>
      </w:pPr>
      <w:r>
        <w:rPr>
          <w:b/>
        </w:rPr>
        <w:t>package error. </w:t>
      </w:r>
      <w:r>
        <w:rPr/>
        <w:t>The difference between the actual net contents of an individual package as measured and the declared net contents on the package label; minus (−) for less than the label and plus (+) for more than the label.</w:t>
      </w:r>
    </w:p>
    <w:p>
      <w:pPr>
        <w:pStyle w:val="BodyText"/>
        <w:spacing w:before="1"/>
        <w:rPr>
          <w:sz w:val="20"/>
        </w:rPr>
      </w:pPr>
    </w:p>
    <w:p>
      <w:pPr>
        <w:pStyle w:val="BodyText"/>
        <w:spacing w:line="244" w:lineRule="auto"/>
        <w:ind w:left="140" w:right="137"/>
        <w:jc w:val="both"/>
      </w:pPr>
      <w:r>
        <w:rPr>
          <w:b/>
        </w:rPr>
        <w:t>packaged goods. </w:t>
      </w:r>
      <w:r>
        <w:rPr/>
        <w:t>Product or commodity put up in any manner in advance of sale suitable for either wholesale or retail sale.</w:t>
      </w:r>
    </w:p>
    <w:p>
      <w:pPr>
        <w:pStyle w:val="BodyText"/>
        <w:rPr>
          <w:sz w:val="20"/>
        </w:rPr>
      </w:pPr>
    </w:p>
    <w:p>
      <w:pPr>
        <w:pStyle w:val="BodyText"/>
        <w:ind w:left="140" w:right="133"/>
        <w:jc w:val="both"/>
      </w:pPr>
      <w:r>
        <w:rPr>
          <w:b/>
        </w:rPr>
        <w:t>petroleum products. </w:t>
      </w:r>
      <w:r>
        <w:rPr/>
        <w:t>Gasoline, diesel fuel, kerosene, or any product (whether or not such a product is actually derived from naturally occurring hydro-carbon mixtures known as “petroleum”) commonly used in powering, lubricating, or idling engines or other devices, or labeled as fuel to power camping stoves or lights. Sewing machine lubricant, camping fuels, and synthetic motor oil are “petroleum products” for the purposes of this regulation. The following products are not “petroleum products”: brake fluid, copier machine dispersant, antifreeze, cleaning solvents, and alcohol.</w:t>
      </w:r>
    </w:p>
    <w:p>
      <w:pPr>
        <w:pStyle w:val="BodyText"/>
        <w:spacing w:before="2"/>
        <w:rPr>
          <w:sz w:val="21"/>
        </w:rPr>
      </w:pPr>
    </w:p>
    <w:p>
      <w:pPr>
        <w:spacing w:before="0"/>
        <w:ind w:left="140" w:right="0" w:firstLine="0"/>
        <w:jc w:val="both"/>
        <w:rPr>
          <w:sz w:val="22"/>
        </w:rPr>
      </w:pPr>
      <w:r>
        <w:rPr>
          <w:b/>
          <w:sz w:val="22"/>
        </w:rPr>
        <w:t>plus errors. </w:t>
      </w:r>
      <w:r>
        <w:rPr>
          <w:sz w:val="22"/>
        </w:rPr>
        <w:t>See MINUS OR PLUS ERRORS</w:t>
      </w:r>
    </w:p>
    <w:p>
      <w:pPr>
        <w:pStyle w:val="BodyText"/>
        <w:spacing w:before="7"/>
        <w:rPr>
          <w:sz w:val="20"/>
        </w:rPr>
      </w:pPr>
    </w:p>
    <w:p>
      <w:pPr>
        <w:pStyle w:val="BodyText"/>
        <w:ind w:left="140" w:right="133"/>
        <w:jc w:val="both"/>
      </w:pPr>
      <w:r>
        <w:rPr>
          <w:b/>
        </w:rPr>
        <w:t>principal display panel or panels. </w:t>
      </w:r>
      <w:r>
        <w:rPr/>
        <w:t>Part(s) of a label that are designed to be displayed, presented, shown, or</w:t>
      </w:r>
      <w:r>
        <w:rPr>
          <w:spacing w:val="-10"/>
        </w:rPr>
        <w:t> </w:t>
      </w:r>
      <w:r>
        <w:rPr/>
        <w:t>examined</w:t>
      </w:r>
      <w:r>
        <w:rPr>
          <w:spacing w:val="-11"/>
        </w:rPr>
        <w:t> </w:t>
      </w:r>
      <w:r>
        <w:rPr/>
        <w:t>under</w:t>
      </w:r>
      <w:r>
        <w:rPr>
          <w:spacing w:val="-10"/>
        </w:rPr>
        <w:t> </w:t>
      </w:r>
      <w:r>
        <w:rPr/>
        <w:t>normal</w:t>
      </w:r>
      <w:r>
        <w:rPr>
          <w:spacing w:val="-9"/>
        </w:rPr>
        <w:t> </w:t>
      </w:r>
      <w:r>
        <w:rPr/>
        <w:t>and</w:t>
      </w:r>
      <w:r>
        <w:rPr>
          <w:spacing w:val="-11"/>
        </w:rPr>
        <w:t> </w:t>
      </w:r>
      <w:r>
        <w:rPr/>
        <w:t>customary</w:t>
      </w:r>
      <w:r>
        <w:rPr>
          <w:spacing w:val="-13"/>
        </w:rPr>
        <w:t> </w:t>
      </w:r>
      <w:r>
        <w:rPr/>
        <w:t>conditions</w:t>
      </w:r>
      <w:r>
        <w:rPr>
          <w:spacing w:val="-10"/>
        </w:rPr>
        <w:t> </w:t>
      </w:r>
      <w:r>
        <w:rPr/>
        <w:t>of</w:t>
      </w:r>
      <w:r>
        <w:rPr>
          <w:spacing w:val="-9"/>
        </w:rPr>
        <w:t> </w:t>
      </w:r>
      <w:r>
        <w:rPr/>
        <w:t>display</w:t>
      </w:r>
      <w:r>
        <w:rPr>
          <w:spacing w:val="-13"/>
        </w:rPr>
        <w:t> </w:t>
      </w:r>
      <w:r>
        <w:rPr/>
        <w:t>and</w:t>
      </w:r>
      <w:r>
        <w:rPr>
          <w:spacing w:val="-11"/>
        </w:rPr>
        <w:t> </w:t>
      </w:r>
      <w:r>
        <w:rPr/>
        <w:t>purchase.</w:t>
      </w:r>
      <w:r>
        <w:rPr>
          <w:spacing w:val="35"/>
        </w:rPr>
        <w:t> </w:t>
      </w:r>
      <w:r>
        <w:rPr/>
        <w:t>Wherever</w:t>
      </w:r>
      <w:r>
        <w:rPr>
          <w:spacing w:val="-10"/>
        </w:rPr>
        <w:t> </w:t>
      </w:r>
      <w:r>
        <w:rPr/>
        <w:t>a</w:t>
      </w:r>
      <w:r>
        <w:rPr>
          <w:spacing w:val="-11"/>
        </w:rPr>
        <w:t> </w:t>
      </w:r>
      <w:r>
        <w:rPr/>
        <w:t>principal</w:t>
      </w:r>
      <w:r>
        <w:rPr>
          <w:spacing w:val="-10"/>
        </w:rPr>
        <w:t> </w:t>
      </w:r>
      <w:r>
        <w:rPr/>
        <w:t>display panel appears more than once on a package, all requirements pertaining to the “principal display panel” shall</w:t>
      </w:r>
      <w:r>
        <w:rPr>
          <w:spacing w:val="-5"/>
        </w:rPr>
        <w:t> </w:t>
      </w:r>
      <w:r>
        <w:rPr/>
        <w:t>pertain</w:t>
      </w:r>
      <w:r>
        <w:rPr>
          <w:spacing w:val="-9"/>
        </w:rPr>
        <w:t> </w:t>
      </w:r>
      <w:r>
        <w:rPr/>
        <w:t>to</w:t>
      </w:r>
      <w:r>
        <w:rPr>
          <w:spacing w:val="-9"/>
        </w:rPr>
        <w:t> </w:t>
      </w:r>
      <w:r>
        <w:rPr/>
        <w:t>all</w:t>
      </w:r>
      <w:r>
        <w:rPr>
          <w:spacing w:val="-7"/>
        </w:rPr>
        <w:t> </w:t>
      </w:r>
      <w:r>
        <w:rPr/>
        <w:t>such</w:t>
      </w:r>
      <w:r>
        <w:rPr>
          <w:spacing w:val="-8"/>
        </w:rPr>
        <w:t> </w:t>
      </w:r>
      <w:r>
        <w:rPr/>
        <w:t>“principal</w:t>
      </w:r>
      <w:r>
        <w:rPr>
          <w:spacing w:val="-8"/>
        </w:rPr>
        <w:t> </w:t>
      </w:r>
      <w:r>
        <w:rPr/>
        <w:t>display</w:t>
      </w:r>
      <w:r>
        <w:rPr>
          <w:spacing w:val="-7"/>
        </w:rPr>
        <w:t> </w:t>
      </w:r>
      <w:r>
        <w:rPr/>
        <w:t>panels.”</w:t>
      </w:r>
      <w:r>
        <w:rPr>
          <w:spacing w:val="41"/>
        </w:rPr>
        <w:t> </w:t>
      </w:r>
      <w:r>
        <w:rPr/>
        <w:t>See</w:t>
      </w:r>
      <w:r>
        <w:rPr>
          <w:spacing w:val="-7"/>
        </w:rPr>
        <w:t> </w:t>
      </w:r>
      <w:r>
        <w:rPr/>
        <w:t>Section</w:t>
      </w:r>
      <w:r>
        <w:rPr>
          <w:spacing w:val="-1"/>
        </w:rPr>
        <w:t> </w:t>
      </w:r>
      <w:r>
        <w:rPr/>
        <w:t>2.7</w:t>
      </w:r>
      <w:r>
        <w:rPr>
          <w:spacing w:val="-8"/>
        </w:rPr>
        <w:t> </w:t>
      </w:r>
      <w:r>
        <w:rPr/>
        <w:t>in</w:t>
      </w:r>
      <w:r>
        <w:rPr>
          <w:spacing w:val="-8"/>
        </w:rPr>
        <w:t> </w:t>
      </w:r>
      <w:r>
        <w:rPr/>
        <w:t>the</w:t>
      </w:r>
      <w:r>
        <w:rPr>
          <w:spacing w:val="-7"/>
        </w:rPr>
        <w:t> </w:t>
      </w:r>
      <w:r>
        <w:rPr/>
        <w:t>Uniform</w:t>
      </w:r>
      <w:r>
        <w:rPr>
          <w:spacing w:val="-10"/>
        </w:rPr>
        <w:t> </w:t>
      </w:r>
      <w:r>
        <w:rPr/>
        <w:t>Packaging</w:t>
      </w:r>
      <w:r>
        <w:rPr>
          <w:spacing w:val="-9"/>
        </w:rPr>
        <w:t> </w:t>
      </w:r>
      <w:r>
        <w:rPr/>
        <w:t>and</w:t>
      </w:r>
      <w:r>
        <w:rPr>
          <w:spacing w:val="-5"/>
        </w:rPr>
        <w:t> </w:t>
      </w:r>
      <w:r>
        <w:rPr/>
        <w:t>Labeling Regulation in NIST Handbook</w:t>
      </w:r>
      <w:r>
        <w:rPr>
          <w:spacing w:val="-5"/>
        </w:rPr>
        <w:t> </w:t>
      </w:r>
      <w:r>
        <w:rPr/>
        <w:t>130.</w:t>
      </w:r>
    </w:p>
    <w:p>
      <w:pPr>
        <w:pStyle w:val="BodyText"/>
        <w:spacing w:before="9"/>
        <w:rPr>
          <w:sz w:val="20"/>
        </w:rPr>
      </w:pPr>
    </w:p>
    <w:p>
      <w:pPr>
        <w:pStyle w:val="BodyText"/>
        <w:spacing w:before="1"/>
        <w:ind w:left="140" w:right="136"/>
        <w:jc w:val="both"/>
      </w:pPr>
      <w:r>
        <w:rPr>
          <w:b/>
        </w:rPr>
        <w:t>production lot. </w:t>
      </w:r>
      <w:r>
        <w:rPr/>
        <w:t>The total collection of packages defined by the packager, usually consisting of those packages produced within a given unit of time and coded identically.</w:t>
      </w:r>
    </w:p>
    <w:p>
      <w:pPr>
        <w:pStyle w:val="BodyText"/>
        <w:spacing w:before="10"/>
        <w:rPr>
          <w:sz w:val="20"/>
        </w:rPr>
      </w:pPr>
    </w:p>
    <w:p>
      <w:pPr>
        <w:pStyle w:val="BodyText"/>
        <w:spacing w:line="242" w:lineRule="auto"/>
        <w:ind w:left="139" w:right="135"/>
        <w:jc w:val="both"/>
      </w:pPr>
      <w:r>
        <w:rPr>
          <w:b/>
        </w:rPr>
        <w:t>pycnometer </w:t>
      </w:r>
      <w:r>
        <w:rPr/>
        <w:t>(pik·nämˊ ət ər)</w:t>
      </w:r>
      <w:r>
        <w:rPr>
          <w:b/>
        </w:rPr>
        <w:t>. </w:t>
      </w:r>
      <w:r>
        <w:rPr/>
        <w:t>A container of known volume used to contain material for weighing so that the</w:t>
      </w:r>
      <w:r>
        <w:rPr>
          <w:spacing w:val="-6"/>
        </w:rPr>
        <w:t> </w:t>
      </w:r>
      <w:r>
        <w:rPr/>
        <w:t>weight</w:t>
      </w:r>
      <w:r>
        <w:rPr>
          <w:spacing w:val="-5"/>
        </w:rPr>
        <w:t> </w:t>
      </w:r>
      <w:r>
        <w:rPr/>
        <w:t>of</w:t>
      </w:r>
      <w:r>
        <w:rPr>
          <w:spacing w:val="-5"/>
        </w:rPr>
        <w:t> </w:t>
      </w:r>
      <w:r>
        <w:rPr/>
        <w:t>a</w:t>
      </w:r>
      <w:r>
        <w:rPr>
          <w:spacing w:val="-6"/>
        </w:rPr>
        <w:t> </w:t>
      </w:r>
      <w:r>
        <w:rPr/>
        <w:t>known</w:t>
      </w:r>
      <w:r>
        <w:rPr>
          <w:spacing w:val="-6"/>
        </w:rPr>
        <w:t> </w:t>
      </w:r>
      <w:r>
        <w:rPr/>
        <w:t>volume</w:t>
      </w:r>
      <w:r>
        <w:rPr>
          <w:spacing w:val="-3"/>
        </w:rPr>
        <w:t> </w:t>
      </w:r>
      <w:r>
        <w:rPr/>
        <w:t>may</w:t>
      </w:r>
      <w:r>
        <w:rPr>
          <w:spacing w:val="-9"/>
        </w:rPr>
        <w:t> </w:t>
      </w:r>
      <w:r>
        <w:rPr/>
        <w:t>be</w:t>
      </w:r>
      <w:r>
        <w:rPr>
          <w:spacing w:val="-6"/>
        </w:rPr>
        <w:t> </w:t>
      </w:r>
      <w:r>
        <w:rPr/>
        <w:t>determined</w:t>
      </w:r>
      <w:r>
        <w:rPr>
          <w:spacing w:val="-5"/>
        </w:rPr>
        <w:t> </w:t>
      </w:r>
      <w:r>
        <w:rPr/>
        <w:t>for</w:t>
      </w:r>
      <w:r>
        <w:rPr>
          <w:spacing w:val="-5"/>
        </w:rPr>
        <w:t> </w:t>
      </w:r>
      <w:r>
        <w:rPr/>
        <w:t>the</w:t>
      </w:r>
      <w:r>
        <w:rPr>
          <w:spacing w:val="-6"/>
        </w:rPr>
        <w:t> </w:t>
      </w:r>
      <w:r>
        <w:rPr/>
        <w:t>material.</w:t>
      </w:r>
      <w:r>
        <w:rPr>
          <w:spacing w:val="43"/>
        </w:rPr>
        <w:t> </w:t>
      </w:r>
      <w:r>
        <w:rPr/>
        <w:t>If</w:t>
      </w:r>
      <w:r>
        <w:rPr>
          <w:spacing w:val="-5"/>
        </w:rPr>
        <w:t> </w:t>
      </w:r>
      <w:r>
        <w:rPr/>
        <w:t>it</w:t>
      </w:r>
      <w:r>
        <w:rPr>
          <w:spacing w:val="-5"/>
        </w:rPr>
        <w:t> </w:t>
      </w:r>
      <w:r>
        <w:rPr/>
        <w:t>is</w:t>
      </w:r>
      <w:r>
        <w:rPr>
          <w:spacing w:val="-6"/>
        </w:rPr>
        <w:t> </w:t>
      </w:r>
      <w:r>
        <w:rPr/>
        <w:t>constructed,</w:t>
      </w:r>
      <w:r>
        <w:rPr>
          <w:spacing w:val="-7"/>
        </w:rPr>
        <w:t> </w:t>
      </w:r>
      <w:r>
        <w:rPr/>
        <w:t>it</w:t>
      </w:r>
      <w:r>
        <w:rPr>
          <w:spacing w:val="-5"/>
        </w:rPr>
        <w:t> </w:t>
      </w:r>
      <w:r>
        <w:rPr/>
        <w:t>is</w:t>
      </w:r>
      <w:r>
        <w:rPr>
          <w:spacing w:val="-6"/>
        </w:rPr>
        <w:t> </w:t>
      </w:r>
      <w:r>
        <w:rPr/>
        <w:t>called</w:t>
      </w:r>
      <w:r>
        <w:rPr>
          <w:spacing w:val="-6"/>
        </w:rPr>
        <w:t> </w:t>
      </w:r>
      <w:r>
        <w:rPr/>
        <w:t>a</w:t>
      </w:r>
      <w:r>
        <w:rPr>
          <w:spacing w:val="-6"/>
        </w:rPr>
        <w:t> </w:t>
      </w:r>
      <w:r>
        <w:rPr/>
        <w:t>density cup.</w:t>
      </w:r>
    </w:p>
    <w:p>
      <w:pPr>
        <w:pStyle w:val="BodyText"/>
        <w:spacing w:before="5"/>
        <w:rPr>
          <w:sz w:val="12"/>
        </w:rPr>
      </w:pPr>
    </w:p>
    <w:p>
      <w:pPr>
        <w:pStyle w:val="Heading1"/>
        <w:spacing w:before="90"/>
        <w:ind w:left="4733"/>
      </w:pPr>
      <w:r>
        <w:rPr>
          <w:w w:val="99"/>
        </w:rPr>
        <w:t>R</w:t>
      </w:r>
    </w:p>
    <w:p>
      <w:pPr>
        <w:pStyle w:val="BodyText"/>
        <w:spacing w:before="10"/>
        <w:rPr>
          <w:b/>
          <w:sz w:val="20"/>
        </w:rPr>
      </w:pPr>
    </w:p>
    <w:p>
      <w:pPr>
        <w:pStyle w:val="BodyText"/>
        <w:spacing w:line="242" w:lineRule="auto"/>
        <w:ind w:left="140" w:right="133"/>
        <w:jc w:val="both"/>
      </w:pPr>
      <w:r>
        <w:rPr>
          <w:b/>
        </w:rPr>
        <w:t>random pack. </w:t>
      </w:r>
      <w:r>
        <w:rPr/>
        <w:t>The term “random package” shall be construed to mean a package that is one of a lot, shipment, or delivery of packages of the same consumer commodity with varying weights which means, packages of the same consumer commodity with no fixed pattern of weight.</w:t>
      </w:r>
    </w:p>
    <w:p>
      <w:pPr>
        <w:pStyle w:val="BodyText"/>
        <w:spacing w:before="1"/>
        <w:rPr>
          <w:sz w:val="20"/>
        </w:rPr>
      </w:pPr>
    </w:p>
    <w:p>
      <w:pPr>
        <w:pStyle w:val="BodyText"/>
        <w:spacing w:before="1"/>
        <w:ind w:left="139" w:right="134"/>
        <w:jc w:val="both"/>
      </w:pPr>
      <w:r>
        <w:rPr>
          <w:b/>
        </w:rPr>
        <w:t>random sampling. </w:t>
      </w:r>
      <w:r>
        <w:rPr/>
        <w:t>The process of selecting sample packages such that all packages under consideration have the same probability of being selected. An acceptable method of random selection is to use a table of random numbers.</w:t>
      </w:r>
    </w:p>
    <w:p>
      <w:pPr>
        <w:spacing w:after="0"/>
        <w:jc w:val="both"/>
        <w:sectPr>
          <w:pgSz w:w="12240" w:h="15840"/>
          <w:pgMar w:header="730" w:footer="741" w:top="1340" w:bottom="940" w:left="1300" w:right="1300"/>
        </w:sectPr>
      </w:pPr>
    </w:p>
    <w:p>
      <w:pPr>
        <w:pStyle w:val="BodyText"/>
        <w:spacing w:before="83"/>
        <w:ind w:left="140"/>
      </w:pPr>
      <w:r>
        <w:rPr>
          <w:b/>
        </w:rPr>
        <w:t>range. </w:t>
      </w:r>
      <w:r>
        <w:rPr/>
        <w:t>The difference between the largest and the smallest of a set of measured values.</w:t>
      </w:r>
    </w:p>
    <w:p>
      <w:pPr>
        <w:pStyle w:val="BodyText"/>
        <w:spacing w:before="7"/>
        <w:rPr>
          <w:sz w:val="20"/>
        </w:rPr>
      </w:pPr>
    </w:p>
    <w:p>
      <w:pPr>
        <w:pStyle w:val="BodyText"/>
        <w:spacing w:line="242" w:lineRule="auto"/>
        <w:ind w:left="140" w:right="136"/>
        <w:jc w:val="both"/>
      </w:pPr>
      <w:r>
        <w:rPr>
          <w:b/>
        </w:rPr>
        <w:t>reasonable variation. </w:t>
      </w:r>
      <w:r>
        <w:rPr/>
        <w:t>An amount by which individual package net contents are allowed to vary from the labeled</w:t>
      </w:r>
      <w:r>
        <w:rPr>
          <w:spacing w:val="-6"/>
        </w:rPr>
        <w:t> </w:t>
      </w:r>
      <w:r>
        <w:rPr/>
        <w:t>net</w:t>
      </w:r>
      <w:r>
        <w:rPr>
          <w:spacing w:val="-5"/>
        </w:rPr>
        <w:t> </w:t>
      </w:r>
      <w:r>
        <w:rPr/>
        <w:t>contents.</w:t>
      </w:r>
      <w:r>
        <w:rPr>
          <w:spacing w:val="43"/>
        </w:rPr>
        <w:t> </w:t>
      </w:r>
      <w:r>
        <w:rPr/>
        <w:t>This</w:t>
      </w:r>
      <w:r>
        <w:rPr>
          <w:spacing w:val="-8"/>
        </w:rPr>
        <w:t> </w:t>
      </w:r>
      <w:r>
        <w:rPr/>
        <w:t>term</w:t>
      </w:r>
      <w:r>
        <w:rPr>
          <w:spacing w:val="-9"/>
        </w:rPr>
        <w:t> </w:t>
      </w:r>
      <w:r>
        <w:rPr/>
        <w:t>is</w:t>
      </w:r>
      <w:r>
        <w:rPr>
          <w:spacing w:val="-6"/>
        </w:rPr>
        <w:t> </w:t>
      </w:r>
      <w:r>
        <w:rPr/>
        <w:t>found</w:t>
      </w:r>
      <w:r>
        <w:rPr>
          <w:spacing w:val="-8"/>
        </w:rPr>
        <w:t> </w:t>
      </w:r>
      <w:r>
        <w:rPr/>
        <w:t>in</w:t>
      </w:r>
      <w:r>
        <w:rPr>
          <w:spacing w:val="-6"/>
        </w:rPr>
        <w:t> </w:t>
      </w:r>
      <w:r>
        <w:rPr/>
        <w:t>most</w:t>
      </w:r>
      <w:r>
        <w:rPr>
          <w:spacing w:val="-5"/>
        </w:rPr>
        <w:t> </w:t>
      </w:r>
      <w:r>
        <w:rPr/>
        <w:t>federal</w:t>
      </w:r>
      <w:r>
        <w:rPr>
          <w:spacing w:val="-4"/>
        </w:rPr>
        <w:t> </w:t>
      </w:r>
      <w:r>
        <w:rPr/>
        <w:t>and</w:t>
      </w:r>
      <w:r>
        <w:rPr>
          <w:spacing w:val="-6"/>
        </w:rPr>
        <w:t> </w:t>
      </w:r>
      <w:r>
        <w:rPr/>
        <w:t>state</w:t>
      </w:r>
      <w:r>
        <w:rPr>
          <w:spacing w:val="-6"/>
        </w:rPr>
        <w:t> </w:t>
      </w:r>
      <w:r>
        <w:rPr/>
        <w:t>laws</w:t>
      </w:r>
      <w:r>
        <w:rPr>
          <w:spacing w:val="-6"/>
        </w:rPr>
        <w:t> </w:t>
      </w:r>
      <w:r>
        <w:rPr/>
        <w:t>and</w:t>
      </w:r>
      <w:r>
        <w:rPr>
          <w:spacing w:val="-8"/>
        </w:rPr>
        <w:t> </w:t>
      </w:r>
      <w:r>
        <w:rPr/>
        <w:t>regulations</w:t>
      </w:r>
      <w:r>
        <w:rPr>
          <w:spacing w:val="-5"/>
        </w:rPr>
        <w:t> </w:t>
      </w:r>
      <w:r>
        <w:rPr/>
        <w:t>governing</w:t>
      </w:r>
      <w:r>
        <w:rPr>
          <w:spacing w:val="-9"/>
        </w:rPr>
        <w:t> </w:t>
      </w:r>
      <w:r>
        <w:rPr/>
        <w:t>packaged goods.</w:t>
      </w:r>
      <w:r>
        <w:rPr>
          <w:spacing w:val="38"/>
        </w:rPr>
        <w:t> </w:t>
      </w:r>
      <w:r>
        <w:rPr/>
        <w:t>Reasonable</w:t>
      </w:r>
      <w:r>
        <w:rPr>
          <w:spacing w:val="-8"/>
        </w:rPr>
        <w:t> </w:t>
      </w:r>
      <w:r>
        <w:rPr/>
        <w:t>variations</w:t>
      </w:r>
      <w:r>
        <w:rPr>
          <w:spacing w:val="-8"/>
        </w:rPr>
        <w:t> </w:t>
      </w:r>
      <w:r>
        <w:rPr/>
        <w:t>from</w:t>
      </w:r>
      <w:r>
        <w:rPr>
          <w:spacing w:val="-11"/>
        </w:rPr>
        <w:t> </w:t>
      </w:r>
      <w:r>
        <w:rPr/>
        <w:t>the</w:t>
      </w:r>
      <w:r>
        <w:rPr>
          <w:spacing w:val="-8"/>
        </w:rPr>
        <w:t> </w:t>
      </w:r>
      <w:r>
        <w:rPr/>
        <w:t>labeled</w:t>
      </w:r>
      <w:r>
        <w:rPr>
          <w:spacing w:val="-9"/>
        </w:rPr>
        <w:t> </w:t>
      </w:r>
      <w:r>
        <w:rPr/>
        <w:t>declaration</w:t>
      </w:r>
      <w:r>
        <w:rPr>
          <w:spacing w:val="-9"/>
        </w:rPr>
        <w:t> </w:t>
      </w:r>
      <w:r>
        <w:rPr/>
        <w:t>are</w:t>
      </w:r>
      <w:r>
        <w:rPr>
          <w:spacing w:val="-7"/>
        </w:rPr>
        <w:t> </w:t>
      </w:r>
      <w:r>
        <w:rPr/>
        <w:t>recognized</w:t>
      </w:r>
      <w:r>
        <w:rPr>
          <w:spacing w:val="-9"/>
        </w:rPr>
        <w:t> </w:t>
      </w:r>
      <w:r>
        <w:rPr/>
        <w:t>for</w:t>
      </w:r>
      <w:r>
        <w:rPr>
          <w:spacing w:val="-8"/>
        </w:rPr>
        <w:t> </w:t>
      </w:r>
      <w:r>
        <w:rPr/>
        <w:t>(1)</w:t>
      </w:r>
      <w:r>
        <w:rPr>
          <w:spacing w:val="-1"/>
        </w:rPr>
        <w:t> </w:t>
      </w:r>
      <w:r>
        <w:rPr/>
        <w:t>unavoidable</w:t>
      </w:r>
      <w:r>
        <w:rPr>
          <w:spacing w:val="-8"/>
        </w:rPr>
        <w:t> </w:t>
      </w:r>
      <w:r>
        <w:rPr/>
        <w:t>deviations</w:t>
      </w:r>
      <w:r>
        <w:rPr>
          <w:spacing w:val="-8"/>
        </w:rPr>
        <w:t> </w:t>
      </w:r>
      <w:r>
        <w:rPr/>
        <w:t>in good manufacturing practice, and (2) loss or gain of moisture in good distribution</w:t>
      </w:r>
      <w:r>
        <w:rPr>
          <w:spacing w:val="-15"/>
        </w:rPr>
        <w:t> </w:t>
      </w:r>
      <w:r>
        <w:rPr/>
        <w:t>practice.</w:t>
      </w:r>
    </w:p>
    <w:p>
      <w:pPr>
        <w:pStyle w:val="BodyText"/>
        <w:rPr>
          <w:sz w:val="20"/>
        </w:rPr>
      </w:pPr>
    </w:p>
    <w:p>
      <w:pPr>
        <w:pStyle w:val="BodyText"/>
        <w:spacing w:before="1"/>
        <w:ind w:left="140" w:right="132"/>
        <w:jc w:val="both"/>
      </w:pPr>
      <w:r>
        <w:rPr>
          <w:b/>
        </w:rPr>
        <w:t>rounding. </w:t>
      </w:r>
      <w:r>
        <w:rPr/>
        <w:t>The process of omitting some of the end digits of a numerical value and adjusting the last retained digit so that the resulting number is as near as possible to the original number.</w:t>
      </w:r>
    </w:p>
    <w:p>
      <w:pPr>
        <w:pStyle w:val="BodyText"/>
        <w:spacing w:before="11"/>
        <w:rPr>
          <w:sz w:val="20"/>
        </w:rPr>
      </w:pPr>
    </w:p>
    <w:p>
      <w:pPr>
        <w:pStyle w:val="Heading1"/>
        <w:jc w:val="center"/>
      </w:pPr>
      <w:r>
        <w:rPr>
          <w:w w:val="99"/>
        </w:rPr>
        <w:t>S</w:t>
      </w:r>
    </w:p>
    <w:p>
      <w:pPr>
        <w:pStyle w:val="BodyText"/>
        <w:spacing w:before="9"/>
        <w:rPr>
          <w:b/>
          <w:sz w:val="20"/>
        </w:rPr>
      </w:pPr>
    </w:p>
    <w:p>
      <w:pPr>
        <w:pStyle w:val="BodyText"/>
        <w:spacing w:line="242" w:lineRule="auto"/>
        <w:ind w:left="140" w:right="136"/>
        <w:jc w:val="both"/>
      </w:pPr>
      <w:r>
        <w:rPr>
          <w:b/>
        </w:rPr>
        <w:t>sample. </w:t>
      </w:r>
      <w:r>
        <w:rPr/>
        <w:t>A group of packages taken from a larger collection of packages and providing information that can be used to make a decision concerning the larger collection of packages or of the package production process. A sample provides a valid basis for decision only when it is a random sample (defined).</w:t>
      </w:r>
    </w:p>
    <w:p>
      <w:pPr>
        <w:pStyle w:val="BodyText"/>
        <w:spacing w:before="8"/>
        <w:rPr>
          <w:sz w:val="19"/>
        </w:rPr>
      </w:pPr>
    </w:p>
    <w:p>
      <w:pPr>
        <w:pStyle w:val="BodyText"/>
        <w:ind w:left="139" w:right="135"/>
        <w:jc w:val="both"/>
      </w:pPr>
      <w:r>
        <w:rPr>
          <w:b/>
        </w:rPr>
        <w:t>sample correction factor. </w:t>
      </w:r>
      <w:r>
        <w:rPr/>
        <w:t>The factor as computed is the ratio of the 95</w:t>
      </w:r>
      <w:r>
        <w:rPr>
          <w:position w:val="8"/>
          <w:sz w:val="14"/>
        </w:rPr>
        <w:t>th </w:t>
      </w:r>
      <w:r>
        <w:rPr/>
        <w:t>quantile of the student’s t-distribution</w:t>
      </w:r>
      <w:r>
        <w:rPr>
          <w:spacing w:val="-8"/>
        </w:rPr>
        <w:t> </w:t>
      </w:r>
      <w:r>
        <w:rPr/>
        <w:t>(one-sided)</w:t>
      </w:r>
      <w:r>
        <w:rPr>
          <w:spacing w:val="-7"/>
        </w:rPr>
        <w:t> </w:t>
      </w:r>
      <w:r>
        <w:rPr/>
        <w:t>with</w:t>
      </w:r>
      <w:r>
        <w:rPr>
          <w:spacing w:val="-8"/>
        </w:rPr>
        <w:t> </w:t>
      </w:r>
      <w:r>
        <w:rPr/>
        <w:t>(n-1) degrees</w:t>
      </w:r>
      <w:r>
        <w:rPr>
          <w:spacing w:val="-7"/>
        </w:rPr>
        <w:t> </w:t>
      </w:r>
      <w:r>
        <w:rPr/>
        <w:t>of</w:t>
      </w:r>
      <w:r>
        <w:rPr>
          <w:spacing w:val="-8"/>
        </w:rPr>
        <w:t> </w:t>
      </w:r>
      <w:r>
        <w:rPr/>
        <w:t>freedom</w:t>
      </w:r>
      <w:r>
        <w:rPr>
          <w:spacing w:val="-9"/>
        </w:rPr>
        <w:t> </w:t>
      </w:r>
      <w:r>
        <w:rPr/>
        <w:t>and</w:t>
      </w:r>
      <w:r>
        <w:rPr>
          <w:spacing w:val="-9"/>
        </w:rPr>
        <w:t> </w:t>
      </w:r>
      <w:r>
        <w:rPr/>
        <w:t>the</w:t>
      </w:r>
      <w:r>
        <w:rPr>
          <w:spacing w:val="-8"/>
        </w:rPr>
        <w:t> </w:t>
      </w:r>
      <w:r>
        <w:rPr/>
        <w:t>square</w:t>
      </w:r>
      <w:r>
        <w:rPr>
          <w:spacing w:val="-7"/>
        </w:rPr>
        <w:t> </w:t>
      </w:r>
      <w:r>
        <w:rPr/>
        <w:t>root</w:t>
      </w:r>
      <w:r>
        <w:rPr>
          <w:spacing w:val="-8"/>
        </w:rPr>
        <w:t> </w:t>
      </w:r>
      <w:r>
        <w:rPr/>
        <w:t>of</w:t>
      </w:r>
      <w:r>
        <w:rPr>
          <w:spacing w:val="2"/>
        </w:rPr>
        <w:t> </w:t>
      </w:r>
      <w:r>
        <w:rPr/>
        <w:t>n</w:t>
      </w:r>
      <w:r>
        <w:rPr>
          <w:spacing w:val="-11"/>
        </w:rPr>
        <w:t> </w:t>
      </w:r>
      <w:r>
        <w:rPr/>
        <w:t>where n</w:t>
      </w:r>
      <w:r>
        <w:rPr>
          <w:spacing w:val="-9"/>
        </w:rPr>
        <w:t> </w:t>
      </w:r>
      <w:r>
        <w:rPr/>
        <w:t>is</w:t>
      </w:r>
      <w:r>
        <w:rPr>
          <w:spacing w:val="-8"/>
        </w:rPr>
        <w:t> </w:t>
      </w:r>
      <w:r>
        <w:rPr/>
        <w:t>the</w:t>
      </w:r>
      <w:r>
        <w:rPr>
          <w:spacing w:val="-7"/>
        </w:rPr>
        <w:t> </w:t>
      </w:r>
      <w:r>
        <w:rPr/>
        <w:t>sample</w:t>
      </w:r>
      <w:r>
        <w:rPr>
          <w:spacing w:val="-8"/>
        </w:rPr>
        <w:t> </w:t>
      </w:r>
      <w:r>
        <w:rPr/>
        <w:t>size.</w:t>
      </w:r>
    </w:p>
    <w:p>
      <w:pPr>
        <w:pStyle w:val="BodyText"/>
        <w:spacing w:before="11"/>
        <w:rPr>
          <w:sz w:val="20"/>
        </w:rPr>
      </w:pPr>
    </w:p>
    <w:p>
      <w:pPr>
        <w:pStyle w:val="BodyText"/>
        <w:ind w:left="139" w:right="133"/>
        <w:jc w:val="both"/>
      </w:pPr>
      <w:r>
        <w:rPr>
          <w:b/>
        </w:rPr>
        <w:t>sample error limit (SEL). </w:t>
      </w:r>
      <w:r>
        <w:rPr/>
        <w:t>A statistical value computed by multiplying the sample standard deviation times the sample correction factor from Column 3 of Table 2-1. Category A – Sampling Plans for the appropriate</w:t>
      </w:r>
      <w:r>
        <w:rPr>
          <w:spacing w:val="-7"/>
        </w:rPr>
        <w:t> </w:t>
      </w:r>
      <w:r>
        <w:rPr/>
        <w:t>sample</w:t>
      </w:r>
      <w:r>
        <w:rPr>
          <w:spacing w:val="-8"/>
        </w:rPr>
        <w:t> </w:t>
      </w:r>
      <w:r>
        <w:rPr/>
        <w:t>size.</w:t>
      </w:r>
      <w:r>
        <w:rPr>
          <w:spacing w:val="41"/>
        </w:rPr>
        <w:t> </w:t>
      </w:r>
      <w:r>
        <w:rPr/>
        <w:t>The</w:t>
      </w:r>
      <w:r>
        <w:rPr>
          <w:spacing w:val="-6"/>
        </w:rPr>
        <w:t> </w:t>
      </w:r>
      <w:r>
        <w:rPr/>
        <w:t>SEL</w:t>
      </w:r>
      <w:r>
        <w:rPr>
          <w:spacing w:val="-7"/>
        </w:rPr>
        <w:t> </w:t>
      </w:r>
      <w:r>
        <w:rPr/>
        <w:t>value</w:t>
      </w:r>
      <w:r>
        <w:rPr>
          <w:spacing w:val="-8"/>
        </w:rPr>
        <w:t> </w:t>
      </w:r>
      <w:r>
        <w:rPr/>
        <w:t>allows</w:t>
      </w:r>
      <w:r>
        <w:rPr>
          <w:spacing w:val="-9"/>
        </w:rPr>
        <w:t> </w:t>
      </w:r>
      <w:r>
        <w:rPr/>
        <w:t>for</w:t>
      </w:r>
      <w:r>
        <w:rPr>
          <w:spacing w:val="-8"/>
        </w:rPr>
        <w:t> </w:t>
      </w:r>
      <w:r>
        <w:rPr/>
        <w:t>the</w:t>
      </w:r>
      <w:r>
        <w:rPr>
          <w:spacing w:val="-8"/>
        </w:rPr>
        <w:t> </w:t>
      </w:r>
      <w:r>
        <w:rPr/>
        <w:t>uncertainty</w:t>
      </w:r>
      <w:r>
        <w:rPr>
          <w:spacing w:val="-9"/>
        </w:rPr>
        <w:t> </w:t>
      </w:r>
      <w:r>
        <w:rPr/>
        <w:t>between</w:t>
      </w:r>
      <w:r>
        <w:rPr>
          <w:spacing w:val="-6"/>
        </w:rPr>
        <w:t> </w:t>
      </w:r>
      <w:r>
        <w:rPr/>
        <w:t>the</w:t>
      </w:r>
      <w:r>
        <w:rPr>
          <w:spacing w:val="-6"/>
        </w:rPr>
        <w:t> </w:t>
      </w:r>
      <w:r>
        <w:rPr/>
        <w:t>average</w:t>
      </w:r>
      <w:r>
        <w:rPr>
          <w:spacing w:val="-6"/>
        </w:rPr>
        <w:t> </w:t>
      </w:r>
      <w:r>
        <w:rPr/>
        <w:t>error</w:t>
      </w:r>
      <w:r>
        <w:rPr>
          <w:spacing w:val="-5"/>
        </w:rPr>
        <w:t> </w:t>
      </w:r>
      <w:r>
        <w:rPr/>
        <w:t>of</w:t>
      </w:r>
      <w:r>
        <w:rPr>
          <w:spacing w:val="-9"/>
        </w:rPr>
        <w:t> </w:t>
      </w:r>
      <w:r>
        <w:rPr/>
        <w:t>the</w:t>
      </w:r>
      <w:r>
        <w:rPr>
          <w:spacing w:val="-6"/>
        </w:rPr>
        <w:t> </w:t>
      </w:r>
      <w:r>
        <w:rPr/>
        <w:t>sample and the average error of the inspection lot with an approximately 95 % level of</w:t>
      </w:r>
      <w:r>
        <w:rPr>
          <w:spacing w:val="-20"/>
        </w:rPr>
        <w:t> </w:t>
      </w:r>
      <w:r>
        <w:rPr/>
        <w:t>confidence.</w:t>
      </w:r>
    </w:p>
    <w:p>
      <w:pPr>
        <w:pStyle w:val="BodyText"/>
        <w:spacing w:before="1"/>
        <w:rPr>
          <w:sz w:val="21"/>
        </w:rPr>
      </w:pPr>
    </w:p>
    <w:p>
      <w:pPr>
        <w:spacing w:before="0"/>
        <w:ind w:left="140" w:right="0" w:firstLine="0"/>
        <w:jc w:val="left"/>
        <w:rPr>
          <w:sz w:val="22"/>
        </w:rPr>
      </w:pPr>
      <w:r>
        <w:rPr>
          <w:b/>
          <w:sz w:val="22"/>
        </w:rPr>
        <w:t>sample size (n). </w:t>
      </w:r>
      <w:r>
        <w:rPr>
          <w:sz w:val="22"/>
        </w:rPr>
        <w:t>The number of packages in a sample.</w:t>
      </w:r>
    </w:p>
    <w:p>
      <w:pPr>
        <w:pStyle w:val="BodyText"/>
        <w:spacing w:before="7"/>
        <w:rPr>
          <w:sz w:val="20"/>
        </w:rPr>
      </w:pPr>
    </w:p>
    <w:p>
      <w:pPr>
        <w:pStyle w:val="BodyText"/>
        <w:ind w:left="139" w:right="135"/>
        <w:jc w:val="both"/>
      </w:pPr>
      <w:r>
        <w:rPr>
          <w:b/>
        </w:rPr>
        <w:t>sampling plan. </w:t>
      </w:r>
      <w:r>
        <w:rPr/>
        <w:t>A specific plan that states the number of packages to be checked and the associated decision criteria.</w:t>
      </w:r>
    </w:p>
    <w:p>
      <w:pPr>
        <w:pStyle w:val="BodyText"/>
        <w:spacing w:before="10"/>
        <w:rPr>
          <w:sz w:val="20"/>
        </w:rPr>
      </w:pPr>
    </w:p>
    <w:p>
      <w:pPr>
        <w:pStyle w:val="BodyText"/>
        <w:ind w:left="139" w:right="134"/>
        <w:jc w:val="both"/>
      </w:pPr>
      <w:r>
        <w:rPr>
          <w:b/>
        </w:rPr>
        <w:t>scale tolerance. </w:t>
      </w:r>
      <w:r>
        <w:rPr/>
        <w:t>The official value fixing the limit of allowable error for weighing equipment as defined in NIST Handbook</w:t>
      </w:r>
      <w:r>
        <w:rPr>
          <w:spacing w:val="-2"/>
        </w:rPr>
        <w:t> </w:t>
      </w:r>
      <w:r>
        <w:rPr/>
        <w:t>44.</w:t>
      </w:r>
    </w:p>
    <w:p>
      <w:pPr>
        <w:pStyle w:val="BodyText"/>
        <w:spacing w:before="11"/>
        <w:rPr>
          <w:sz w:val="20"/>
        </w:rPr>
      </w:pPr>
    </w:p>
    <w:p>
      <w:pPr>
        <w:pStyle w:val="BodyText"/>
        <w:ind w:left="139" w:right="134"/>
        <w:jc w:val="both"/>
      </w:pPr>
      <w:r>
        <w:rPr>
          <w:b/>
        </w:rPr>
        <w:t>seat. </w:t>
      </w:r>
      <w:r>
        <w:rPr/>
        <w:t>(as in “seat diameter” or “seated capacity”). The projection or shoulder near the upper rim of a cup or container that is designed to serve as the support for a lid or</w:t>
      </w:r>
      <w:r>
        <w:rPr>
          <w:spacing w:val="-12"/>
        </w:rPr>
        <w:t> </w:t>
      </w:r>
      <w:r>
        <w:rPr/>
        <w:t>cover.</w:t>
      </w:r>
    </w:p>
    <w:p>
      <w:pPr>
        <w:pStyle w:val="BodyText"/>
        <w:spacing w:before="8"/>
        <w:rPr>
          <w:sz w:val="20"/>
        </w:rPr>
      </w:pPr>
    </w:p>
    <w:p>
      <w:pPr>
        <w:pStyle w:val="BodyText"/>
        <w:ind w:left="139" w:right="134"/>
        <w:jc w:val="both"/>
      </w:pPr>
      <w:r>
        <w:rPr>
          <w:b/>
        </w:rPr>
        <w:t>seated capacity. </w:t>
      </w:r>
      <w:r>
        <w:rPr/>
        <w:t>The capacity of a cup, container, or bottle, as defined by the volume contained by them when the lid or a flat disc is inserted into the lid groove that is located inside and near the upper rim of the cup, container, or bottle.</w:t>
      </w:r>
    </w:p>
    <w:p>
      <w:pPr>
        <w:pStyle w:val="BodyText"/>
        <w:spacing w:before="2"/>
        <w:rPr>
          <w:sz w:val="21"/>
        </w:rPr>
      </w:pPr>
    </w:p>
    <w:p>
      <w:pPr>
        <w:pStyle w:val="BodyText"/>
        <w:ind w:left="139"/>
      </w:pPr>
      <w:r>
        <w:rPr>
          <w:b/>
        </w:rPr>
        <w:t>SEL. </w:t>
      </w:r>
      <w:r>
        <w:rPr/>
        <w:t>See SAMPLE ERROR LIMIT.</w:t>
      </w:r>
    </w:p>
    <w:p>
      <w:pPr>
        <w:pStyle w:val="BodyText"/>
        <w:spacing w:before="7"/>
        <w:rPr>
          <w:sz w:val="20"/>
        </w:rPr>
      </w:pPr>
    </w:p>
    <w:p>
      <w:pPr>
        <w:pStyle w:val="BodyText"/>
        <w:ind w:left="139" w:right="136"/>
        <w:jc w:val="both"/>
      </w:pPr>
      <w:r>
        <w:rPr>
          <w:b/>
        </w:rPr>
        <w:t>shipment. </w:t>
      </w:r>
      <w:r>
        <w:rPr/>
        <w:t>A quantity of identically labeled product (except for lot code) sent at one time to a single location.</w:t>
      </w:r>
    </w:p>
    <w:p>
      <w:pPr>
        <w:pStyle w:val="BodyText"/>
        <w:spacing w:before="10"/>
        <w:rPr>
          <w:sz w:val="20"/>
        </w:rPr>
      </w:pPr>
    </w:p>
    <w:p>
      <w:pPr>
        <w:pStyle w:val="BodyText"/>
        <w:ind w:left="139" w:right="134"/>
        <w:jc w:val="both"/>
      </w:pPr>
      <w:r>
        <w:rPr>
          <w:b/>
        </w:rPr>
        <w:t>slicker plate. </w:t>
      </w:r>
      <w:r>
        <w:rPr/>
        <w:t>A flat plate, usually of glass or clear plastic composition, used to determine the “level full” condition of a capacity (volumetric) measure.</w:t>
      </w:r>
    </w:p>
    <w:p>
      <w:pPr>
        <w:pStyle w:val="BodyText"/>
        <w:spacing w:before="10"/>
        <w:rPr>
          <w:sz w:val="20"/>
        </w:rPr>
      </w:pPr>
    </w:p>
    <w:p>
      <w:pPr>
        <w:pStyle w:val="BodyText"/>
        <w:spacing w:before="1"/>
        <w:ind w:left="139" w:right="134"/>
        <w:jc w:val="both"/>
      </w:pPr>
      <w:r>
        <w:rPr>
          <w:b/>
        </w:rPr>
        <w:t>standard</w:t>
      </w:r>
      <w:r>
        <w:rPr>
          <w:b/>
          <w:spacing w:val="-9"/>
        </w:rPr>
        <w:t> </w:t>
      </w:r>
      <w:r>
        <w:rPr>
          <w:b/>
        </w:rPr>
        <w:t>deviation.</w:t>
      </w:r>
      <w:r>
        <w:rPr>
          <w:b/>
          <w:spacing w:val="43"/>
        </w:rPr>
        <w:t> </w:t>
      </w:r>
      <w:r>
        <w:rPr/>
        <w:t>A</w:t>
      </w:r>
      <w:r>
        <w:rPr>
          <w:spacing w:val="-6"/>
        </w:rPr>
        <w:t> </w:t>
      </w:r>
      <w:r>
        <w:rPr/>
        <w:t>measure</w:t>
      </w:r>
      <w:r>
        <w:rPr>
          <w:spacing w:val="-6"/>
        </w:rPr>
        <w:t> </w:t>
      </w:r>
      <w:r>
        <w:rPr/>
        <w:t>to</w:t>
      </w:r>
      <w:r>
        <w:rPr>
          <w:spacing w:val="-9"/>
        </w:rPr>
        <w:t> </w:t>
      </w:r>
      <w:r>
        <w:rPr/>
        <w:t>describe</w:t>
      </w:r>
      <w:r>
        <w:rPr>
          <w:spacing w:val="-7"/>
        </w:rPr>
        <w:t> </w:t>
      </w:r>
      <w:r>
        <w:rPr/>
        <w:t>the</w:t>
      </w:r>
      <w:r>
        <w:rPr>
          <w:spacing w:val="-8"/>
        </w:rPr>
        <w:t> </w:t>
      </w:r>
      <w:r>
        <w:rPr/>
        <w:t>scatter</w:t>
      </w:r>
      <w:r>
        <w:rPr>
          <w:spacing w:val="-7"/>
        </w:rPr>
        <w:t> </w:t>
      </w:r>
      <w:r>
        <w:rPr/>
        <w:t>of</w:t>
      </w:r>
      <w:r>
        <w:rPr>
          <w:spacing w:val="-5"/>
        </w:rPr>
        <w:t> </w:t>
      </w:r>
      <w:r>
        <w:rPr/>
        <w:t>the</w:t>
      </w:r>
      <w:r>
        <w:rPr>
          <w:spacing w:val="-8"/>
        </w:rPr>
        <w:t> </w:t>
      </w:r>
      <w:r>
        <w:rPr/>
        <w:t>individual</w:t>
      </w:r>
      <w:r>
        <w:rPr>
          <w:spacing w:val="-6"/>
        </w:rPr>
        <w:t> </w:t>
      </w:r>
      <w:r>
        <w:rPr/>
        <w:t>package</w:t>
      </w:r>
      <w:r>
        <w:rPr>
          <w:spacing w:val="-6"/>
        </w:rPr>
        <w:t> </w:t>
      </w:r>
      <w:r>
        <w:rPr/>
        <w:t>contents</w:t>
      </w:r>
      <w:r>
        <w:rPr>
          <w:spacing w:val="-8"/>
        </w:rPr>
        <w:t> </w:t>
      </w:r>
      <w:r>
        <w:rPr/>
        <w:t>around</w:t>
      </w:r>
      <w:r>
        <w:rPr>
          <w:spacing w:val="-6"/>
        </w:rPr>
        <w:t> </w:t>
      </w:r>
      <w:r>
        <w:rPr/>
        <w:t>the</w:t>
      </w:r>
      <w:r>
        <w:rPr>
          <w:spacing w:val="-5"/>
        </w:rPr>
        <w:t> </w:t>
      </w:r>
      <w:r>
        <w:rPr/>
        <w:t>mean contents.</w:t>
      </w:r>
    </w:p>
    <w:p>
      <w:pPr>
        <w:spacing w:after="0"/>
        <w:jc w:val="both"/>
        <w:sectPr>
          <w:footerReference w:type="default" r:id="rId11"/>
          <w:footerReference w:type="even" r:id="rId12"/>
          <w:pgSz w:w="12240" w:h="15840"/>
          <w:pgMar w:footer="741" w:header="730" w:top="1340" w:bottom="940" w:left="1300" w:right="1300"/>
        </w:sectPr>
      </w:pPr>
    </w:p>
    <w:p>
      <w:pPr>
        <w:pStyle w:val="BodyText"/>
        <w:spacing w:line="242" w:lineRule="auto" w:before="81"/>
        <w:ind w:left="140" w:right="135"/>
        <w:jc w:val="both"/>
      </w:pPr>
      <w:r>
        <w:rPr>
          <w:b/>
        </w:rPr>
        <w:t>standard pack. </w:t>
      </w:r>
      <w:r>
        <w:rPr/>
        <w:t>That type of package in which a commodity is put up with identical labels and only in certain specific quantity sizes. Examples of goods so packed are canned, boxed, bottled and bagged foods, and over-the-counter drugs.</w:t>
      </w:r>
    </w:p>
    <w:p>
      <w:pPr>
        <w:pStyle w:val="BodyText"/>
        <w:spacing w:before="2"/>
        <w:rPr>
          <w:sz w:val="20"/>
        </w:rPr>
      </w:pPr>
    </w:p>
    <w:p>
      <w:pPr>
        <w:pStyle w:val="BodyText"/>
        <w:ind w:left="139" w:right="135" w:hanging="1"/>
        <w:jc w:val="both"/>
      </w:pPr>
      <w:r>
        <w:rPr>
          <w:b/>
        </w:rPr>
        <w:t>supplementary quantity declarations. </w:t>
      </w:r>
      <w:r>
        <w:rPr/>
        <w:t>The required quantity declaration may be supplemented by one</w:t>
      </w:r>
      <w:r>
        <w:rPr>
          <w:spacing w:val="-38"/>
        </w:rPr>
        <w:t> </w:t>
      </w:r>
      <w:r>
        <w:rPr/>
        <w:t>or more</w:t>
      </w:r>
      <w:r>
        <w:rPr>
          <w:spacing w:val="-12"/>
        </w:rPr>
        <w:t> </w:t>
      </w:r>
      <w:r>
        <w:rPr/>
        <w:t>declarations</w:t>
      </w:r>
      <w:r>
        <w:rPr>
          <w:spacing w:val="-11"/>
        </w:rPr>
        <w:t> </w:t>
      </w:r>
      <w:r>
        <w:rPr/>
        <w:t>of</w:t>
      </w:r>
      <w:r>
        <w:rPr>
          <w:spacing w:val="-10"/>
        </w:rPr>
        <w:t> </w:t>
      </w:r>
      <w:r>
        <w:rPr/>
        <w:t>weight,</w:t>
      </w:r>
      <w:r>
        <w:rPr>
          <w:spacing w:val="-12"/>
        </w:rPr>
        <w:t> </w:t>
      </w:r>
      <w:r>
        <w:rPr/>
        <w:t>measure,</w:t>
      </w:r>
      <w:r>
        <w:rPr>
          <w:spacing w:val="-11"/>
        </w:rPr>
        <w:t> </w:t>
      </w:r>
      <w:r>
        <w:rPr/>
        <w:t>or</w:t>
      </w:r>
      <w:r>
        <w:rPr>
          <w:spacing w:val="-11"/>
        </w:rPr>
        <w:t> </w:t>
      </w:r>
      <w:r>
        <w:rPr/>
        <w:t>count,</w:t>
      </w:r>
      <w:r>
        <w:rPr>
          <w:spacing w:val="-13"/>
        </w:rPr>
        <w:t> </w:t>
      </w:r>
      <w:r>
        <w:rPr/>
        <w:t>such</w:t>
      </w:r>
      <w:r>
        <w:rPr>
          <w:spacing w:val="-13"/>
        </w:rPr>
        <w:t> </w:t>
      </w:r>
      <w:r>
        <w:rPr/>
        <w:t>declaration</w:t>
      </w:r>
      <w:r>
        <w:rPr>
          <w:spacing w:val="-14"/>
        </w:rPr>
        <w:t> </w:t>
      </w:r>
      <w:r>
        <w:rPr/>
        <w:t>appearing</w:t>
      </w:r>
      <w:r>
        <w:rPr>
          <w:spacing w:val="-13"/>
        </w:rPr>
        <w:t> </w:t>
      </w:r>
      <w:r>
        <w:rPr/>
        <w:t>other</w:t>
      </w:r>
      <w:r>
        <w:rPr>
          <w:spacing w:val="-11"/>
        </w:rPr>
        <w:t> </w:t>
      </w:r>
      <w:r>
        <w:rPr/>
        <w:t>than</w:t>
      </w:r>
      <w:r>
        <w:rPr>
          <w:spacing w:val="-11"/>
        </w:rPr>
        <w:t> </w:t>
      </w:r>
      <w:r>
        <w:rPr/>
        <w:t>on</w:t>
      </w:r>
      <w:r>
        <w:rPr>
          <w:spacing w:val="-12"/>
        </w:rPr>
        <w:t> </w:t>
      </w:r>
      <w:r>
        <w:rPr/>
        <w:t>a</w:t>
      </w:r>
      <w:r>
        <w:rPr>
          <w:spacing w:val="-12"/>
        </w:rPr>
        <w:t> </w:t>
      </w:r>
      <w:r>
        <w:rPr/>
        <w:t>principal</w:t>
      </w:r>
      <w:r>
        <w:rPr>
          <w:spacing w:val="-11"/>
        </w:rPr>
        <w:t> </w:t>
      </w:r>
      <w:r>
        <w:rPr/>
        <w:t>display panel. Such supplemental statement of quantity of contents shall not include any terms qualifying a unit</w:t>
      </w:r>
      <w:r>
        <w:rPr>
          <w:spacing w:val="-35"/>
        </w:rPr>
        <w:t> </w:t>
      </w:r>
      <w:r>
        <w:rPr/>
        <w:t>of weight, measure, or count that tends to exaggerate the amount of commodity contained in the package (e.g., “giant” quart, “full” gallon, “when packed,” “minimum,” or words  of  similar  import).  See  Section 6.12 in the Uniform Packaging and Labeling Regulation in NIST Handbook</w:t>
      </w:r>
      <w:r>
        <w:rPr>
          <w:spacing w:val="-20"/>
        </w:rPr>
        <w:t> </w:t>
      </w:r>
      <w:r>
        <w:rPr/>
        <w:t>130.</w:t>
      </w:r>
    </w:p>
    <w:p>
      <w:pPr>
        <w:pStyle w:val="BodyText"/>
        <w:rPr>
          <w:sz w:val="21"/>
        </w:rPr>
      </w:pPr>
    </w:p>
    <w:p>
      <w:pPr>
        <w:pStyle w:val="Heading1"/>
        <w:ind w:left="4738"/>
      </w:pPr>
      <w:r>
        <w:rPr/>
        <w:t>T</w:t>
      </w:r>
    </w:p>
    <w:p>
      <w:pPr>
        <w:pStyle w:val="BodyText"/>
        <w:spacing w:before="1"/>
        <w:rPr>
          <w:b/>
          <w:sz w:val="21"/>
        </w:rPr>
      </w:pPr>
    </w:p>
    <w:p>
      <w:pPr>
        <w:pStyle w:val="BodyText"/>
        <w:ind w:left="140"/>
      </w:pPr>
      <w:r>
        <w:rPr>
          <w:b/>
        </w:rPr>
        <w:t>tare sample. </w:t>
      </w:r>
      <w:r>
        <w:rPr/>
        <w:t>The packages or packaging material used to determine the average tare weight.</w:t>
      </w:r>
    </w:p>
    <w:p>
      <w:pPr>
        <w:pStyle w:val="BodyText"/>
        <w:spacing w:before="6"/>
        <w:rPr>
          <w:sz w:val="20"/>
        </w:rPr>
      </w:pPr>
    </w:p>
    <w:p>
      <w:pPr>
        <w:pStyle w:val="BodyText"/>
        <w:ind w:left="140" w:right="134"/>
        <w:jc w:val="both"/>
      </w:pPr>
      <w:r>
        <w:rPr>
          <w:b/>
        </w:rPr>
        <w:t>tare sample size. </w:t>
      </w:r>
      <w:r>
        <w:rPr/>
        <w:t>The number of packages or packaging material units used to determine the average tare weight.</w:t>
      </w:r>
    </w:p>
    <w:p>
      <w:pPr>
        <w:pStyle w:val="BodyText"/>
        <w:spacing w:before="10"/>
        <w:rPr>
          <w:sz w:val="20"/>
        </w:rPr>
      </w:pPr>
    </w:p>
    <w:p>
      <w:pPr>
        <w:pStyle w:val="BodyText"/>
        <w:spacing w:before="1"/>
        <w:ind w:left="140" w:right="137"/>
        <w:jc w:val="both"/>
      </w:pPr>
      <w:r>
        <w:rPr>
          <w:b/>
        </w:rPr>
        <w:t>tare weight. </w:t>
      </w:r>
      <w:r>
        <w:rPr/>
        <w:t>The weight of a container, wrapper, or other material that is deducted from the gross weight to obtain the net weight.</w:t>
      </w:r>
    </w:p>
    <w:p>
      <w:pPr>
        <w:pStyle w:val="BodyText"/>
        <w:spacing w:before="10"/>
        <w:rPr>
          <w:sz w:val="20"/>
        </w:rPr>
      </w:pPr>
    </w:p>
    <w:p>
      <w:pPr>
        <w:pStyle w:val="BodyText"/>
        <w:ind w:left="140" w:right="135" w:hanging="1"/>
        <w:jc w:val="both"/>
      </w:pPr>
      <w:r>
        <w:rPr>
          <w:b/>
        </w:rPr>
        <w:t>tolerance. </w:t>
      </w:r>
      <w:r>
        <w:rPr/>
        <w:t>A value fixing the limit of allowed departure from the labeled contents; usually presented as a plus (+) and minus (−) value.</w:t>
      </w:r>
    </w:p>
    <w:p>
      <w:pPr>
        <w:pStyle w:val="BodyText"/>
        <w:spacing w:before="2"/>
        <w:rPr>
          <w:sz w:val="13"/>
        </w:rPr>
      </w:pPr>
    </w:p>
    <w:p>
      <w:pPr>
        <w:pStyle w:val="Heading1"/>
        <w:spacing w:before="90"/>
        <w:jc w:val="center"/>
      </w:pPr>
      <w:r>
        <w:rPr>
          <w:w w:val="99"/>
        </w:rPr>
        <w:t>U</w:t>
      </w:r>
    </w:p>
    <w:p>
      <w:pPr>
        <w:pStyle w:val="BodyText"/>
        <w:spacing w:before="9"/>
        <w:rPr>
          <w:b/>
          <w:sz w:val="20"/>
        </w:rPr>
      </w:pPr>
    </w:p>
    <w:p>
      <w:pPr>
        <w:pStyle w:val="BodyText"/>
        <w:ind w:left="139" w:right="133"/>
        <w:jc w:val="both"/>
      </w:pPr>
      <w:r>
        <w:rPr>
          <w:b/>
        </w:rPr>
        <w:t>unit</w:t>
      </w:r>
      <w:r>
        <w:rPr>
          <w:b/>
          <w:spacing w:val="-13"/>
        </w:rPr>
        <w:t> </w:t>
      </w:r>
      <w:r>
        <w:rPr>
          <w:b/>
        </w:rPr>
        <w:t>of</w:t>
      </w:r>
      <w:r>
        <w:rPr>
          <w:b/>
          <w:spacing w:val="-10"/>
        </w:rPr>
        <w:t> </w:t>
      </w:r>
      <w:r>
        <w:rPr>
          <w:b/>
        </w:rPr>
        <w:t>measure.</w:t>
      </w:r>
      <w:r>
        <w:rPr>
          <w:b/>
          <w:spacing w:val="30"/>
        </w:rPr>
        <w:t> </w:t>
      </w:r>
      <w:r>
        <w:rPr/>
        <w:t>An</w:t>
      </w:r>
      <w:r>
        <w:rPr>
          <w:spacing w:val="-13"/>
        </w:rPr>
        <w:t> </w:t>
      </w:r>
      <w:r>
        <w:rPr/>
        <w:t>increment</w:t>
      </w:r>
      <w:r>
        <w:rPr>
          <w:spacing w:val="-10"/>
        </w:rPr>
        <w:t> </w:t>
      </w:r>
      <w:r>
        <w:rPr/>
        <w:t>of</w:t>
      </w:r>
      <w:r>
        <w:rPr>
          <w:spacing w:val="-11"/>
        </w:rPr>
        <w:t> </w:t>
      </w:r>
      <w:r>
        <w:rPr/>
        <w:t>weight,</w:t>
      </w:r>
      <w:r>
        <w:rPr>
          <w:spacing w:val="-13"/>
        </w:rPr>
        <w:t> </w:t>
      </w:r>
      <w:r>
        <w:rPr/>
        <w:t>length,</w:t>
      </w:r>
      <w:r>
        <w:rPr>
          <w:spacing w:val="-13"/>
        </w:rPr>
        <w:t> </w:t>
      </w:r>
      <w:r>
        <w:rPr/>
        <w:t>or</w:t>
      </w:r>
      <w:r>
        <w:rPr>
          <w:spacing w:val="-12"/>
        </w:rPr>
        <w:t> </w:t>
      </w:r>
      <w:r>
        <w:rPr/>
        <w:t>volume</w:t>
      </w:r>
      <w:r>
        <w:rPr>
          <w:spacing w:val="-12"/>
        </w:rPr>
        <w:t> </w:t>
      </w:r>
      <w:r>
        <w:rPr/>
        <w:t>so</w:t>
      </w:r>
      <w:r>
        <w:rPr>
          <w:spacing w:val="-13"/>
        </w:rPr>
        <w:t> </w:t>
      </w:r>
      <w:r>
        <w:rPr/>
        <w:t>that</w:t>
      </w:r>
      <w:r>
        <w:rPr>
          <w:spacing w:val="-12"/>
        </w:rPr>
        <w:t> </w:t>
      </w:r>
      <w:r>
        <w:rPr/>
        <w:t>an</w:t>
      </w:r>
      <w:r>
        <w:rPr>
          <w:spacing w:val="-13"/>
        </w:rPr>
        <w:t> </w:t>
      </w:r>
      <w:r>
        <w:rPr/>
        <w:t>inspector</w:t>
      </w:r>
      <w:r>
        <w:rPr>
          <w:spacing w:val="-16"/>
        </w:rPr>
        <w:t> </w:t>
      </w:r>
      <w:r>
        <w:rPr/>
        <w:t>may</w:t>
      </w:r>
      <w:r>
        <w:rPr>
          <w:spacing w:val="-13"/>
        </w:rPr>
        <w:t> </w:t>
      </w:r>
      <w:r>
        <w:rPr/>
        <w:t>record</w:t>
      </w:r>
      <w:r>
        <w:rPr>
          <w:spacing w:val="-11"/>
        </w:rPr>
        <w:t> </w:t>
      </w:r>
      <w:r>
        <w:rPr/>
        <w:t>package</w:t>
      </w:r>
      <w:r>
        <w:rPr>
          <w:spacing w:val="-11"/>
        </w:rPr>
        <w:t> </w:t>
      </w:r>
      <w:r>
        <w:rPr/>
        <w:t>errors in terms of small integers. (The package errors are actually the integers multiplied by the unit of</w:t>
      </w:r>
      <w:r>
        <w:rPr>
          <w:spacing w:val="-39"/>
        </w:rPr>
        <w:t> </w:t>
      </w:r>
      <w:r>
        <w:rPr/>
        <w:t>measure.)</w:t>
      </w:r>
    </w:p>
    <w:p>
      <w:pPr>
        <w:pStyle w:val="BodyText"/>
        <w:spacing w:before="8"/>
        <w:rPr>
          <w:sz w:val="20"/>
        </w:rPr>
      </w:pPr>
    </w:p>
    <w:p>
      <w:pPr>
        <w:pStyle w:val="BodyText"/>
        <w:ind w:left="139" w:right="135"/>
        <w:jc w:val="both"/>
      </w:pPr>
      <w:r>
        <w:rPr>
          <w:b/>
        </w:rPr>
        <w:t>U.S. customary units. </w:t>
      </w:r>
      <w:r>
        <w:rPr/>
        <w:t>Units based upon the yard, gallon, and the pound commonly used in the United States</w:t>
      </w:r>
      <w:r>
        <w:rPr>
          <w:spacing w:val="-13"/>
        </w:rPr>
        <w:t> </w:t>
      </w:r>
      <w:r>
        <w:rPr/>
        <w:t>of</w:t>
      </w:r>
      <w:r>
        <w:rPr>
          <w:spacing w:val="-12"/>
        </w:rPr>
        <w:t> </w:t>
      </w:r>
      <w:r>
        <w:rPr/>
        <w:t>America.</w:t>
      </w:r>
      <w:r>
        <w:rPr>
          <w:spacing w:val="31"/>
        </w:rPr>
        <w:t> </w:t>
      </w:r>
      <w:r>
        <w:rPr/>
        <w:t>Some</w:t>
      </w:r>
      <w:r>
        <w:rPr>
          <w:spacing w:val="-9"/>
        </w:rPr>
        <w:t> </w:t>
      </w:r>
      <w:r>
        <w:rPr/>
        <w:t>of</w:t>
      </w:r>
      <w:r>
        <w:rPr>
          <w:spacing w:val="-12"/>
        </w:rPr>
        <w:t> </w:t>
      </w:r>
      <w:r>
        <w:rPr/>
        <w:t>these</w:t>
      </w:r>
      <w:r>
        <w:rPr>
          <w:spacing w:val="-13"/>
        </w:rPr>
        <w:t> </w:t>
      </w:r>
      <w:r>
        <w:rPr/>
        <w:t>units</w:t>
      </w:r>
      <w:r>
        <w:rPr>
          <w:spacing w:val="-13"/>
        </w:rPr>
        <w:t> </w:t>
      </w:r>
      <w:r>
        <w:rPr/>
        <w:t>have</w:t>
      </w:r>
      <w:r>
        <w:rPr>
          <w:spacing w:val="-13"/>
        </w:rPr>
        <w:t> </w:t>
      </w:r>
      <w:r>
        <w:rPr/>
        <w:t>the</w:t>
      </w:r>
      <w:r>
        <w:rPr>
          <w:spacing w:val="-12"/>
        </w:rPr>
        <w:t> </w:t>
      </w:r>
      <w:r>
        <w:rPr/>
        <w:t>same</w:t>
      </w:r>
      <w:r>
        <w:rPr>
          <w:spacing w:val="-10"/>
        </w:rPr>
        <w:t> </w:t>
      </w:r>
      <w:r>
        <w:rPr/>
        <w:t>name</w:t>
      </w:r>
      <w:r>
        <w:rPr>
          <w:spacing w:val="-10"/>
        </w:rPr>
        <w:t> </w:t>
      </w:r>
      <w:r>
        <w:rPr/>
        <w:t>as</w:t>
      </w:r>
      <w:r>
        <w:rPr>
          <w:spacing w:val="-10"/>
        </w:rPr>
        <w:t> </w:t>
      </w:r>
      <w:r>
        <w:rPr/>
        <w:t>similar</w:t>
      </w:r>
      <w:r>
        <w:rPr>
          <w:spacing w:val="-12"/>
        </w:rPr>
        <w:t> </w:t>
      </w:r>
      <w:r>
        <w:rPr/>
        <w:t>units</w:t>
      </w:r>
      <w:r>
        <w:rPr>
          <w:spacing w:val="-12"/>
        </w:rPr>
        <w:t> </w:t>
      </w:r>
      <w:r>
        <w:rPr/>
        <w:t>in</w:t>
      </w:r>
      <w:r>
        <w:rPr>
          <w:spacing w:val="-13"/>
        </w:rPr>
        <w:t> </w:t>
      </w:r>
      <w:r>
        <w:rPr/>
        <w:t>the</w:t>
      </w:r>
      <w:r>
        <w:rPr>
          <w:spacing w:val="-13"/>
        </w:rPr>
        <w:t> </w:t>
      </w:r>
      <w:r>
        <w:rPr/>
        <w:t>United</w:t>
      </w:r>
      <w:r>
        <w:rPr>
          <w:spacing w:val="-13"/>
        </w:rPr>
        <w:t> </w:t>
      </w:r>
      <w:r>
        <w:rPr/>
        <w:t>Kingdom</w:t>
      </w:r>
      <w:r>
        <w:rPr>
          <w:spacing w:val="-14"/>
        </w:rPr>
        <w:t> </w:t>
      </w:r>
      <w:r>
        <w:rPr/>
        <w:t>(British, English, or Imperial units), but they are not necessarily equal to</w:t>
      </w:r>
      <w:r>
        <w:rPr>
          <w:spacing w:val="-12"/>
        </w:rPr>
        <w:t> </w:t>
      </w:r>
      <w:r>
        <w:rPr/>
        <w:t>them.</w:t>
      </w:r>
    </w:p>
    <w:p>
      <w:pPr>
        <w:pStyle w:val="BodyText"/>
        <w:spacing w:before="1"/>
      </w:pPr>
    </w:p>
    <w:p>
      <w:pPr>
        <w:pStyle w:val="BodyText"/>
        <w:ind w:left="139" w:right="136"/>
        <w:jc w:val="both"/>
      </w:pPr>
      <w:r>
        <w:rPr>
          <w:b/>
        </w:rPr>
        <w:t>unreasonable errors. </w:t>
      </w:r>
      <w:r>
        <w:rPr/>
        <w:t>Minus package errors that exceed the MAV (defined). The number of unreasonable errors permitted in a sample is specified by the sampling plan.</w:t>
      </w:r>
    </w:p>
    <w:p>
      <w:pPr>
        <w:pStyle w:val="BodyText"/>
        <w:spacing w:before="10"/>
        <w:rPr>
          <w:sz w:val="20"/>
        </w:rPr>
      </w:pPr>
    </w:p>
    <w:p>
      <w:pPr>
        <w:pStyle w:val="BodyText"/>
        <w:ind w:left="139" w:right="122"/>
        <w:jc w:val="both"/>
      </w:pPr>
      <w:r>
        <w:rPr>
          <w:b/>
        </w:rPr>
        <w:t>unused dry tare. </w:t>
      </w:r>
      <w:r>
        <w:rPr/>
        <w:t>All unused packaging materials (including glue, labels, ties, etc.) that contain or enclose a product. It includes prizes, gifts, coupons, or decorations that are not part of the product.</w:t>
      </w:r>
    </w:p>
    <w:p>
      <w:pPr>
        <w:pStyle w:val="BodyText"/>
        <w:spacing w:before="10"/>
        <w:rPr>
          <w:sz w:val="20"/>
        </w:rPr>
      </w:pPr>
    </w:p>
    <w:p>
      <w:pPr>
        <w:pStyle w:val="BodyText"/>
        <w:spacing w:before="1"/>
        <w:ind w:left="139" w:right="133"/>
        <w:jc w:val="both"/>
      </w:pPr>
      <w:r>
        <w:rPr>
          <w:b/>
        </w:rPr>
        <w:t>used dry tare. </w:t>
      </w:r>
      <w:r>
        <w:rPr/>
        <w:t>Used tare material that has been air dried, or dried in some manner to simulate the unused tare weight. It includes all packaging materials that can be separated from the packaged product, either readily (e.g., by shaking) or by washing, scraping, ambient air drying, or other techniques involving more than “normal” household recovery procedures, but not including laboratory procedures like oven drying. Labels, wire closures, staples, prizes, decorations, and such are considered tare. It is not the same as “wet tare.” See also “wet tare.”</w:t>
      </w:r>
    </w:p>
    <w:p>
      <w:pPr>
        <w:spacing w:after="0"/>
        <w:jc w:val="both"/>
        <w:sectPr>
          <w:pgSz w:w="12240" w:h="15840"/>
          <w:pgMar w:header="730" w:footer="741" w:top="1340" w:bottom="940" w:left="1300" w:right="1300"/>
        </w:sectPr>
      </w:pPr>
    </w:p>
    <w:p>
      <w:pPr>
        <w:pStyle w:val="Heading1"/>
        <w:spacing w:before="82"/>
        <w:ind w:left="4733"/>
      </w:pPr>
      <w:r>
        <w:rPr>
          <w:w w:val="99"/>
        </w:rPr>
        <w:t>V</w:t>
      </w:r>
    </w:p>
    <w:p>
      <w:pPr>
        <w:pStyle w:val="BodyText"/>
        <w:spacing w:before="9"/>
        <w:rPr>
          <w:b/>
          <w:sz w:val="20"/>
        </w:rPr>
      </w:pPr>
    </w:p>
    <w:p>
      <w:pPr>
        <w:pStyle w:val="BodyText"/>
        <w:ind w:left="140"/>
      </w:pPr>
      <w:r>
        <w:rPr>
          <w:b/>
        </w:rPr>
        <w:t>volumetric measures. </w:t>
      </w:r>
      <w:r>
        <w:rPr/>
        <w:t>Standard measuring flasks, graduates, cylinders, for use in measuring volumes of liquids.</w:t>
      </w:r>
    </w:p>
    <w:p>
      <w:pPr>
        <w:pStyle w:val="BodyText"/>
        <w:spacing w:before="2"/>
        <w:rPr>
          <w:sz w:val="13"/>
        </w:rPr>
      </w:pPr>
    </w:p>
    <w:p>
      <w:pPr>
        <w:pStyle w:val="Heading1"/>
        <w:spacing w:before="90"/>
        <w:ind w:left="4700"/>
      </w:pPr>
      <w:r>
        <w:rPr/>
        <w:t>W</w:t>
      </w:r>
    </w:p>
    <w:p>
      <w:pPr>
        <w:pStyle w:val="BodyText"/>
        <w:spacing w:before="9"/>
        <w:rPr>
          <w:b/>
          <w:sz w:val="20"/>
        </w:rPr>
      </w:pPr>
    </w:p>
    <w:p>
      <w:pPr>
        <w:pStyle w:val="BodyText"/>
        <w:ind w:left="140" w:right="131" w:hanging="1"/>
      </w:pPr>
      <w:r>
        <w:rPr>
          <w:b/>
        </w:rPr>
        <w:t>wet tare. </w:t>
      </w:r>
      <w:r>
        <w:rPr/>
        <w:t>Used packaging materials when no effort is made to reconstruct unused tare weight by drying out the absorbent portion (if any) of the tare.</w:t>
      </w:r>
    </w:p>
    <w:sectPr>
      <w:footerReference w:type="default" r:id="rId13"/>
      <w:pgSz w:w="12240" w:h="15840"/>
      <w:pgMar w:footer="741" w:header="730" w:top="1340" w:bottom="94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50562pt;margin-top:743.969177pt;width:19.150pt;height:13.05pt;mso-position-horizontal-relative:page;mso-position-vertical-relative:page;z-index:-7816"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236</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7792"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237</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450562pt;margin-top:743.969177pt;width:17.150pt;height:13.05pt;mso-position-horizontal-relative:page;mso-position-vertical-relative:page;z-index:-7768" type="#_x0000_t202" filled="false" stroked="false">
          <v:textbox inset="0,0,0,0">
            <w:txbxContent>
              <w:p>
                <w:pPr>
                  <w:spacing w:before="10"/>
                  <w:ind w:left="20" w:right="0" w:firstLine="0"/>
                  <w:jc w:val="left"/>
                  <w:rPr>
                    <w:sz w:val="20"/>
                  </w:rPr>
                </w:pPr>
                <w:r>
                  <w:rPr>
                    <w:sz w:val="20"/>
                  </w:rPr>
                  <w:t>240</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440613pt;margin-top:743.969177pt;width:17.150pt;height:13.05pt;mso-position-horizontal-relative:page;mso-position-vertical-relative:page;z-index:-7744" type="#_x0000_t202" filled="false" stroked="false">
          <v:textbox inset="0,0,0,0">
            <w:txbxContent>
              <w:p>
                <w:pPr>
                  <w:spacing w:before="10"/>
                  <w:ind w:left="20" w:right="0" w:firstLine="0"/>
                  <w:jc w:val="left"/>
                  <w:rPr>
                    <w:sz w:val="20"/>
                  </w:rPr>
                </w:pPr>
                <w:r>
                  <w:rPr>
                    <w:sz w:val="20"/>
                  </w:rPr>
                  <w:t>241</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450562pt;margin-top:743.969177pt;width:17.150pt;height:13.05pt;mso-position-horizontal-relative:page;mso-position-vertical-relative:page;z-index:-7720" type="#_x0000_t202" filled="false" stroked="false">
          <v:textbox inset="0,0,0,0">
            <w:txbxContent>
              <w:p>
                <w:pPr>
                  <w:spacing w:before="10"/>
                  <w:ind w:left="20" w:right="0" w:firstLine="0"/>
                  <w:jc w:val="left"/>
                  <w:rPr>
                    <w:sz w:val="20"/>
                  </w:rPr>
                </w:pPr>
                <w:r>
                  <w:rPr>
                    <w:sz w:val="20"/>
                  </w:rPr>
                  <w:t>242</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71pt;margin-top:35.484512pt;width:90.05pt;height:13.05pt;mso-position-horizontal-relative:page;mso-position-vertical-relative:page;z-index:-7912" type="#_x0000_t202" filled="false" stroked="false">
          <v:textbox inset="0,0,0,0">
            <w:txbxContent>
              <w:p>
                <w:pPr>
                  <w:spacing w:before="10"/>
                  <w:ind w:left="20" w:right="0" w:firstLine="0"/>
                  <w:jc w:val="left"/>
                  <w:rPr>
                    <w:sz w:val="20"/>
                  </w:rPr>
                </w:pPr>
                <w:r>
                  <w:rPr>
                    <w:sz w:val="20"/>
                  </w:rPr>
                  <w:t>Appendix F. Glossary</w:t>
                </w:r>
              </w:p>
            </w:txbxContent>
          </v:textbox>
          <w10:wrap type="none"/>
        </v:shape>
      </w:pict>
    </w:r>
    <w:r>
      <w:rPr/>
      <w:pict>
        <v:shape style="position:absolute;margin-left:449.848511pt;margin-top:35.484512pt;width:91.3pt;height:13.05pt;mso-position-horizontal-relative:page;mso-position-vertical-relative:page;z-index:-7888"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91.3pt;height:13.05pt;mso-position-horizontal-relative:page;mso-position-vertical-relative:page;z-index:-7864"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450.924194pt;margin-top:35.484512pt;width:90.05pt;height:13.05pt;mso-position-horizontal-relative:page;mso-position-vertical-relative:page;z-index:-7840" type="#_x0000_t202" filled="false" stroked="false">
          <v:textbox inset="0,0,0,0">
            <w:txbxContent>
              <w:p>
                <w:pPr>
                  <w:spacing w:before="10"/>
                  <w:ind w:left="20" w:right="0" w:firstLine="0"/>
                  <w:jc w:val="left"/>
                  <w:rPr>
                    <w:sz w:val="20"/>
                  </w:rPr>
                </w:pPr>
                <w:r>
                  <w:rPr>
                    <w:sz w:val="20"/>
                  </w:rPr>
                  <w:t>Appendix F. Glossary</w:t>
                </w:r>
              </w:p>
            </w:txbxContent>
          </v:textbox>
          <w10:wrap type="non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2"/>
      <w:szCs w:val="22"/>
    </w:rPr>
  </w:style>
  <w:style w:styleId="Heading1" w:type="paragraph">
    <w:name w:val="Heading 1"/>
    <w:basedOn w:val="Normal"/>
    <w:uiPriority w:val="1"/>
    <w:qFormat/>
    <w:pPr>
      <w:outlineLvl w:val="1"/>
    </w:pPr>
    <w:rPr>
      <w:rFonts w:ascii="Times New Roman" w:hAnsi="Times New Roman" w:eastAsia="Times New Roman" w:cs="Times New Roman"/>
      <w:b/>
      <w:bCs/>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https://www.nist.gov/physical-measurement-laboratory/special-publication-811" TargetMode="External"/><Relationship Id="rId10" Type="http://schemas.openxmlformats.org/officeDocument/2006/relationships/hyperlink" Target="https://www.nist.gov/pml/special-publication-330" TargetMode="Externa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lisa.warfield@nist.gov;breyanna.blackwell@nist.gov</dc:creator>
  <dc:subject>2019 edition</dc:subject>
  <dc:title>Checking the Net Contents of Packaged Goods</dc:title>
  <dcterms:created xsi:type="dcterms:W3CDTF">2019-11-22T17:28:19Z</dcterms:created>
  <dcterms:modified xsi:type="dcterms:W3CDTF">2019-11-22T17:28:19Z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Creator">
    <vt:lpwstr>Acrobat PDFMaker 17 for Word</vt:lpwstr>
  </property>
  <property fmtid="{D5CDD505-2E9C-101B-9397-08002B2CF9AE}" pid="4" name="LastSaved">
    <vt:filetime>2019-11-22T00:00:00Z</vt:filetime>
  </property>
</Properties>
</file>