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Default Extension="png" ContentType="image/png"/>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Default Extension="jpeg" ContentType="image/jpeg"/>
  <Override PartName="/word/footer1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pStyle w:val="BodyText"/>
        <w:spacing w:before="6"/>
        <w:rPr>
          <w:sz w:val="28"/>
        </w:rPr>
      </w:pPr>
    </w:p>
    <w:p>
      <w:pPr>
        <w:spacing w:before="89"/>
        <w:ind w:left="1773" w:right="0" w:firstLine="0"/>
        <w:jc w:val="left"/>
        <w:rPr>
          <w:b/>
          <w:sz w:val="28"/>
        </w:rPr>
      </w:pPr>
      <w:r>
        <w:rPr>
          <w:b/>
          <w:sz w:val="28"/>
        </w:rPr>
        <w:t>VI. NCWM Policy, Interpretations, and Guidelines</w:t>
      </w:r>
    </w:p>
    <w:p>
      <w:pPr>
        <w:pStyle w:val="BodyText"/>
        <w:spacing w:before="8"/>
        <w:rPr>
          <w:b/>
          <w:sz w:val="41"/>
        </w:rPr>
      </w:pPr>
    </w:p>
    <w:p>
      <w:pPr>
        <w:spacing w:before="0"/>
        <w:ind w:left="726" w:right="963" w:firstLine="0"/>
        <w:jc w:val="center"/>
        <w:rPr>
          <w:b/>
          <w:sz w:val="28"/>
        </w:rPr>
      </w:pPr>
      <w:r>
        <w:rPr>
          <w:b/>
          <w:sz w:val="28"/>
        </w:rPr>
        <w:t>Excerpts from NCWM Publication 3</w:t>
      </w:r>
    </w:p>
    <w:p>
      <w:pPr>
        <w:spacing w:before="241"/>
        <w:ind w:left="726" w:right="964" w:firstLine="0"/>
        <w:jc w:val="center"/>
        <w:rPr>
          <w:b/>
          <w:sz w:val="24"/>
        </w:rPr>
      </w:pPr>
      <w:r>
        <w:rPr>
          <w:b/>
          <w:sz w:val="24"/>
        </w:rPr>
        <w:t>Table of Contents</w:t>
      </w:r>
    </w:p>
    <w:p>
      <w:pPr>
        <w:pStyle w:val="Heading1"/>
        <w:tabs>
          <w:tab w:pos="9129" w:val="left" w:leader="none"/>
        </w:tabs>
        <w:spacing w:before="230"/>
        <w:ind w:left="180"/>
      </w:pPr>
      <w:r>
        <w:rPr/>
        <w:t>Section</w:t>
        <w:tab/>
        <w:t>Page</w:t>
      </w:r>
    </w:p>
    <w:sdt>
      <w:sdtPr>
        <w:docPartObj>
          <w:docPartGallery w:val="Table of Contents"/>
          <w:docPartUnique/>
        </w:docPartObj>
      </w:sdtPr>
      <w:sdtEndPr/>
      <w:sdtContent>
        <w:p>
          <w:pPr>
            <w:pStyle w:val="TOC1"/>
            <w:numPr>
              <w:ilvl w:val="2"/>
              <w:numId w:val="1"/>
            </w:numPr>
            <w:tabs>
              <w:tab w:pos="732" w:val="left" w:leader="none"/>
              <w:tab w:pos="9542" w:val="right" w:leader="dot"/>
            </w:tabs>
            <w:spacing w:line="240" w:lineRule="auto" w:before="199" w:after="0"/>
            <w:ind w:left="731" w:right="0" w:hanging="552"/>
            <w:jc w:val="left"/>
          </w:pPr>
          <w:hyperlink w:history="true" w:anchor="_bookmark0">
            <w:r>
              <w:rPr/>
              <w:t>Offenses and Penalties, Sale of an</w:t>
            </w:r>
            <w:r>
              <w:rPr>
                <w:spacing w:val="-2"/>
              </w:rPr>
              <w:t> </w:t>
            </w:r>
            <w:r>
              <w:rPr/>
              <w:t>Incorrect</w:t>
            </w:r>
            <w:r>
              <w:rPr>
                <w:spacing w:val="-1"/>
              </w:rPr>
              <w:t> </w:t>
            </w:r>
            <w:r>
              <w:rPr/>
              <w:t>Device.</w:t>
              <w:tab/>
              <w:t>247</w:t>
            </w:r>
          </w:hyperlink>
        </w:p>
        <w:p>
          <w:pPr>
            <w:pStyle w:val="TOC1"/>
            <w:numPr>
              <w:ilvl w:val="2"/>
              <w:numId w:val="1"/>
            </w:numPr>
            <w:tabs>
              <w:tab w:pos="732" w:val="left" w:leader="none"/>
              <w:tab w:pos="9542" w:val="right" w:leader="dot"/>
            </w:tabs>
            <w:spacing w:line="240" w:lineRule="auto" w:before="202" w:after="0"/>
            <w:ind w:left="732" w:right="0" w:hanging="552"/>
            <w:jc w:val="left"/>
          </w:pPr>
          <w:hyperlink w:history="true" w:anchor="_bookmark1">
            <w:r>
              <w:rPr/>
              <w:t>Weight:  Primary</w:t>
            </w:r>
            <w:r>
              <w:rPr>
                <w:spacing w:val="-2"/>
              </w:rPr>
              <w:t> </w:t>
            </w:r>
            <w:r>
              <w:rPr/>
              <w:t>Mill</w:t>
            </w:r>
            <w:r>
              <w:rPr>
                <w:spacing w:val="2"/>
              </w:rPr>
              <w:t> </w:t>
            </w:r>
            <w:r>
              <w:rPr/>
              <w:t>Paper</w:t>
              <w:tab/>
              <w:t>247</w:t>
            </w:r>
          </w:hyperlink>
        </w:p>
        <w:p>
          <w:pPr>
            <w:pStyle w:val="TOC1"/>
            <w:ind w:left="180" w:firstLine="0"/>
          </w:pPr>
          <w:hyperlink w:history="true" w:anchor="_bookmark2">
            <w:r>
              <w:rPr/>
              <w:t>2.</w:t>
            </w:r>
          </w:hyperlink>
          <w:hyperlink w:history="true" w:anchor="_bookmark2">
            <w:r>
              <w:rPr/>
              <w:t>2.13. Declaration of Identity: Consumer Package (UPLR) and 1.5.1. In Combination with Other Foods</w:t>
            </w:r>
            <w:r>
              <w:rPr>
                <w:spacing w:val="1"/>
              </w:rPr>
              <w:t> </w:t>
            </w:r>
            <w:r>
              <w:rPr/>
              <w:t>(UMSCR).</w:t>
            </w:r>
          </w:hyperlink>
        </w:p>
        <w:p>
          <w:pPr>
            <w:pStyle w:val="TOC2"/>
            <w:spacing w:line="448" w:lineRule="auto"/>
            <w:ind w:firstLine="475"/>
          </w:pPr>
          <w:hyperlink w:history="true" w:anchor="_bookmark2">
            <w:r>
              <w:rPr/>
              <w:t>................................................................................................</w:t>
            </w:r>
          </w:hyperlink>
          <w:hyperlink w:history="true" w:anchor="_bookmark2">
            <w:r>
              <w:rPr/>
              <w:t>.......................................................................... 248</w:t>
            </w:r>
          </w:hyperlink>
          <w:r>
            <w:rPr/>
            <w:t> </w:t>
          </w:r>
          <w:hyperlink w:history="true" w:anchor="_bookmark3">
            <w:r>
              <w:rPr/>
              <w:t>2.</w:t>
            </w:r>
          </w:hyperlink>
          <w:hyperlink w:history="true" w:anchor="_bookmark3">
            <w:r>
              <w:rPr/>
              <w:t>2.14.  Typewriter and Computer Printer Ribbons and</w:t>
            </w:r>
            <w:r>
              <w:rPr>
                <w:spacing w:val="-16"/>
              </w:rPr>
              <w:t> </w:t>
            </w:r>
            <w:r>
              <w:rPr/>
              <w:t>Tapes..................................................................................249</w:t>
            </w:r>
          </w:hyperlink>
        </w:p>
        <w:p>
          <w:pPr>
            <w:pStyle w:val="TOC1"/>
            <w:numPr>
              <w:ilvl w:val="2"/>
              <w:numId w:val="2"/>
            </w:numPr>
            <w:tabs>
              <w:tab w:pos="732" w:val="left" w:leader="none"/>
              <w:tab w:pos="9542" w:val="right" w:leader="dot"/>
            </w:tabs>
            <w:spacing w:line="229" w:lineRule="exact" w:before="0" w:after="0"/>
            <w:ind w:left="732" w:right="0" w:hanging="552"/>
            <w:jc w:val="left"/>
          </w:pPr>
          <w:hyperlink w:history="true" w:anchor="_bookmark5">
            <w:r>
              <w:rPr/>
              <w:t>Instant</w:t>
            </w:r>
            <w:r>
              <w:rPr>
                <w:spacing w:val="-1"/>
              </w:rPr>
              <w:t> </w:t>
            </w:r>
            <w:r>
              <w:rPr/>
              <w:t>Concentrated</w:t>
            </w:r>
            <w:r>
              <w:rPr>
                <w:spacing w:val="1"/>
              </w:rPr>
              <w:t> </w:t>
            </w:r>
            <w:r>
              <w:rPr/>
              <w:t>Products</w:t>
              <w:tab/>
              <w:t>249</w:t>
            </w:r>
          </w:hyperlink>
        </w:p>
        <w:p>
          <w:pPr>
            <w:pStyle w:val="TOC1"/>
            <w:numPr>
              <w:ilvl w:val="2"/>
              <w:numId w:val="2"/>
            </w:numPr>
            <w:tabs>
              <w:tab w:pos="732" w:val="left" w:leader="none"/>
              <w:tab w:pos="9542" w:val="right" w:leader="dot"/>
            </w:tabs>
            <w:spacing w:line="240" w:lineRule="auto" w:before="200" w:after="0"/>
            <w:ind w:left="732" w:right="0" w:hanging="552"/>
            <w:jc w:val="left"/>
          </w:pPr>
          <w:hyperlink w:history="true" w:anchor="_bookmark4">
            <w:r>
              <w:rPr/>
              <w:t>Fresh Fruits</w:t>
            </w:r>
            <w:r>
              <w:rPr>
                <w:spacing w:val="-3"/>
              </w:rPr>
              <w:t> </w:t>
            </w:r>
            <w:r>
              <w:rPr/>
              <w:t>and</w:t>
            </w:r>
            <w:r>
              <w:rPr>
                <w:spacing w:val="1"/>
              </w:rPr>
              <w:t> </w:t>
            </w:r>
            <w:r>
              <w:rPr/>
              <w:t>Vegetables</w:t>
              <w:tab/>
              <w:t>250</w:t>
            </w:r>
          </w:hyperlink>
        </w:p>
        <w:p>
          <w:pPr>
            <w:pStyle w:val="TOC1"/>
            <w:numPr>
              <w:ilvl w:val="2"/>
              <w:numId w:val="2"/>
            </w:numPr>
            <w:tabs>
              <w:tab w:pos="732" w:val="left" w:leader="none"/>
              <w:tab w:pos="9542" w:val="right" w:leader="dot"/>
            </w:tabs>
            <w:spacing w:line="240" w:lineRule="auto" w:before="200" w:after="0"/>
            <w:ind w:left="732" w:right="0" w:hanging="552"/>
            <w:jc w:val="left"/>
          </w:pPr>
          <w:hyperlink w:history="true" w:anchor="_bookmark6">
            <w:r>
              <w:rPr/>
              <w:t>Cardboard Cartons</w:t>
              <w:tab/>
              <w:t>251</w:t>
            </w:r>
          </w:hyperlink>
        </w:p>
        <w:p>
          <w:pPr>
            <w:pStyle w:val="TOC1"/>
            <w:numPr>
              <w:ilvl w:val="2"/>
              <w:numId w:val="2"/>
            </w:numPr>
            <w:tabs>
              <w:tab w:pos="732" w:val="left" w:leader="none"/>
              <w:tab w:pos="9542" w:val="right" w:leader="dot"/>
            </w:tabs>
            <w:spacing w:line="240" w:lineRule="auto" w:before="202" w:after="0"/>
            <w:ind w:left="732" w:right="0" w:hanging="552"/>
            <w:jc w:val="left"/>
          </w:pPr>
          <w:hyperlink w:history="true" w:anchor="_bookmark8">
            <w:r>
              <w:rPr/>
              <w:t>Catalyst</w:t>
            </w:r>
            <w:r>
              <w:rPr>
                <w:spacing w:val="-1"/>
              </w:rPr>
              <w:t> </w:t>
            </w:r>
            <w:r>
              <w:rPr/>
              <w:t>Beads</w:t>
              <w:tab/>
              <w:t>252</w:t>
            </w:r>
          </w:hyperlink>
        </w:p>
        <w:p>
          <w:pPr>
            <w:pStyle w:val="TOC1"/>
            <w:numPr>
              <w:ilvl w:val="2"/>
              <w:numId w:val="2"/>
            </w:numPr>
            <w:tabs>
              <w:tab w:pos="732" w:val="left" w:leader="none"/>
              <w:tab w:pos="9542" w:val="right" w:leader="dot"/>
            </w:tabs>
            <w:spacing w:line="240" w:lineRule="auto" w:before="199" w:after="0"/>
            <w:ind w:left="732" w:right="0" w:hanging="552"/>
            <w:jc w:val="left"/>
          </w:pPr>
          <w:hyperlink w:history="true" w:anchor="_bookmark9">
            <w:r>
              <w:rPr/>
              <w:t>Incense.</w:t>
              <w:tab/>
              <w:t>252</w:t>
            </w:r>
          </w:hyperlink>
        </w:p>
        <w:p>
          <w:pPr>
            <w:pStyle w:val="TOC1"/>
            <w:numPr>
              <w:ilvl w:val="2"/>
              <w:numId w:val="2"/>
            </w:numPr>
            <w:tabs>
              <w:tab w:pos="732" w:val="left" w:leader="none"/>
              <w:tab w:pos="9542" w:val="right" w:leader="dot"/>
            </w:tabs>
            <w:spacing w:line="240" w:lineRule="auto" w:before="200" w:after="0"/>
            <w:ind w:left="732" w:right="0" w:hanging="552"/>
            <w:jc w:val="left"/>
          </w:pPr>
          <w:hyperlink w:history="true" w:anchor="_bookmark10">
            <w:r>
              <w:rPr/>
              <w:t>Sea</w:t>
            </w:r>
            <w:r>
              <w:rPr>
                <w:spacing w:val="-1"/>
              </w:rPr>
              <w:t> </w:t>
            </w:r>
            <w:r>
              <w:rPr/>
              <w:t>Shells</w:t>
              <w:tab/>
              <w:t>252</w:t>
            </w:r>
          </w:hyperlink>
        </w:p>
        <w:p>
          <w:pPr>
            <w:pStyle w:val="TOC1"/>
            <w:numPr>
              <w:ilvl w:val="2"/>
              <w:numId w:val="2"/>
            </w:numPr>
            <w:tabs>
              <w:tab w:pos="730" w:val="left" w:leader="none"/>
              <w:tab w:pos="9542" w:val="right" w:leader="dot"/>
            </w:tabs>
            <w:spacing w:line="240" w:lineRule="auto" w:before="199" w:after="0"/>
            <w:ind w:left="729" w:right="0" w:hanging="549"/>
            <w:jc w:val="left"/>
          </w:pPr>
          <w:hyperlink w:history="true" w:anchor="_bookmark7">
            <w:r>
              <w:rPr/>
              <w:t>Tire Tread</w:t>
            </w:r>
            <w:r>
              <w:rPr>
                <w:spacing w:val="-2"/>
              </w:rPr>
              <w:t> </w:t>
            </w:r>
            <w:r>
              <w:rPr/>
              <w:t>Rubber</w:t>
            </w:r>
            <w:r>
              <w:rPr>
                <w:spacing w:val="-2"/>
              </w:rPr>
              <w:t> </w:t>
            </w:r>
            <w:r>
              <w:rPr/>
              <w:t>Products</w:t>
              <w:tab/>
              <w:t>253</w:t>
            </w:r>
          </w:hyperlink>
        </w:p>
        <w:p>
          <w:pPr>
            <w:pStyle w:val="TOC1"/>
            <w:numPr>
              <w:ilvl w:val="2"/>
              <w:numId w:val="2"/>
            </w:numPr>
            <w:tabs>
              <w:tab w:pos="732" w:val="left" w:leader="none"/>
              <w:tab w:pos="9542" w:val="right" w:leader="dot"/>
            </w:tabs>
            <w:spacing w:line="240" w:lineRule="auto" w:before="200" w:after="0"/>
            <w:ind w:left="732" w:right="0" w:hanging="552"/>
            <w:jc w:val="left"/>
          </w:pPr>
          <w:hyperlink w:history="true" w:anchor="_bookmark12">
            <w:r>
              <w:rPr/>
              <w:t>Wiper Blades</w:t>
              <w:tab/>
              <w:t>253</w:t>
            </w:r>
          </w:hyperlink>
        </w:p>
        <w:p>
          <w:pPr>
            <w:pStyle w:val="TOC1"/>
            <w:tabs>
              <w:tab w:pos="9542" w:val="right" w:leader="dot"/>
            </w:tabs>
            <w:ind w:left="180" w:firstLine="0"/>
          </w:pPr>
          <w:hyperlink w:history="true" w:anchor="_bookmark13">
            <w:r>
              <w:rPr/>
              <w:t>2</w:t>
            </w:r>
          </w:hyperlink>
          <w:hyperlink w:history="true" w:anchor="_bookmark13">
            <w:r>
              <w:rPr/>
              <w:t>.3.13.  Vegetable Oil.</w:t>
              <w:tab/>
              <w:t>253</w:t>
            </w:r>
          </w:hyperlink>
        </w:p>
        <w:p>
          <w:pPr>
            <w:pStyle w:val="TOC1"/>
            <w:tabs>
              <w:tab w:pos="9542" w:val="right" w:leader="dot"/>
            </w:tabs>
            <w:spacing w:before="199"/>
            <w:ind w:left="180" w:firstLine="0"/>
          </w:pPr>
          <w:hyperlink w:history="true" w:anchor="_bookmark11">
            <w:r>
              <w:rPr/>
              <w:t>2</w:t>
            </w:r>
          </w:hyperlink>
          <w:hyperlink w:history="true" w:anchor="_bookmark11">
            <w:r>
              <w:rPr/>
              <w:t>.3.15.</w:t>
            </w:r>
            <w:r>
              <w:rPr>
                <w:spacing w:val="48"/>
              </w:rPr>
              <w:t> </w:t>
            </w:r>
            <w:r>
              <w:rPr/>
              <w:t>Bulk</w:t>
            </w:r>
            <w:r>
              <w:rPr>
                <w:spacing w:val="-1"/>
              </w:rPr>
              <w:t> </w:t>
            </w:r>
            <w:r>
              <w:rPr/>
              <w:t>Sales</w:t>
              <w:tab/>
              <w:t>254</w:t>
            </w:r>
          </w:hyperlink>
        </w:p>
        <w:p>
          <w:pPr>
            <w:pStyle w:val="TOC1"/>
            <w:ind w:left="180" w:firstLine="0"/>
          </w:pPr>
          <w:hyperlink w:history="true" w:anchor="_bookmark14">
            <w:r>
              <w:rPr/>
              <w:t>2.</w:t>
            </w:r>
          </w:hyperlink>
          <w:hyperlink w:history="true" w:anchor="_bookmark14">
            <w:r>
              <w:rPr/>
              <w:t>5.6. Guidelines for NCWM Resolution of Requests for Recognition of Moisture Loss in Other Packaged Products.</w:t>
            </w:r>
          </w:hyperlink>
        </w:p>
        <w:p>
          <w:pPr>
            <w:pStyle w:val="TOC2"/>
            <w:ind w:left="655"/>
          </w:pPr>
          <w:hyperlink w:history="true" w:anchor="_bookmark14">
            <w:r>
              <w:rPr/>
              <w:t>................................................................................................</w:t>
            </w:r>
          </w:hyperlink>
          <w:hyperlink w:history="true" w:anchor="_bookmark14">
            <w:r>
              <w:rPr/>
              <w:t>.......................................................................... 255</w:t>
            </w:r>
          </w:hyperlink>
        </w:p>
        <w:p>
          <w:pPr>
            <w:pStyle w:val="TOC1"/>
            <w:numPr>
              <w:ilvl w:val="2"/>
              <w:numId w:val="3"/>
            </w:numPr>
            <w:tabs>
              <w:tab w:pos="732" w:val="left" w:leader="none"/>
              <w:tab w:pos="9542" w:val="right" w:leader="dot"/>
            </w:tabs>
            <w:spacing w:line="240" w:lineRule="auto" w:before="202" w:after="0"/>
            <w:ind w:left="732" w:right="0" w:hanging="552"/>
            <w:jc w:val="left"/>
          </w:pPr>
          <w:hyperlink w:history="true" w:anchor="_bookmark15">
            <w:r>
              <w:rPr/>
              <w:t>Retail Gas Sales and Metric Price Computations</w:t>
            </w:r>
            <w:r>
              <w:rPr>
                <w:spacing w:val="-4"/>
              </w:rPr>
              <w:t> </w:t>
            </w:r>
            <w:r>
              <w:rPr/>
              <w:t>in</w:t>
            </w:r>
            <w:r>
              <w:rPr>
                <w:spacing w:val="-2"/>
              </w:rPr>
              <w:t> </w:t>
            </w:r>
            <w:r>
              <w:rPr/>
              <w:t>General</w:t>
              <w:tab/>
              <w:t>258</w:t>
            </w:r>
          </w:hyperlink>
        </w:p>
        <w:p>
          <w:pPr>
            <w:pStyle w:val="TOC1"/>
            <w:numPr>
              <w:ilvl w:val="2"/>
              <w:numId w:val="3"/>
            </w:numPr>
            <w:tabs>
              <w:tab w:pos="732" w:val="left" w:leader="none"/>
              <w:tab w:pos="9542" w:val="right" w:leader="dot"/>
            </w:tabs>
            <w:spacing w:line="240" w:lineRule="auto" w:before="200" w:after="0"/>
            <w:ind w:left="732" w:right="0" w:hanging="552"/>
            <w:jc w:val="left"/>
          </w:pPr>
          <w:hyperlink w:history="true" w:anchor="_bookmark16">
            <w:r>
              <w:rPr/>
              <w:t>Price</w:t>
            </w:r>
            <w:r>
              <w:rPr>
                <w:spacing w:val="-1"/>
              </w:rPr>
              <w:t> </w:t>
            </w:r>
            <w:r>
              <w:rPr/>
              <w:t>Posting</w:t>
              <w:tab/>
              <w:t>258</w:t>
            </w:r>
          </w:hyperlink>
        </w:p>
        <w:p>
          <w:pPr>
            <w:pStyle w:val="TOC1"/>
            <w:numPr>
              <w:ilvl w:val="2"/>
              <w:numId w:val="3"/>
            </w:numPr>
            <w:tabs>
              <w:tab w:pos="732" w:val="left" w:leader="none"/>
              <w:tab w:pos="9542" w:val="right" w:leader="dot"/>
            </w:tabs>
            <w:spacing w:line="240" w:lineRule="auto" w:before="200" w:after="0"/>
            <w:ind w:left="732" w:right="0" w:hanging="552"/>
            <w:jc w:val="left"/>
          </w:pPr>
          <w:hyperlink w:history="true" w:anchor="_bookmark17">
            <w:r>
              <w:rPr/>
              <w:t>Octane</w:t>
            </w:r>
            <w:r>
              <w:rPr>
                <w:spacing w:val="-1"/>
              </w:rPr>
              <w:t> </w:t>
            </w:r>
            <w:r>
              <w:rPr/>
              <w:t>Posting</w:t>
            </w:r>
            <w:r>
              <w:rPr>
                <w:spacing w:val="1"/>
              </w:rPr>
              <w:t> </w:t>
            </w:r>
            <w:r>
              <w:rPr/>
              <w:t>Regulations</w:t>
              <w:tab/>
              <w:t>260</w:t>
            </w:r>
          </w:hyperlink>
        </w:p>
        <w:p>
          <w:pPr>
            <w:pStyle w:val="TOC1"/>
            <w:numPr>
              <w:ilvl w:val="2"/>
              <w:numId w:val="3"/>
            </w:numPr>
            <w:tabs>
              <w:tab w:pos="732" w:val="left" w:leader="none"/>
              <w:tab w:pos="9542" w:val="right" w:leader="dot"/>
            </w:tabs>
            <w:spacing w:line="240" w:lineRule="auto" w:before="199" w:after="0"/>
            <w:ind w:left="732" w:right="0" w:hanging="552"/>
            <w:jc w:val="left"/>
          </w:pPr>
          <w:hyperlink w:history="true" w:anchor="_bookmark18">
            <w:r>
              <w:rPr/>
              <w:t>Multi-Tier Pricing:  Motor Fuel Deliveries (Computing Pumps</w:t>
            </w:r>
            <w:r>
              <w:rPr>
                <w:spacing w:val="-7"/>
              </w:rPr>
              <w:t> </w:t>
            </w:r>
            <w:r>
              <w:rPr/>
              <w:t>or</w:t>
            </w:r>
            <w:r>
              <w:rPr>
                <w:spacing w:val="1"/>
              </w:rPr>
              <w:t> </w:t>
            </w:r>
            <w:r>
              <w:rPr/>
              <w:t>Dispensers)</w:t>
              <w:tab/>
              <w:t>261</w:t>
            </w:r>
          </w:hyperlink>
        </w:p>
        <w:p>
          <w:pPr>
            <w:pStyle w:val="TOC1"/>
            <w:numPr>
              <w:ilvl w:val="2"/>
              <w:numId w:val="3"/>
            </w:numPr>
            <w:tabs>
              <w:tab w:pos="732" w:val="left" w:leader="none"/>
              <w:tab w:pos="9542" w:val="right" w:leader="dot"/>
            </w:tabs>
            <w:spacing w:line="240" w:lineRule="auto" w:before="200" w:after="0"/>
            <w:ind w:left="732" w:right="0" w:hanging="552"/>
            <w:jc w:val="left"/>
          </w:pPr>
          <w:hyperlink w:history="true" w:anchor="_bookmark19">
            <w:r>
              <w:rPr/>
              <w:t>Cereal Grains and</w:t>
            </w:r>
            <w:r>
              <w:rPr>
                <w:spacing w:val="-1"/>
              </w:rPr>
              <w:t> </w:t>
            </w:r>
            <w:r>
              <w:rPr/>
              <w:t>Oil</w:t>
            </w:r>
            <w:r>
              <w:rPr>
                <w:spacing w:val="2"/>
              </w:rPr>
              <w:t> </w:t>
            </w:r>
            <w:r>
              <w:rPr/>
              <w:t>Seeds</w:t>
              <w:tab/>
              <w:t>261</w:t>
            </w:r>
          </w:hyperlink>
        </w:p>
        <w:p>
          <w:pPr>
            <w:pStyle w:val="TOC1"/>
            <w:numPr>
              <w:ilvl w:val="2"/>
              <w:numId w:val="3"/>
            </w:numPr>
            <w:tabs>
              <w:tab w:pos="732" w:val="left" w:leader="none"/>
              <w:tab w:pos="9542" w:val="right" w:leader="dot"/>
            </w:tabs>
            <w:spacing w:line="240" w:lineRule="auto" w:before="199" w:after="0"/>
            <w:ind w:left="732" w:right="0" w:hanging="552"/>
            <w:jc w:val="left"/>
          </w:pPr>
          <w:hyperlink w:history="true" w:anchor="_bookmark20">
            <w:r>
              <w:rPr/>
              <w:t>Basic Engine Fuels, Petroleum Products, and</w:t>
            </w:r>
            <w:r>
              <w:rPr>
                <w:spacing w:val="-4"/>
              </w:rPr>
              <w:t> </w:t>
            </w:r>
            <w:r>
              <w:rPr/>
              <w:t>Lubricants</w:t>
            </w:r>
            <w:r>
              <w:rPr>
                <w:spacing w:val="2"/>
              </w:rPr>
              <w:t> </w:t>
            </w:r>
            <w:r>
              <w:rPr/>
              <w:t>Laboratory</w:t>
              <w:tab/>
              <w:t>262</w:t>
            </w:r>
          </w:hyperlink>
        </w:p>
        <w:p>
          <w:pPr>
            <w:pStyle w:val="TOC1"/>
            <w:numPr>
              <w:ilvl w:val="2"/>
              <w:numId w:val="3"/>
            </w:numPr>
            <w:tabs>
              <w:tab w:pos="732" w:val="left" w:leader="none"/>
              <w:tab w:pos="9542" w:val="right" w:leader="dot"/>
            </w:tabs>
            <w:spacing w:line="240" w:lineRule="auto" w:before="202" w:after="0"/>
            <w:ind w:left="732" w:right="0" w:hanging="552"/>
            <w:jc w:val="left"/>
          </w:pPr>
          <w:hyperlink w:history="true" w:anchor="_bookmark21">
            <w:r>
              <w:rPr/>
              <w:t>Product</w:t>
            </w:r>
            <w:r>
              <w:rPr>
                <w:spacing w:val="-1"/>
              </w:rPr>
              <w:t> </w:t>
            </w:r>
            <w:r>
              <w:rPr/>
              <w:t>Conformance</w:t>
            </w:r>
            <w:r>
              <w:rPr>
                <w:spacing w:val="3"/>
              </w:rPr>
              <w:t> </w:t>
            </w:r>
            <w:r>
              <w:rPr/>
              <w:t>Statements</w:t>
              <w:tab/>
              <w:t>262</w:t>
            </w:r>
          </w:hyperlink>
        </w:p>
      </w:sdtContent>
    </w:sdt>
    <w:p>
      <w:pPr>
        <w:spacing w:after="0" w:line="240" w:lineRule="auto"/>
        <w:jc w:val="left"/>
        <w:sectPr>
          <w:headerReference w:type="default" r:id="rId5"/>
          <w:headerReference w:type="even" r:id="rId6"/>
          <w:footerReference w:type="default" r:id="rId7"/>
          <w:footerReference w:type="even" r:id="rId8"/>
          <w:type w:val="continuous"/>
          <w:pgSz w:w="12240" w:h="15840"/>
          <w:pgMar w:header="730" w:footer="741" w:top="1340" w:bottom="940" w:left="1260" w:right="1020"/>
          <w:pgNumType w:start="245"/>
        </w:sectPr>
      </w:pPr>
    </w:p>
    <w:p>
      <w:pPr>
        <w:pStyle w:val="ListParagraph"/>
        <w:numPr>
          <w:ilvl w:val="2"/>
          <w:numId w:val="3"/>
        </w:numPr>
        <w:tabs>
          <w:tab w:pos="732" w:val="left" w:leader="none"/>
          <w:tab w:pos="9239" w:val="left" w:leader="dot"/>
        </w:tabs>
        <w:spacing w:line="448" w:lineRule="auto" w:before="88" w:after="0"/>
        <w:ind w:left="180" w:right="413" w:firstLine="0"/>
        <w:jc w:val="left"/>
        <w:rPr>
          <w:sz w:val="20"/>
        </w:rPr>
      </w:pPr>
      <w:hyperlink w:history="true" w:anchor="_bookmark22">
        <w:r>
          <w:rPr>
            <w:sz w:val="20"/>
          </w:rPr>
          <w:t>Commodities Under FTC Jurisdiction under the Fair Packaging and Labeling Act (FPLA) and Exclusions.263</w:t>
        </w:r>
      </w:hyperlink>
      <w:hyperlink w:history="true" w:anchor="_bookmark23">
        <w:r>
          <w:rPr>
            <w:sz w:val="20"/>
          </w:rPr>
          <w:t> 2</w:t>
        </w:r>
      </w:hyperlink>
      <w:hyperlink w:history="true" w:anchor="_bookmark23">
        <w:r>
          <w:rPr>
            <w:sz w:val="20"/>
          </w:rPr>
          <w:t>.6.9.  Size Descriptors for Raw, Shell-On</w:t>
        </w:r>
        <w:r>
          <w:rPr>
            <w:spacing w:val="-17"/>
            <w:sz w:val="20"/>
          </w:rPr>
          <w:t> </w:t>
        </w:r>
        <w:r>
          <w:rPr>
            <w:sz w:val="20"/>
          </w:rPr>
          <w:t>Shrimp</w:t>
        </w:r>
        <w:r>
          <w:rPr>
            <w:spacing w:val="-1"/>
            <w:sz w:val="20"/>
          </w:rPr>
          <w:t> </w:t>
        </w:r>
        <w:r>
          <w:rPr>
            <w:sz w:val="20"/>
          </w:rPr>
          <w:t>Products</w:t>
          <w:tab/>
        </w:r>
        <w:r>
          <w:rPr>
            <w:spacing w:val="-4"/>
            <w:sz w:val="20"/>
          </w:rPr>
          <w:t>270</w:t>
        </w:r>
      </w:hyperlink>
    </w:p>
    <w:p>
      <w:pPr>
        <w:pStyle w:val="ListParagraph"/>
        <w:numPr>
          <w:ilvl w:val="2"/>
          <w:numId w:val="4"/>
        </w:numPr>
        <w:tabs>
          <w:tab w:pos="833" w:val="left" w:leader="none"/>
          <w:tab w:pos="9239" w:val="left" w:leader="dot"/>
        </w:tabs>
        <w:spacing w:line="229" w:lineRule="exact" w:before="0" w:after="0"/>
        <w:ind w:left="832" w:right="0" w:hanging="652"/>
        <w:jc w:val="left"/>
        <w:rPr>
          <w:sz w:val="20"/>
        </w:rPr>
      </w:pPr>
      <w:hyperlink w:history="true" w:anchor="_bookmark24">
        <w:r>
          <w:rPr>
            <w:sz w:val="20"/>
          </w:rPr>
          <w:t>Model Guidelines for the Administrative</w:t>
        </w:r>
        <w:r>
          <w:rPr>
            <w:spacing w:val="-14"/>
            <w:sz w:val="20"/>
          </w:rPr>
          <w:t> </w:t>
        </w:r>
        <w:r>
          <w:rPr>
            <w:sz w:val="20"/>
          </w:rPr>
          <w:t>Review</w:t>
        </w:r>
        <w:r>
          <w:rPr>
            <w:spacing w:val="-5"/>
            <w:sz w:val="20"/>
          </w:rPr>
          <w:t> </w:t>
        </w:r>
        <w:r>
          <w:rPr>
            <w:sz w:val="20"/>
          </w:rPr>
          <w:t>Process</w:t>
          <w:tab/>
          <w:t>270</w:t>
        </w:r>
      </w:hyperlink>
    </w:p>
    <w:p>
      <w:pPr>
        <w:pStyle w:val="ListParagraph"/>
        <w:numPr>
          <w:ilvl w:val="2"/>
          <w:numId w:val="4"/>
        </w:numPr>
        <w:tabs>
          <w:tab w:pos="833" w:val="left" w:leader="none"/>
          <w:tab w:pos="9239" w:val="left" w:leader="dot"/>
        </w:tabs>
        <w:spacing w:line="240" w:lineRule="auto" w:before="200" w:after="0"/>
        <w:ind w:left="832" w:right="0" w:hanging="652"/>
        <w:jc w:val="left"/>
        <w:rPr>
          <w:sz w:val="20"/>
        </w:rPr>
      </w:pPr>
      <w:hyperlink w:history="true" w:anchor="_bookmark26">
        <w:r>
          <w:rPr>
            <w:sz w:val="20"/>
          </w:rPr>
          <w:t>Good Quantity</w:t>
        </w:r>
        <w:r>
          <w:rPr>
            <w:spacing w:val="-6"/>
            <w:sz w:val="20"/>
          </w:rPr>
          <w:t> </w:t>
        </w:r>
        <w:r>
          <w:rPr>
            <w:sz w:val="20"/>
          </w:rPr>
          <w:t>Control</w:t>
        </w:r>
        <w:r>
          <w:rPr>
            <w:spacing w:val="-3"/>
            <w:sz w:val="20"/>
          </w:rPr>
          <w:t> </w:t>
        </w:r>
        <w:r>
          <w:rPr>
            <w:sz w:val="20"/>
          </w:rPr>
          <w:t>Practices</w:t>
          <w:tab/>
          <w:t>273</w:t>
        </w:r>
      </w:hyperlink>
    </w:p>
    <w:p>
      <w:pPr>
        <w:pStyle w:val="ListParagraph"/>
        <w:numPr>
          <w:ilvl w:val="2"/>
          <w:numId w:val="4"/>
        </w:numPr>
        <w:tabs>
          <w:tab w:pos="831" w:val="left" w:leader="none"/>
          <w:tab w:pos="9239" w:val="left" w:leader="dot"/>
        </w:tabs>
        <w:spacing w:line="240" w:lineRule="auto" w:before="202" w:after="0"/>
        <w:ind w:left="830" w:right="0" w:hanging="650"/>
        <w:jc w:val="left"/>
        <w:rPr>
          <w:sz w:val="20"/>
        </w:rPr>
      </w:pPr>
      <w:hyperlink w:history="true" w:anchor="_bookmark25">
        <w:r>
          <w:rPr>
            <w:sz w:val="20"/>
          </w:rPr>
          <w:t>Point-of-Pack</w:t>
        </w:r>
        <w:r>
          <w:rPr>
            <w:spacing w:val="-5"/>
            <w:sz w:val="20"/>
          </w:rPr>
          <w:t> </w:t>
        </w:r>
        <w:r>
          <w:rPr>
            <w:sz w:val="20"/>
          </w:rPr>
          <w:t>Inspection</w:t>
        </w:r>
        <w:r>
          <w:rPr>
            <w:spacing w:val="-5"/>
            <w:sz w:val="20"/>
          </w:rPr>
          <w:t> </w:t>
        </w:r>
        <w:r>
          <w:rPr>
            <w:sz w:val="20"/>
          </w:rPr>
          <w:t>Guidelines</w:t>
          <w:tab/>
          <w:t>274</w:t>
        </w:r>
      </w:hyperlink>
    </w:p>
    <w:p>
      <w:pPr>
        <w:pStyle w:val="ListParagraph"/>
        <w:numPr>
          <w:ilvl w:val="2"/>
          <w:numId w:val="4"/>
        </w:numPr>
        <w:tabs>
          <w:tab w:pos="833" w:val="left" w:leader="none"/>
          <w:tab w:pos="9239" w:val="left" w:leader="dot"/>
        </w:tabs>
        <w:spacing w:line="240" w:lineRule="auto" w:before="199" w:after="0"/>
        <w:ind w:left="832" w:right="0" w:hanging="652"/>
        <w:jc w:val="left"/>
        <w:rPr>
          <w:sz w:val="20"/>
        </w:rPr>
      </w:pPr>
      <w:hyperlink w:history="true" w:anchor="_bookmark27">
        <w:r>
          <w:rPr>
            <w:sz w:val="20"/>
          </w:rPr>
          <w:t>Guideline for Verifying the Labeled Basis Weight of Communication and</w:t>
        </w:r>
        <w:r>
          <w:rPr>
            <w:spacing w:val="-26"/>
            <w:sz w:val="20"/>
          </w:rPr>
          <w:t> </w:t>
        </w:r>
        <w:r>
          <w:rPr>
            <w:sz w:val="20"/>
          </w:rPr>
          <w:t>Other</w:t>
        </w:r>
        <w:r>
          <w:rPr>
            <w:spacing w:val="-2"/>
            <w:sz w:val="20"/>
          </w:rPr>
          <w:t> </w:t>
        </w:r>
        <w:r>
          <w:rPr>
            <w:sz w:val="20"/>
          </w:rPr>
          <w:t>Paper</w:t>
          <w:tab/>
          <w:t>276</w:t>
        </w:r>
      </w:hyperlink>
    </w:p>
    <w:p>
      <w:pPr>
        <w:pStyle w:val="ListParagraph"/>
        <w:numPr>
          <w:ilvl w:val="2"/>
          <w:numId w:val="4"/>
        </w:numPr>
        <w:tabs>
          <w:tab w:pos="833" w:val="left" w:leader="none"/>
          <w:tab w:pos="9240" w:val="left" w:leader="dot"/>
        </w:tabs>
        <w:spacing w:line="240" w:lineRule="auto" w:before="200" w:after="0"/>
        <w:ind w:left="832" w:right="0" w:hanging="652"/>
        <w:jc w:val="left"/>
        <w:rPr>
          <w:sz w:val="20"/>
        </w:rPr>
      </w:pPr>
      <w:hyperlink w:history="true" w:anchor="_bookmark28">
        <w:r>
          <w:rPr>
            <w:sz w:val="20"/>
          </w:rPr>
          <w:t>Labeling Guidelines</w:t>
        </w:r>
        <w:r>
          <w:rPr>
            <w:spacing w:val="-6"/>
            <w:sz w:val="20"/>
          </w:rPr>
          <w:t> </w:t>
        </w:r>
        <w:r>
          <w:rPr>
            <w:sz w:val="20"/>
          </w:rPr>
          <w:t>for</w:t>
        </w:r>
        <w:r>
          <w:rPr>
            <w:spacing w:val="-2"/>
            <w:sz w:val="20"/>
          </w:rPr>
          <w:t> </w:t>
        </w:r>
        <w:r>
          <w:rPr>
            <w:sz w:val="20"/>
          </w:rPr>
          <w:t>Chamois</w:t>
          <w:tab/>
          <w:t>281</w:t>
        </w:r>
      </w:hyperlink>
    </w:p>
    <w:p>
      <w:pPr>
        <w:pStyle w:val="ListParagraph"/>
        <w:numPr>
          <w:ilvl w:val="2"/>
          <w:numId w:val="4"/>
        </w:numPr>
        <w:tabs>
          <w:tab w:pos="833" w:val="left" w:leader="none"/>
          <w:tab w:pos="9239" w:val="left" w:leader="dot"/>
        </w:tabs>
        <w:spacing w:line="240" w:lineRule="auto" w:before="200" w:after="0"/>
        <w:ind w:left="832" w:right="0" w:hanging="652"/>
        <w:jc w:val="left"/>
        <w:rPr>
          <w:sz w:val="20"/>
        </w:rPr>
      </w:pPr>
      <w:hyperlink w:history="true" w:anchor="_bookmark29">
        <w:r>
          <w:rPr>
            <w:sz w:val="20"/>
          </w:rPr>
          <w:t>Labeling Guidelines for Natural and</w:t>
        </w:r>
        <w:r>
          <w:rPr>
            <w:spacing w:val="-16"/>
            <w:sz w:val="20"/>
          </w:rPr>
          <w:t> </w:t>
        </w:r>
        <w:r>
          <w:rPr>
            <w:sz w:val="20"/>
          </w:rPr>
          <w:t>Synthetic</w:t>
        </w:r>
        <w:r>
          <w:rPr>
            <w:spacing w:val="-4"/>
            <w:sz w:val="20"/>
          </w:rPr>
          <w:t> </w:t>
        </w:r>
        <w:r>
          <w:rPr>
            <w:sz w:val="20"/>
          </w:rPr>
          <w:t>Sponges</w:t>
          <w:tab/>
          <w:t>283</w:t>
        </w:r>
      </w:hyperlink>
    </w:p>
    <w:p>
      <w:pPr>
        <w:pStyle w:val="ListParagraph"/>
        <w:numPr>
          <w:ilvl w:val="2"/>
          <w:numId w:val="4"/>
        </w:numPr>
        <w:tabs>
          <w:tab w:pos="833" w:val="left" w:leader="none"/>
          <w:tab w:pos="9239" w:val="left" w:leader="dot"/>
        </w:tabs>
        <w:spacing w:line="240" w:lineRule="auto" w:before="199" w:after="0"/>
        <w:ind w:left="832" w:right="0" w:hanging="652"/>
        <w:jc w:val="left"/>
        <w:rPr>
          <w:sz w:val="20"/>
        </w:rPr>
      </w:pPr>
      <w:hyperlink w:history="true" w:anchor="_bookmark30">
        <w:r>
          <w:rPr>
            <w:sz w:val="20"/>
          </w:rPr>
          <w:t>Minimum Fuel Flush for</w:t>
        </w:r>
        <w:r>
          <w:rPr>
            <w:spacing w:val="-12"/>
            <w:sz w:val="20"/>
          </w:rPr>
          <w:t> </w:t>
        </w:r>
        <w:r>
          <w:rPr>
            <w:sz w:val="20"/>
          </w:rPr>
          <w:t>Octane</w:t>
        </w:r>
        <w:r>
          <w:rPr>
            <w:spacing w:val="-3"/>
            <w:sz w:val="20"/>
          </w:rPr>
          <w:t> </w:t>
        </w:r>
        <w:r>
          <w:rPr>
            <w:sz w:val="20"/>
          </w:rPr>
          <w:t>Verification</w:t>
          <w:tab/>
          <w:t>288</w:t>
        </w:r>
      </w:hyperlink>
    </w:p>
    <w:p>
      <w:pPr>
        <w:spacing w:after="0" w:line="240" w:lineRule="auto"/>
        <w:jc w:val="left"/>
        <w:rPr>
          <w:sz w:val="20"/>
        </w:rPr>
        <w:sectPr>
          <w:pgSz w:w="12240" w:h="15840"/>
          <w:pgMar w:header="730" w:footer="740" w:top="1340" w:bottom="940" w:left="1260" w:right="1020"/>
        </w:sectPr>
      </w:pPr>
    </w:p>
    <w:p>
      <w:pPr>
        <w:spacing w:before="287"/>
        <w:ind w:left="1795" w:right="0" w:firstLine="0"/>
        <w:jc w:val="left"/>
        <w:rPr>
          <w:b/>
          <w:sz w:val="28"/>
        </w:rPr>
      </w:pPr>
      <w:r>
        <w:rPr>
          <w:b/>
          <w:sz w:val="28"/>
        </w:rPr>
        <w:t>VI. NCWM Policy, Interpretations, and Guidelines</w:t>
      </w:r>
    </w:p>
    <w:p>
      <w:pPr>
        <w:pStyle w:val="BodyText"/>
        <w:rPr>
          <w:b/>
          <w:sz w:val="26"/>
        </w:rPr>
      </w:pPr>
    </w:p>
    <w:p>
      <w:pPr>
        <w:spacing w:before="180"/>
        <w:ind w:left="180" w:right="0" w:firstLine="0"/>
        <w:jc w:val="left"/>
        <w:rPr>
          <w:b/>
          <w:sz w:val="24"/>
        </w:rPr>
      </w:pPr>
      <w:r>
        <w:rPr>
          <w:b/>
          <w:sz w:val="24"/>
        </w:rPr>
        <w:t>Introduction</w:t>
      </w:r>
    </w:p>
    <w:p>
      <w:pPr>
        <w:pStyle w:val="BodyText"/>
        <w:spacing w:before="4"/>
        <w:rPr>
          <w:b/>
          <w:sz w:val="31"/>
        </w:rPr>
      </w:pPr>
    </w:p>
    <w:p>
      <w:pPr>
        <w:pStyle w:val="BodyText"/>
        <w:ind w:left="179" w:right="416"/>
        <w:jc w:val="both"/>
      </w:pPr>
      <w:r>
        <w:rPr/>
        <w:t>This section of the handbook includes NCWM interpretations, policies, recommendations, inspection outlines, and information</w:t>
      </w:r>
      <w:r>
        <w:rPr>
          <w:spacing w:val="-7"/>
        </w:rPr>
        <w:t> </w:t>
      </w:r>
      <w:r>
        <w:rPr/>
        <w:t>on</w:t>
      </w:r>
      <w:r>
        <w:rPr>
          <w:spacing w:val="-9"/>
        </w:rPr>
        <w:t> </w:t>
      </w:r>
      <w:r>
        <w:rPr/>
        <w:t>issues</w:t>
      </w:r>
      <w:r>
        <w:rPr>
          <w:spacing w:val="-6"/>
        </w:rPr>
        <w:t> </w:t>
      </w:r>
      <w:r>
        <w:rPr/>
        <w:t>that</w:t>
      </w:r>
      <w:r>
        <w:rPr>
          <w:spacing w:val="-6"/>
        </w:rPr>
        <w:t> </w:t>
      </w:r>
      <w:r>
        <w:rPr/>
        <w:t>have</w:t>
      </w:r>
      <w:r>
        <w:rPr>
          <w:spacing w:val="-7"/>
        </w:rPr>
        <w:t> </w:t>
      </w:r>
      <w:r>
        <w:rPr/>
        <w:t>come</w:t>
      </w:r>
      <w:r>
        <w:rPr>
          <w:spacing w:val="-7"/>
        </w:rPr>
        <w:t> </w:t>
      </w:r>
      <w:r>
        <w:rPr/>
        <w:t>before</w:t>
      </w:r>
      <w:r>
        <w:rPr>
          <w:spacing w:val="-7"/>
        </w:rPr>
        <w:t> </w:t>
      </w:r>
      <w:r>
        <w:rPr/>
        <w:t>the</w:t>
      </w:r>
      <w:r>
        <w:rPr>
          <w:spacing w:val="-7"/>
        </w:rPr>
        <w:t> </w:t>
      </w:r>
      <w:r>
        <w:rPr/>
        <w:t>Conference.</w:t>
      </w:r>
      <w:r>
        <w:rPr>
          <w:spacing w:val="38"/>
        </w:rPr>
        <w:t> </w:t>
      </w:r>
      <w:r>
        <w:rPr/>
        <w:t>Several</w:t>
      </w:r>
      <w:r>
        <w:rPr>
          <w:spacing w:val="-6"/>
        </w:rPr>
        <w:t> </w:t>
      </w:r>
      <w:r>
        <w:rPr/>
        <w:t>sections</w:t>
      </w:r>
      <w:r>
        <w:rPr>
          <w:spacing w:val="-9"/>
        </w:rPr>
        <w:t> </w:t>
      </w:r>
      <w:r>
        <w:rPr/>
        <w:t>include</w:t>
      </w:r>
      <w:r>
        <w:rPr>
          <w:spacing w:val="-7"/>
        </w:rPr>
        <w:t> </w:t>
      </w:r>
      <w:r>
        <w:rPr/>
        <w:t>information</w:t>
      </w:r>
      <w:r>
        <w:rPr>
          <w:spacing w:val="-7"/>
        </w:rPr>
        <w:t> </w:t>
      </w:r>
      <w:r>
        <w:rPr/>
        <w:t>on</w:t>
      </w:r>
      <w:r>
        <w:rPr>
          <w:spacing w:val="-7"/>
        </w:rPr>
        <w:t> </w:t>
      </w:r>
      <w:r>
        <w:rPr/>
        <w:t>federal</w:t>
      </w:r>
      <w:r>
        <w:rPr>
          <w:spacing w:val="-8"/>
        </w:rPr>
        <w:t> </w:t>
      </w:r>
      <w:r>
        <w:rPr/>
        <w:t>require- ments related to the uniform laws and regulations presented in the handbook. The purpose of this section is to assist users in understanding and applying the uniform regulations and to guide administrators in implementing new pro- grams or procedures. The guidelines or recommendations provided should not be construed to redefine any state or local law or limit any jurisdiction from enforcing any law, regulation, or procedure (unless the section describes a specific federal regulation that preempts local requirements).</w:t>
      </w:r>
    </w:p>
    <w:p>
      <w:pPr>
        <w:pStyle w:val="BodyText"/>
        <w:spacing w:before="62"/>
        <w:ind w:left="179"/>
      </w:pPr>
      <w:r>
        <w:rPr/>
        <w:t>(Added 1997)</w:t>
      </w:r>
    </w:p>
    <w:p>
      <w:pPr>
        <w:pStyle w:val="BodyText"/>
        <w:spacing w:before="3"/>
        <w:rPr>
          <w:sz w:val="31"/>
        </w:rPr>
      </w:pPr>
    </w:p>
    <w:p>
      <w:pPr>
        <w:pStyle w:val="Heading1"/>
        <w:numPr>
          <w:ilvl w:val="2"/>
          <w:numId w:val="5"/>
        </w:numPr>
        <w:tabs>
          <w:tab w:pos="732" w:val="left" w:leader="none"/>
        </w:tabs>
        <w:spacing w:line="240" w:lineRule="auto" w:before="0" w:after="0"/>
        <w:ind w:left="732" w:right="0" w:hanging="552"/>
        <w:jc w:val="left"/>
      </w:pPr>
      <w:bookmarkStart w:name="_bookmark0" w:id="1"/>
      <w:bookmarkEnd w:id="1"/>
      <w:r>
        <w:rPr>
          <w:b w:val="0"/>
        </w:rPr>
      </w:r>
      <w:bookmarkStart w:name="_bookmark0" w:id="2"/>
      <w:bookmarkEnd w:id="2"/>
      <w:r>
        <w:rPr/>
        <w:t>O</w:t>
      </w:r>
      <w:r>
        <w:rPr/>
        <w:t>ffenses and Penalties, Sale of an Incorrect Device.</w:t>
      </w:r>
    </w:p>
    <w:p>
      <w:pPr>
        <w:pStyle w:val="BodyText"/>
        <w:spacing w:before="1"/>
        <w:ind w:left="179"/>
      </w:pPr>
      <w:r>
        <w:rPr/>
        <w:t>(L&amp;R, 1987, p. 124)</w:t>
      </w:r>
    </w:p>
    <w:p>
      <w:pPr>
        <w:pStyle w:val="BodyText"/>
        <w:spacing w:before="8"/>
      </w:pPr>
    </w:p>
    <w:p>
      <w:pPr>
        <w:pStyle w:val="BodyText"/>
        <w:ind w:left="180" w:right="417"/>
        <w:jc w:val="both"/>
      </w:pPr>
      <w:r>
        <w:rPr/>
        <w:t>A jurisdiction seeking to enforce the provision of the Uniform Weights and Measures Law that prohibits the sale of an incorrect device would have to show that the seller knowingly sold or offered for sale for use in commerce an incorrect weight or measure. Under Section 22, a seller would not be responsible for actions taken by the purchaser or distributor, in which the seller did not participate or have prior knowledge. Thus, the seller would not be liable:</w:t>
      </w:r>
    </w:p>
    <w:p>
      <w:pPr>
        <w:pStyle w:val="BodyText"/>
        <w:rPr>
          <w:sz w:val="21"/>
        </w:rPr>
      </w:pPr>
    </w:p>
    <w:p>
      <w:pPr>
        <w:pStyle w:val="ListParagraph"/>
        <w:numPr>
          <w:ilvl w:val="3"/>
          <w:numId w:val="5"/>
        </w:numPr>
        <w:tabs>
          <w:tab w:pos="901" w:val="left" w:leader="none"/>
        </w:tabs>
        <w:spacing w:line="240" w:lineRule="auto" w:before="0" w:after="0"/>
        <w:ind w:left="900" w:right="0" w:hanging="360"/>
        <w:jc w:val="left"/>
        <w:rPr>
          <w:sz w:val="20"/>
        </w:rPr>
      </w:pPr>
      <w:r>
        <w:rPr>
          <w:sz w:val="20"/>
        </w:rPr>
        <w:t>if a purchaser or distributor modified a scale obtained from a seller;</w:t>
      </w:r>
      <w:r>
        <w:rPr>
          <w:spacing w:val="-4"/>
          <w:sz w:val="20"/>
        </w:rPr>
        <w:t> </w:t>
      </w:r>
      <w:r>
        <w:rPr>
          <w:sz w:val="20"/>
        </w:rPr>
        <w:t>or</w:t>
      </w:r>
    </w:p>
    <w:p>
      <w:pPr>
        <w:pStyle w:val="BodyText"/>
        <w:spacing w:before="10"/>
      </w:pPr>
    </w:p>
    <w:p>
      <w:pPr>
        <w:pStyle w:val="ListParagraph"/>
        <w:numPr>
          <w:ilvl w:val="3"/>
          <w:numId w:val="5"/>
        </w:numPr>
        <w:tabs>
          <w:tab w:pos="901" w:val="left" w:leader="none"/>
        </w:tabs>
        <w:spacing w:line="240" w:lineRule="auto" w:before="1" w:after="0"/>
        <w:ind w:left="900" w:right="419" w:hanging="360"/>
        <w:jc w:val="left"/>
        <w:rPr>
          <w:sz w:val="20"/>
        </w:rPr>
      </w:pPr>
      <w:r>
        <w:rPr>
          <w:sz w:val="20"/>
        </w:rPr>
        <w:t>if</w:t>
      </w:r>
      <w:r>
        <w:rPr>
          <w:spacing w:val="-7"/>
          <w:sz w:val="20"/>
        </w:rPr>
        <w:t> </w:t>
      </w:r>
      <w:r>
        <w:rPr>
          <w:sz w:val="20"/>
        </w:rPr>
        <w:t>a</w:t>
      </w:r>
      <w:r>
        <w:rPr>
          <w:spacing w:val="-2"/>
          <w:sz w:val="20"/>
        </w:rPr>
        <w:t> </w:t>
      </w:r>
      <w:r>
        <w:rPr>
          <w:sz w:val="20"/>
        </w:rPr>
        <w:t>scale</w:t>
      </w:r>
      <w:r>
        <w:rPr>
          <w:spacing w:val="-3"/>
          <w:sz w:val="20"/>
        </w:rPr>
        <w:t> </w:t>
      </w:r>
      <w:r>
        <w:rPr>
          <w:sz w:val="20"/>
        </w:rPr>
        <w:t>were</w:t>
      </w:r>
      <w:r>
        <w:rPr>
          <w:spacing w:val="-3"/>
          <w:sz w:val="20"/>
        </w:rPr>
        <w:t> </w:t>
      </w:r>
      <w:r>
        <w:rPr>
          <w:sz w:val="20"/>
        </w:rPr>
        <w:t>used</w:t>
      </w:r>
      <w:r>
        <w:rPr>
          <w:spacing w:val="-3"/>
          <w:sz w:val="20"/>
        </w:rPr>
        <w:t> </w:t>
      </w:r>
      <w:r>
        <w:rPr>
          <w:sz w:val="20"/>
        </w:rPr>
        <w:t>in</w:t>
      </w:r>
      <w:r>
        <w:rPr>
          <w:spacing w:val="-7"/>
          <w:sz w:val="20"/>
        </w:rPr>
        <w:t> </w:t>
      </w:r>
      <w:r>
        <w:rPr>
          <w:sz w:val="20"/>
        </w:rPr>
        <w:t>trade</w:t>
      </w:r>
      <w:r>
        <w:rPr>
          <w:spacing w:val="-4"/>
          <w:sz w:val="20"/>
        </w:rPr>
        <w:t> </w:t>
      </w:r>
      <w:r>
        <w:rPr>
          <w:sz w:val="20"/>
        </w:rPr>
        <w:t>after</w:t>
      </w:r>
      <w:r>
        <w:rPr>
          <w:spacing w:val="-5"/>
          <w:sz w:val="20"/>
        </w:rPr>
        <w:t> </w:t>
      </w:r>
      <w:r>
        <w:rPr>
          <w:sz w:val="20"/>
        </w:rPr>
        <w:t>the</w:t>
      </w:r>
      <w:r>
        <w:rPr>
          <w:spacing w:val="-4"/>
          <w:sz w:val="20"/>
        </w:rPr>
        <w:t> </w:t>
      </w:r>
      <w:r>
        <w:rPr>
          <w:sz w:val="20"/>
        </w:rPr>
        <w:t>seller</w:t>
      </w:r>
      <w:r>
        <w:rPr>
          <w:spacing w:val="-5"/>
          <w:sz w:val="20"/>
        </w:rPr>
        <w:t> </w:t>
      </w:r>
      <w:r>
        <w:rPr>
          <w:sz w:val="20"/>
        </w:rPr>
        <w:t>informed</w:t>
      </w:r>
      <w:r>
        <w:rPr>
          <w:spacing w:val="-3"/>
          <w:sz w:val="20"/>
        </w:rPr>
        <w:t> </w:t>
      </w:r>
      <w:r>
        <w:rPr>
          <w:sz w:val="20"/>
        </w:rPr>
        <w:t>the</w:t>
      </w:r>
      <w:r>
        <w:rPr>
          <w:spacing w:val="-5"/>
          <w:sz w:val="20"/>
        </w:rPr>
        <w:t> </w:t>
      </w:r>
      <w:r>
        <w:rPr>
          <w:sz w:val="20"/>
        </w:rPr>
        <w:t>purchaser</w:t>
      </w:r>
      <w:r>
        <w:rPr>
          <w:spacing w:val="-4"/>
          <w:sz w:val="20"/>
        </w:rPr>
        <w:t> </w:t>
      </w:r>
      <w:r>
        <w:rPr>
          <w:sz w:val="20"/>
        </w:rPr>
        <w:t>that</w:t>
      </w:r>
      <w:r>
        <w:rPr>
          <w:spacing w:val="-6"/>
          <w:sz w:val="20"/>
        </w:rPr>
        <w:t> </w:t>
      </w:r>
      <w:r>
        <w:rPr>
          <w:sz w:val="20"/>
        </w:rPr>
        <w:t>the</w:t>
      </w:r>
      <w:r>
        <w:rPr>
          <w:spacing w:val="-4"/>
          <w:sz w:val="20"/>
        </w:rPr>
        <w:t> </w:t>
      </w:r>
      <w:r>
        <w:rPr>
          <w:sz w:val="20"/>
        </w:rPr>
        <w:t>scale</w:t>
      </w:r>
      <w:r>
        <w:rPr>
          <w:spacing w:val="-3"/>
          <w:sz w:val="20"/>
        </w:rPr>
        <w:t> </w:t>
      </w:r>
      <w:r>
        <w:rPr>
          <w:sz w:val="20"/>
        </w:rPr>
        <w:t>was</w:t>
      </w:r>
      <w:r>
        <w:rPr>
          <w:spacing w:val="-3"/>
          <w:sz w:val="20"/>
        </w:rPr>
        <w:t> </w:t>
      </w:r>
      <w:r>
        <w:rPr>
          <w:sz w:val="20"/>
        </w:rPr>
        <w:t>not</w:t>
      </w:r>
      <w:r>
        <w:rPr>
          <w:spacing w:val="-6"/>
          <w:sz w:val="20"/>
        </w:rPr>
        <w:t> </w:t>
      </w:r>
      <w:r>
        <w:rPr>
          <w:sz w:val="20"/>
        </w:rPr>
        <w:t>appropriate</w:t>
      </w:r>
      <w:r>
        <w:rPr>
          <w:spacing w:val="-4"/>
          <w:sz w:val="20"/>
        </w:rPr>
        <w:t> </w:t>
      </w:r>
      <w:r>
        <w:rPr>
          <w:sz w:val="20"/>
        </w:rPr>
        <w:t>for</w:t>
      </w:r>
      <w:r>
        <w:rPr>
          <w:spacing w:val="-5"/>
          <w:sz w:val="20"/>
        </w:rPr>
        <w:t> </w:t>
      </w:r>
      <w:r>
        <w:rPr>
          <w:sz w:val="20"/>
        </w:rPr>
        <w:t>that use.</w:t>
      </w:r>
    </w:p>
    <w:p>
      <w:pPr>
        <w:pStyle w:val="BodyText"/>
        <w:spacing w:before="8"/>
      </w:pPr>
    </w:p>
    <w:p>
      <w:pPr>
        <w:pStyle w:val="BodyText"/>
        <w:ind w:left="180" w:right="416"/>
        <w:jc w:val="both"/>
      </w:pPr>
      <w:r>
        <w:rPr/>
        <w:t>In cases, such as those noted above, the Committee feels that the seller would be protected from prosecution. Only</w:t>
      </w:r>
      <w:bookmarkStart w:name="_bookmark1" w:id="3"/>
      <w:bookmarkEnd w:id="3"/>
      <w:r>
        <w:rPr/>
      </w:r>
      <w:r>
        <w:rPr/>
        <w:t> sellers who knowingly violate the provision would be subject to prosecution.</w:t>
      </w:r>
    </w:p>
    <w:p>
      <w:pPr>
        <w:pStyle w:val="BodyText"/>
        <w:spacing w:before="4"/>
        <w:rPr>
          <w:sz w:val="31"/>
        </w:rPr>
      </w:pPr>
    </w:p>
    <w:p>
      <w:pPr>
        <w:pStyle w:val="Heading1"/>
        <w:numPr>
          <w:ilvl w:val="2"/>
          <w:numId w:val="5"/>
        </w:numPr>
        <w:tabs>
          <w:tab w:pos="733" w:val="left" w:leader="none"/>
        </w:tabs>
        <w:spacing w:line="240" w:lineRule="auto" w:before="1" w:after="0"/>
        <w:ind w:left="732" w:right="0" w:hanging="552"/>
        <w:jc w:val="left"/>
      </w:pPr>
      <w:r>
        <w:rPr/>
        <w:t>Weight: Primary Mill</w:t>
      </w:r>
      <w:r>
        <w:rPr>
          <w:spacing w:val="1"/>
        </w:rPr>
        <w:t> </w:t>
      </w:r>
      <w:r>
        <w:rPr/>
        <w:t>Paper.</w:t>
      </w:r>
    </w:p>
    <w:p>
      <w:pPr>
        <w:pStyle w:val="BodyText"/>
        <w:ind w:left="180"/>
      </w:pPr>
      <w:r>
        <w:rPr/>
        <w:t>(L&amp;R, 1990, p. 81)</w:t>
      </w:r>
    </w:p>
    <w:p>
      <w:pPr>
        <w:pStyle w:val="BodyText"/>
        <w:spacing w:before="10"/>
      </w:pPr>
    </w:p>
    <w:p>
      <w:pPr>
        <w:pStyle w:val="Heading1"/>
        <w:ind w:left="180"/>
      </w:pPr>
      <w:r>
        <w:rPr/>
        <w:t>Interpretation</w:t>
      </w:r>
    </w:p>
    <w:p>
      <w:pPr>
        <w:pStyle w:val="BodyText"/>
        <w:spacing w:before="8"/>
        <w:rPr>
          <w:b/>
        </w:rPr>
      </w:pPr>
    </w:p>
    <w:p>
      <w:pPr>
        <w:pStyle w:val="BodyText"/>
        <w:ind w:left="179" w:right="414"/>
        <w:jc w:val="both"/>
      </w:pPr>
      <w:r>
        <w:rPr/>
        <w:t>Non-consumer sales of “primary mill paper” were discovered by weights and measures officials to be labeled and invoiced on what was called a “gross weight” basis. Primary mill paper is produced for commercial or industrial companies</w:t>
      </w:r>
      <w:r>
        <w:rPr>
          <w:spacing w:val="-12"/>
        </w:rPr>
        <w:t> </w:t>
      </w:r>
      <w:r>
        <w:rPr/>
        <w:t>for</w:t>
      </w:r>
      <w:r>
        <w:rPr>
          <w:spacing w:val="-13"/>
        </w:rPr>
        <w:t> </w:t>
      </w:r>
      <w:r>
        <w:rPr/>
        <w:t>subsequent</w:t>
      </w:r>
      <w:r>
        <w:rPr>
          <w:spacing w:val="-13"/>
        </w:rPr>
        <w:t> </w:t>
      </w:r>
      <w:r>
        <w:rPr/>
        <w:t>additional</w:t>
      </w:r>
      <w:r>
        <w:rPr>
          <w:spacing w:val="-14"/>
        </w:rPr>
        <w:t> </w:t>
      </w:r>
      <w:r>
        <w:rPr/>
        <w:t>processing,</w:t>
      </w:r>
      <w:r>
        <w:rPr>
          <w:spacing w:val="-13"/>
        </w:rPr>
        <w:t> </w:t>
      </w:r>
      <w:r>
        <w:rPr/>
        <w:t>such</w:t>
      </w:r>
      <w:r>
        <w:rPr>
          <w:spacing w:val="-14"/>
        </w:rPr>
        <w:t> </w:t>
      </w:r>
      <w:r>
        <w:rPr/>
        <w:t>as</w:t>
      </w:r>
      <w:r>
        <w:rPr>
          <w:spacing w:val="-14"/>
        </w:rPr>
        <w:t> </w:t>
      </w:r>
      <w:r>
        <w:rPr/>
        <w:t>paper</w:t>
      </w:r>
      <w:r>
        <w:rPr>
          <w:spacing w:val="-12"/>
        </w:rPr>
        <w:t> </w:t>
      </w:r>
      <w:r>
        <w:rPr/>
        <w:t>for</w:t>
      </w:r>
      <w:r>
        <w:rPr>
          <w:spacing w:val="-13"/>
        </w:rPr>
        <w:t> </w:t>
      </w:r>
      <w:r>
        <w:rPr/>
        <w:t>newspaper</w:t>
      </w:r>
      <w:r>
        <w:rPr>
          <w:spacing w:val="-13"/>
        </w:rPr>
        <w:t> </w:t>
      </w:r>
      <w:r>
        <w:rPr/>
        <w:t>or</w:t>
      </w:r>
      <w:r>
        <w:rPr>
          <w:spacing w:val="-12"/>
        </w:rPr>
        <w:t> </w:t>
      </w:r>
      <w:r>
        <w:rPr/>
        <w:t>magazine</w:t>
      </w:r>
      <w:r>
        <w:rPr>
          <w:spacing w:val="-13"/>
        </w:rPr>
        <w:t> </w:t>
      </w:r>
      <w:r>
        <w:rPr/>
        <w:t>publishers</w:t>
      </w:r>
      <w:r>
        <w:rPr>
          <w:spacing w:val="-14"/>
        </w:rPr>
        <w:t> </w:t>
      </w:r>
      <w:r>
        <w:rPr/>
        <w:t>or</w:t>
      </w:r>
      <w:r>
        <w:rPr>
          <w:spacing w:val="-12"/>
        </w:rPr>
        <w:t> </w:t>
      </w:r>
      <w:r>
        <w:rPr/>
        <w:t>sanitary</w:t>
      </w:r>
      <w:r>
        <w:rPr>
          <w:spacing w:val="-16"/>
        </w:rPr>
        <w:t> </w:t>
      </w:r>
      <w:r>
        <w:rPr/>
        <w:t>tissue manufacturers. The primary mill paper is cut from “parent rolls” but is still a commercial-sized item weighing from several hundred to several thousands of</w:t>
      </w:r>
      <w:r>
        <w:rPr>
          <w:spacing w:val="-3"/>
        </w:rPr>
        <w:t> </w:t>
      </w:r>
      <w:r>
        <w:rPr/>
        <w:t>pounds.</w:t>
      </w:r>
    </w:p>
    <w:p>
      <w:pPr>
        <w:pStyle w:val="BodyText"/>
        <w:spacing w:before="10"/>
      </w:pPr>
    </w:p>
    <w:p>
      <w:pPr>
        <w:pStyle w:val="BodyText"/>
        <w:ind w:left="179" w:right="418"/>
        <w:jc w:val="both"/>
      </w:pPr>
      <w:r>
        <w:rPr/>
        <w:t>The key to understanding the longstanding trade practice is that the purchaser of such paper specifies not only the quality of the paper being purchased, such as the thickness, surface coating, etc., but the purchaser also specifies the core around which the paper is to be wound, the type of overwrap, the number of overwraps, and such other require- ments that will ensure receipt of the primary mill paper in proper condition for subsequent processing. The weight of the</w:t>
      </w:r>
      <w:r>
        <w:rPr>
          <w:spacing w:val="-6"/>
        </w:rPr>
        <w:t> </w:t>
      </w:r>
      <w:r>
        <w:rPr/>
        <w:t>core</w:t>
      </w:r>
      <w:r>
        <w:rPr>
          <w:spacing w:val="-6"/>
        </w:rPr>
        <w:t> </w:t>
      </w:r>
      <w:r>
        <w:rPr/>
        <w:t>and</w:t>
      </w:r>
      <w:r>
        <w:rPr>
          <w:spacing w:val="-1"/>
        </w:rPr>
        <w:t> </w:t>
      </w:r>
      <w:r>
        <w:rPr/>
        <w:t>wrapping</w:t>
      </w:r>
      <w:r>
        <w:rPr>
          <w:spacing w:val="-6"/>
        </w:rPr>
        <w:t> </w:t>
      </w:r>
      <w:r>
        <w:rPr/>
        <w:t>is</w:t>
      </w:r>
      <w:r>
        <w:rPr>
          <w:spacing w:val="-8"/>
        </w:rPr>
        <w:t> </w:t>
      </w:r>
      <w:r>
        <w:rPr/>
        <w:t>approximately</w:t>
      </w:r>
      <w:r>
        <w:rPr>
          <w:spacing w:val="-7"/>
        </w:rPr>
        <w:t> </w:t>
      </w:r>
      <w:r>
        <w:rPr/>
        <w:t>1</w:t>
      </w:r>
      <w:r>
        <w:rPr>
          <w:spacing w:val="-1"/>
        </w:rPr>
        <w:t> </w:t>
      </w:r>
      <w:r>
        <w:rPr/>
        <w:t>%</w:t>
      </w:r>
      <w:r>
        <w:rPr>
          <w:spacing w:val="-7"/>
        </w:rPr>
        <w:t> </w:t>
      </w:r>
      <w:r>
        <w:rPr/>
        <w:t>of</w:t>
      </w:r>
      <w:r>
        <w:rPr>
          <w:spacing w:val="-8"/>
        </w:rPr>
        <w:t> </w:t>
      </w:r>
      <w:r>
        <w:rPr/>
        <w:t>the</w:t>
      </w:r>
      <w:r>
        <w:rPr>
          <w:spacing w:val="-4"/>
        </w:rPr>
        <w:t> </w:t>
      </w:r>
      <w:r>
        <w:rPr/>
        <w:t>gross</w:t>
      </w:r>
      <w:r>
        <w:rPr>
          <w:spacing w:val="-4"/>
        </w:rPr>
        <w:t> </w:t>
      </w:r>
      <w:r>
        <w:rPr/>
        <w:t>weight.</w:t>
      </w:r>
      <w:r>
        <w:rPr>
          <w:spacing w:val="40"/>
        </w:rPr>
        <w:t> </w:t>
      </w:r>
      <w:r>
        <w:rPr/>
        <w:t>It</w:t>
      </w:r>
      <w:r>
        <w:rPr>
          <w:spacing w:val="-7"/>
        </w:rPr>
        <w:t> </w:t>
      </w:r>
      <w:r>
        <w:rPr/>
        <w:t>is</w:t>
      </w:r>
      <w:r>
        <w:rPr>
          <w:spacing w:val="-8"/>
        </w:rPr>
        <w:t> </w:t>
      </w:r>
      <w:r>
        <w:rPr/>
        <w:t>recycled</w:t>
      </w:r>
      <w:r>
        <w:rPr>
          <w:spacing w:val="-5"/>
        </w:rPr>
        <w:t> </w:t>
      </w:r>
      <w:r>
        <w:rPr/>
        <w:t>by</w:t>
      </w:r>
      <w:r>
        <w:rPr>
          <w:spacing w:val="-10"/>
        </w:rPr>
        <w:t> </w:t>
      </w:r>
      <w:r>
        <w:rPr/>
        <w:t>the</w:t>
      </w:r>
      <w:r>
        <w:rPr>
          <w:spacing w:val="-7"/>
        </w:rPr>
        <w:t> </w:t>
      </w:r>
      <w:r>
        <w:rPr/>
        <w:t>purchasers</w:t>
      </w:r>
      <w:r>
        <w:rPr>
          <w:spacing w:val="-5"/>
        </w:rPr>
        <w:t> </w:t>
      </w:r>
      <w:r>
        <w:rPr/>
        <w:t>in</w:t>
      </w:r>
      <w:r>
        <w:rPr>
          <w:spacing w:val="-5"/>
        </w:rPr>
        <w:t> </w:t>
      </w:r>
      <w:r>
        <w:rPr/>
        <w:t>their</w:t>
      </w:r>
      <w:r>
        <w:rPr>
          <w:spacing w:val="-6"/>
        </w:rPr>
        <w:t> </w:t>
      </w:r>
      <w:r>
        <w:rPr/>
        <w:t>own</w:t>
      </w:r>
      <w:r>
        <w:rPr>
          <w:spacing w:val="-8"/>
        </w:rPr>
        <w:t> </w:t>
      </w:r>
      <w:r>
        <w:rPr/>
        <w:t>or</w:t>
      </w:r>
      <w:r>
        <w:rPr>
          <w:spacing w:val="-6"/>
        </w:rPr>
        <w:t> </w:t>
      </w:r>
      <w:r>
        <w:rPr/>
        <w:t>other paper recovery or reuse systems.</w:t>
      </w:r>
    </w:p>
    <w:p>
      <w:pPr>
        <w:pStyle w:val="BodyText"/>
        <w:spacing w:before="11"/>
      </w:pPr>
    </w:p>
    <w:p>
      <w:pPr>
        <w:pStyle w:val="BodyText"/>
        <w:ind w:left="179" w:right="417"/>
        <w:jc w:val="both"/>
      </w:pPr>
      <w:r>
        <w:rPr/>
        <w:t>Having</w:t>
      </w:r>
      <w:r>
        <w:rPr>
          <w:spacing w:val="-14"/>
        </w:rPr>
        <w:t> </w:t>
      </w:r>
      <w:r>
        <w:rPr/>
        <w:t>reviewed</w:t>
      </w:r>
      <w:r>
        <w:rPr>
          <w:spacing w:val="-11"/>
        </w:rPr>
        <w:t> </w:t>
      </w:r>
      <w:r>
        <w:rPr/>
        <w:t>the</w:t>
      </w:r>
      <w:r>
        <w:rPr>
          <w:spacing w:val="-12"/>
        </w:rPr>
        <w:t> </w:t>
      </w:r>
      <w:r>
        <w:rPr/>
        <w:t>practices</w:t>
      </w:r>
      <w:r>
        <w:rPr>
          <w:spacing w:val="-11"/>
        </w:rPr>
        <w:t> </w:t>
      </w:r>
      <w:r>
        <w:rPr/>
        <w:t>in</w:t>
      </w:r>
      <w:r>
        <w:rPr>
          <w:spacing w:val="-14"/>
        </w:rPr>
        <w:t> </w:t>
      </w:r>
      <w:r>
        <w:rPr/>
        <w:t>the</w:t>
      </w:r>
      <w:r>
        <w:rPr>
          <w:spacing w:val="-12"/>
        </w:rPr>
        <w:t> </w:t>
      </w:r>
      <w:r>
        <w:rPr/>
        <w:t>industry</w:t>
      </w:r>
      <w:r>
        <w:rPr>
          <w:spacing w:val="-14"/>
        </w:rPr>
        <w:t> </w:t>
      </w:r>
      <w:r>
        <w:rPr/>
        <w:t>in</w:t>
      </w:r>
      <w:r>
        <w:rPr>
          <w:spacing w:val="-11"/>
        </w:rPr>
        <w:t> </w:t>
      </w:r>
      <w:r>
        <w:rPr/>
        <w:t>the</w:t>
      </w:r>
      <w:r>
        <w:rPr>
          <w:spacing w:val="-10"/>
        </w:rPr>
        <w:t> </w:t>
      </w:r>
      <w:r>
        <w:rPr/>
        <w:t>specification</w:t>
      </w:r>
      <w:r>
        <w:rPr>
          <w:spacing w:val="-14"/>
        </w:rPr>
        <w:t> </w:t>
      </w:r>
      <w:r>
        <w:rPr/>
        <w:t>and</w:t>
      </w:r>
      <w:r>
        <w:rPr>
          <w:spacing w:val="-11"/>
        </w:rPr>
        <w:t> </w:t>
      </w:r>
      <w:r>
        <w:rPr/>
        <w:t>purchasing</w:t>
      </w:r>
      <w:r>
        <w:rPr>
          <w:spacing w:val="-14"/>
        </w:rPr>
        <w:t> </w:t>
      </w:r>
      <w:r>
        <w:rPr/>
        <w:t>of</w:t>
      </w:r>
      <w:r>
        <w:rPr>
          <w:spacing w:val="-14"/>
        </w:rPr>
        <w:t> </w:t>
      </w:r>
      <w:r>
        <w:rPr/>
        <w:t>primary</w:t>
      </w:r>
      <w:r>
        <w:rPr>
          <w:spacing w:val="-14"/>
        </w:rPr>
        <w:t> </w:t>
      </w:r>
      <w:r>
        <w:rPr/>
        <w:t>mill</w:t>
      </w:r>
      <w:r>
        <w:rPr>
          <w:spacing w:val="-13"/>
        </w:rPr>
        <w:t> </w:t>
      </w:r>
      <w:r>
        <w:rPr/>
        <w:t>paper,</w:t>
      </w:r>
      <w:r>
        <w:rPr>
          <w:spacing w:val="-12"/>
        </w:rPr>
        <w:t> </w:t>
      </w:r>
      <w:r>
        <w:rPr/>
        <w:t>the</w:t>
      </w:r>
      <w:r>
        <w:rPr>
          <w:spacing w:val="-12"/>
        </w:rPr>
        <w:t> </w:t>
      </w:r>
      <w:r>
        <w:rPr/>
        <w:t>Committee concludes that the true product is the paper plus the packaging (in order to assure maintenance of quality) and an appropriate core (to ensure a fit on the recipient’s equipment). Therefore, in the Committee’s opinion, the sale of primary</w:t>
      </w:r>
      <w:r>
        <w:rPr>
          <w:spacing w:val="9"/>
        </w:rPr>
        <w:t> </w:t>
      </w:r>
      <w:r>
        <w:rPr/>
        <w:t>mill</w:t>
      </w:r>
      <w:r>
        <w:rPr>
          <w:spacing w:val="9"/>
        </w:rPr>
        <w:t> </w:t>
      </w:r>
      <w:r>
        <w:rPr/>
        <w:t>paper</w:t>
      </w:r>
      <w:r>
        <w:rPr>
          <w:spacing w:val="8"/>
        </w:rPr>
        <w:t> </w:t>
      </w:r>
      <w:r>
        <w:rPr/>
        <w:t>is</w:t>
      </w:r>
      <w:r>
        <w:rPr>
          <w:spacing w:val="9"/>
        </w:rPr>
        <w:t> </w:t>
      </w:r>
      <w:r>
        <w:rPr/>
        <w:t>not</w:t>
      </w:r>
      <w:r>
        <w:rPr>
          <w:spacing w:val="8"/>
        </w:rPr>
        <w:t> </w:t>
      </w:r>
      <w:r>
        <w:rPr/>
        <w:t>at</w:t>
      </w:r>
      <w:r>
        <w:rPr>
          <w:spacing w:val="7"/>
        </w:rPr>
        <w:t> </w:t>
      </w:r>
      <w:r>
        <w:rPr/>
        <w:t>all</w:t>
      </w:r>
      <w:r>
        <w:rPr>
          <w:spacing w:val="7"/>
        </w:rPr>
        <w:t> </w:t>
      </w:r>
      <w:r>
        <w:rPr/>
        <w:t>on</w:t>
      </w:r>
      <w:r>
        <w:rPr>
          <w:spacing w:val="6"/>
        </w:rPr>
        <w:t> </w:t>
      </w:r>
      <w:r>
        <w:rPr/>
        <w:t>a</w:t>
      </w:r>
      <w:r>
        <w:rPr>
          <w:spacing w:val="10"/>
        </w:rPr>
        <w:t> </w:t>
      </w:r>
      <w:r>
        <w:rPr/>
        <w:t>gross</w:t>
      </w:r>
      <w:r>
        <w:rPr>
          <w:spacing w:val="12"/>
        </w:rPr>
        <w:t> </w:t>
      </w:r>
      <w:r>
        <w:rPr/>
        <w:t>weight</w:t>
      </w:r>
      <w:r>
        <w:rPr>
          <w:spacing w:val="10"/>
        </w:rPr>
        <w:t> </w:t>
      </w:r>
      <w:r>
        <w:rPr/>
        <w:t>basis.</w:t>
      </w:r>
      <w:r>
        <w:rPr>
          <w:spacing w:val="18"/>
        </w:rPr>
        <w:t> </w:t>
      </w:r>
      <w:r>
        <w:rPr/>
        <w:t>This</w:t>
      </w:r>
      <w:r>
        <w:rPr>
          <w:spacing w:val="7"/>
        </w:rPr>
        <w:t> </w:t>
      </w:r>
      <w:r>
        <w:rPr/>
        <w:t>is</w:t>
      </w:r>
      <w:r>
        <w:rPr>
          <w:spacing w:val="9"/>
        </w:rPr>
        <w:t> </w:t>
      </w:r>
      <w:r>
        <w:rPr/>
        <w:t>and</w:t>
      </w:r>
      <w:r>
        <w:rPr>
          <w:spacing w:val="11"/>
        </w:rPr>
        <w:t> </w:t>
      </w:r>
      <w:r>
        <w:rPr/>
        <w:t>has</w:t>
      </w:r>
      <w:r>
        <w:rPr>
          <w:spacing w:val="9"/>
        </w:rPr>
        <w:t> </w:t>
      </w:r>
      <w:r>
        <w:rPr/>
        <w:t>been</w:t>
      </w:r>
      <w:r>
        <w:rPr>
          <w:spacing w:val="6"/>
        </w:rPr>
        <w:t> </w:t>
      </w:r>
      <w:r>
        <w:rPr/>
        <w:t>a</w:t>
      </w:r>
      <w:r>
        <w:rPr>
          <w:spacing w:val="13"/>
        </w:rPr>
        <w:t> </w:t>
      </w:r>
      <w:r>
        <w:rPr/>
        <w:t>misnomer.</w:t>
      </w:r>
      <w:r>
        <w:rPr>
          <w:spacing w:val="16"/>
        </w:rPr>
        <w:t> </w:t>
      </w:r>
      <w:r>
        <w:rPr/>
        <w:t>The</w:t>
      </w:r>
      <w:r>
        <w:rPr>
          <w:spacing w:val="8"/>
        </w:rPr>
        <w:t> </w:t>
      </w:r>
      <w:r>
        <w:rPr/>
        <w:t>true</w:t>
      </w:r>
      <w:r>
        <w:rPr>
          <w:spacing w:val="8"/>
        </w:rPr>
        <w:t> </w:t>
      </w:r>
      <w:r>
        <w:rPr/>
        <w:t>identity</w:t>
      </w:r>
      <w:r>
        <w:rPr>
          <w:spacing w:val="6"/>
        </w:rPr>
        <w:t> </w:t>
      </w:r>
      <w:r>
        <w:rPr/>
        <w:t>of</w:t>
      </w:r>
      <w:r>
        <w:rPr>
          <w:spacing w:val="8"/>
        </w:rPr>
        <w:t> </w:t>
      </w:r>
      <w:r>
        <w:rPr/>
        <w:t>the</w:t>
      </w:r>
    </w:p>
    <w:p>
      <w:pPr>
        <w:spacing w:after="0"/>
        <w:jc w:val="both"/>
        <w:sectPr>
          <w:pgSz w:w="12240" w:h="15840"/>
          <w:pgMar w:header="730" w:footer="741" w:top="1340" w:bottom="940" w:left="1260" w:right="1020"/>
        </w:sectPr>
      </w:pPr>
    </w:p>
    <w:p>
      <w:pPr>
        <w:pStyle w:val="BodyText"/>
        <w:spacing w:before="88"/>
        <w:ind w:left="179" w:right="417"/>
        <w:jc w:val="both"/>
      </w:pPr>
      <w:r>
        <w:rPr/>
        <w:t>purchased</w:t>
      </w:r>
      <w:r>
        <w:rPr>
          <w:spacing w:val="-4"/>
        </w:rPr>
        <w:t> </w:t>
      </w:r>
      <w:r>
        <w:rPr/>
        <w:t>product</w:t>
      </w:r>
      <w:r>
        <w:rPr>
          <w:spacing w:val="-4"/>
        </w:rPr>
        <w:t> </w:t>
      </w:r>
      <w:r>
        <w:rPr/>
        <w:t>has</w:t>
      </w:r>
      <w:r>
        <w:rPr>
          <w:spacing w:val="-4"/>
        </w:rPr>
        <w:t> </w:t>
      </w:r>
      <w:r>
        <w:rPr/>
        <w:t>been</w:t>
      </w:r>
      <w:r>
        <w:rPr>
          <w:spacing w:val="-3"/>
        </w:rPr>
        <w:t> </w:t>
      </w:r>
      <w:r>
        <w:rPr/>
        <w:t>misunderstood</w:t>
      </w:r>
      <w:r>
        <w:rPr>
          <w:spacing w:val="-4"/>
        </w:rPr>
        <w:t> </w:t>
      </w:r>
      <w:r>
        <w:rPr/>
        <w:t>by</w:t>
      </w:r>
      <w:r>
        <w:rPr>
          <w:spacing w:val="-4"/>
        </w:rPr>
        <w:t> </w:t>
      </w:r>
      <w:r>
        <w:rPr/>
        <w:t>weights</w:t>
      </w:r>
      <w:r>
        <w:rPr>
          <w:spacing w:val="-5"/>
        </w:rPr>
        <w:t> </w:t>
      </w:r>
      <w:r>
        <w:rPr/>
        <w:t>and</w:t>
      </w:r>
      <w:r>
        <w:rPr>
          <w:spacing w:val="-3"/>
        </w:rPr>
        <w:t> </w:t>
      </w:r>
      <w:r>
        <w:rPr/>
        <w:t>measures</w:t>
      </w:r>
      <w:r>
        <w:rPr>
          <w:spacing w:val="-5"/>
        </w:rPr>
        <w:t> </w:t>
      </w:r>
      <w:r>
        <w:rPr/>
        <w:t>authorities,</w:t>
      </w:r>
      <w:r>
        <w:rPr>
          <w:spacing w:val="-2"/>
        </w:rPr>
        <w:t> </w:t>
      </w:r>
      <w:r>
        <w:rPr/>
        <w:t>further</w:t>
      </w:r>
      <w:r>
        <w:rPr>
          <w:spacing w:val="-3"/>
        </w:rPr>
        <w:t> </w:t>
      </w:r>
      <w:r>
        <w:rPr/>
        <w:t>compounded</w:t>
      </w:r>
      <w:r>
        <w:rPr>
          <w:spacing w:val="-3"/>
        </w:rPr>
        <w:t> </w:t>
      </w:r>
      <w:r>
        <w:rPr/>
        <w:t>by</w:t>
      </w:r>
      <w:r>
        <w:rPr>
          <w:spacing w:val="-7"/>
        </w:rPr>
        <w:t> </w:t>
      </w:r>
      <w:r>
        <w:rPr/>
        <w:t>the</w:t>
      </w:r>
      <w:r>
        <w:rPr>
          <w:spacing w:val="-4"/>
        </w:rPr>
        <w:t> </w:t>
      </w:r>
      <w:r>
        <w:rPr/>
        <w:t>industry use of the term “gross weight.” The product is the primary mill paper plus the core and overwrap specified by the purchaser.</w:t>
      </w:r>
    </w:p>
    <w:p>
      <w:pPr>
        <w:pStyle w:val="BodyText"/>
        <w:spacing w:before="9"/>
      </w:pPr>
    </w:p>
    <w:p>
      <w:pPr>
        <w:pStyle w:val="BodyText"/>
        <w:ind w:left="179" w:right="420"/>
        <w:jc w:val="both"/>
      </w:pPr>
      <w:r>
        <w:rPr/>
        <w:t>The</w:t>
      </w:r>
      <w:r>
        <w:rPr>
          <w:spacing w:val="-8"/>
        </w:rPr>
        <w:t> </w:t>
      </w:r>
      <w:r>
        <w:rPr/>
        <w:t>Committee,</w:t>
      </w:r>
      <w:r>
        <w:rPr>
          <w:spacing w:val="-7"/>
        </w:rPr>
        <w:t> </w:t>
      </w:r>
      <w:r>
        <w:rPr/>
        <w:t>therefore,</w:t>
      </w:r>
      <w:r>
        <w:rPr>
          <w:spacing w:val="-7"/>
        </w:rPr>
        <w:t> </w:t>
      </w:r>
      <w:r>
        <w:rPr/>
        <w:t>believes</w:t>
      </w:r>
      <w:r>
        <w:rPr>
          <w:spacing w:val="-9"/>
        </w:rPr>
        <w:t> </w:t>
      </w:r>
      <w:r>
        <w:rPr/>
        <w:t>that</w:t>
      </w:r>
      <w:r>
        <w:rPr>
          <w:spacing w:val="-8"/>
        </w:rPr>
        <w:t> </w:t>
      </w:r>
      <w:r>
        <w:rPr/>
        <w:t>the</w:t>
      </w:r>
      <w:r>
        <w:rPr>
          <w:spacing w:val="-8"/>
        </w:rPr>
        <w:t> </w:t>
      </w:r>
      <w:r>
        <w:rPr/>
        <w:t>industry</w:t>
      </w:r>
      <w:r>
        <w:rPr>
          <w:spacing w:val="-11"/>
        </w:rPr>
        <w:t> </w:t>
      </w:r>
      <w:r>
        <w:rPr/>
        <w:t>should</w:t>
      </w:r>
      <w:r>
        <w:rPr>
          <w:spacing w:val="-7"/>
        </w:rPr>
        <w:t> </w:t>
      </w:r>
      <w:r>
        <w:rPr/>
        <w:t>review</w:t>
      </w:r>
      <w:r>
        <w:rPr>
          <w:spacing w:val="-10"/>
        </w:rPr>
        <w:t> </w:t>
      </w:r>
      <w:r>
        <w:rPr/>
        <w:t>its</w:t>
      </w:r>
      <w:r>
        <w:rPr>
          <w:spacing w:val="-9"/>
        </w:rPr>
        <w:t> </w:t>
      </w:r>
      <w:r>
        <w:rPr/>
        <w:t>invoicing</w:t>
      </w:r>
      <w:r>
        <w:rPr>
          <w:spacing w:val="-9"/>
        </w:rPr>
        <w:t> </w:t>
      </w:r>
      <w:r>
        <w:rPr/>
        <w:t>and</w:t>
      </w:r>
      <w:r>
        <w:rPr>
          <w:spacing w:val="-7"/>
        </w:rPr>
        <w:t> </w:t>
      </w:r>
      <w:r>
        <w:rPr/>
        <w:t>labeling</w:t>
      </w:r>
      <w:r>
        <w:rPr>
          <w:spacing w:val="-9"/>
        </w:rPr>
        <w:t> </w:t>
      </w:r>
      <w:r>
        <w:rPr/>
        <w:t>to</w:t>
      </w:r>
      <w:r>
        <w:rPr>
          <w:spacing w:val="-8"/>
        </w:rPr>
        <w:t> </w:t>
      </w:r>
      <w:r>
        <w:rPr/>
        <w:t>clarify</w:t>
      </w:r>
      <w:r>
        <w:rPr>
          <w:spacing w:val="-10"/>
        </w:rPr>
        <w:t> </w:t>
      </w:r>
      <w:r>
        <w:rPr/>
        <w:t>that</w:t>
      </w:r>
      <w:r>
        <w:rPr>
          <w:spacing w:val="-9"/>
        </w:rPr>
        <w:t> </w:t>
      </w:r>
      <w:r>
        <w:rPr/>
        <w:t>the</w:t>
      </w:r>
      <w:r>
        <w:rPr>
          <w:spacing w:val="-5"/>
        </w:rPr>
        <w:t> </w:t>
      </w:r>
      <w:r>
        <w:rPr/>
        <w:t>weight of</w:t>
      </w:r>
      <w:r>
        <w:rPr>
          <w:spacing w:val="-9"/>
        </w:rPr>
        <w:t> </w:t>
      </w:r>
      <w:r>
        <w:rPr/>
        <w:t>the</w:t>
      </w:r>
      <w:r>
        <w:rPr>
          <w:spacing w:val="-4"/>
        </w:rPr>
        <w:t> </w:t>
      </w:r>
      <w:r>
        <w:rPr/>
        <w:t>specified</w:t>
      </w:r>
      <w:r>
        <w:rPr>
          <w:spacing w:val="-7"/>
        </w:rPr>
        <w:t> </w:t>
      </w:r>
      <w:r>
        <w:rPr/>
        <w:t>product</w:t>
      </w:r>
      <w:r>
        <w:rPr>
          <w:spacing w:val="-7"/>
        </w:rPr>
        <w:t> </w:t>
      </w:r>
      <w:r>
        <w:rPr/>
        <w:t>is</w:t>
      </w:r>
      <w:r>
        <w:rPr>
          <w:spacing w:val="-9"/>
        </w:rPr>
        <w:t> </w:t>
      </w:r>
      <w:r>
        <w:rPr/>
        <w:t>the</w:t>
      </w:r>
      <w:r>
        <w:rPr>
          <w:spacing w:val="-4"/>
        </w:rPr>
        <w:t> </w:t>
      </w:r>
      <w:r>
        <w:rPr/>
        <w:t>weight</w:t>
      </w:r>
      <w:r>
        <w:rPr>
          <w:spacing w:val="-8"/>
        </w:rPr>
        <w:t> </w:t>
      </w:r>
      <w:r>
        <w:rPr/>
        <w:t>of</w:t>
      </w:r>
      <w:r>
        <w:rPr>
          <w:spacing w:val="-8"/>
        </w:rPr>
        <w:t> </w:t>
      </w:r>
      <w:r>
        <w:rPr/>
        <w:t>the</w:t>
      </w:r>
      <w:r>
        <w:rPr>
          <w:spacing w:val="-8"/>
        </w:rPr>
        <w:t> </w:t>
      </w:r>
      <w:r>
        <w:rPr/>
        <w:t>primary</w:t>
      </w:r>
      <w:r>
        <w:rPr>
          <w:spacing w:val="-6"/>
        </w:rPr>
        <w:t> </w:t>
      </w:r>
      <w:r>
        <w:rPr/>
        <w:t>mill</w:t>
      </w:r>
      <w:r>
        <w:rPr>
          <w:spacing w:val="-8"/>
        </w:rPr>
        <w:t> </w:t>
      </w:r>
      <w:r>
        <w:rPr/>
        <w:t>paper,</w:t>
      </w:r>
      <w:r>
        <w:rPr>
          <w:spacing w:val="-6"/>
        </w:rPr>
        <w:t> </w:t>
      </w:r>
      <w:r>
        <w:rPr/>
        <w:t>core,</w:t>
      </w:r>
      <w:r>
        <w:rPr>
          <w:spacing w:val="-7"/>
        </w:rPr>
        <w:t> </w:t>
      </w:r>
      <w:r>
        <w:rPr/>
        <w:t>and</w:t>
      </w:r>
      <w:r>
        <w:rPr>
          <w:spacing w:val="-6"/>
        </w:rPr>
        <w:t> </w:t>
      </w:r>
      <w:r>
        <w:rPr/>
        <w:t>overwrap.</w:t>
      </w:r>
      <w:r>
        <w:rPr>
          <w:spacing w:val="39"/>
        </w:rPr>
        <w:t> </w:t>
      </w:r>
      <w:r>
        <w:rPr/>
        <w:t>Although</w:t>
      </w:r>
      <w:r>
        <w:rPr>
          <w:spacing w:val="-9"/>
        </w:rPr>
        <w:t> </w:t>
      </w:r>
      <w:r>
        <w:rPr/>
        <w:t>this</w:t>
      </w:r>
      <w:r>
        <w:rPr>
          <w:spacing w:val="-3"/>
        </w:rPr>
        <w:t> </w:t>
      </w:r>
      <w:r>
        <w:rPr/>
        <w:t>weight</w:t>
      </w:r>
      <w:r>
        <w:rPr>
          <w:spacing w:val="-8"/>
        </w:rPr>
        <w:t> </w:t>
      </w:r>
      <w:r>
        <w:rPr/>
        <w:t>is</w:t>
      </w:r>
      <w:r>
        <w:rPr>
          <w:spacing w:val="-8"/>
        </w:rPr>
        <w:t> </w:t>
      </w:r>
      <w:r>
        <w:rPr/>
        <w:t>the</w:t>
      </w:r>
      <w:r>
        <w:rPr>
          <w:spacing w:val="-7"/>
        </w:rPr>
        <w:t> </w:t>
      </w:r>
      <w:r>
        <w:rPr/>
        <w:t>gross weight</w:t>
      </w:r>
      <w:r>
        <w:rPr>
          <w:spacing w:val="-2"/>
        </w:rPr>
        <w:t> </w:t>
      </w:r>
      <w:r>
        <w:rPr/>
        <w:t>of</w:t>
      </w:r>
      <w:r>
        <w:rPr>
          <w:spacing w:val="-3"/>
        </w:rPr>
        <w:t> </w:t>
      </w:r>
      <w:r>
        <w:rPr/>
        <w:t>the</w:t>
      </w:r>
      <w:r>
        <w:rPr>
          <w:spacing w:val="-1"/>
        </w:rPr>
        <w:t> </w:t>
      </w:r>
      <w:r>
        <w:rPr/>
        <w:t>entire</w:t>
      </w:r>
      <w:r>
        <w:rPr>
          <w:spacing w:val="-2"/>
        </w:rPr>
        <w:t> </w:t>
      </w:r>
      <w:r>
        <w:rPr/>
        <w:t>item</w:t>
      </w:r>
      <w:r>
        <w:rPr>
          <w:spacing w:val="-5"/>
        </w:rPr>
        <w:t> </w:t>
      </w:r>
      <w:r>
        <w:rPr/>
        <w:t>as</w:t>
      </w:r>
      <w:r>
        <w:rPr>
          <w:spacing w:val="-2"/>
        </w:rPr>
        <w:t> </w:t>
      </w:r>
      <w:r>
        <w:rPr/>
        <w:t>produced</w:t>
      </w:r>
      <w:r>
        <w:rPr>
          <w:spacing w:val="-1"/>
        </w:rPr>
        <w:t> </w:t>
      </w:r>
      <w:r>
        <w:rPr/>
        <w:t>and shipped, it</w:t>
      </w:r>
      <w:r>
        <w:rPr>
          <w:spacing w:val="-2"/>
        </w:rPr>
        <w:t> </w:t>
      </w:r>
      <w:r>
        <w:rPr/>
        <w:t>is</w:t>
      </w:r>
      <w:r>
        <w:rPr>
          <w:spacing w:val="-2"/>
        </w:rPr>
        <w:t> </w:t>
      </w:r>
      <w:r>
        <w:rPr/>
        <w:t>the</w:t>
      </w:r>
      <w:r>
        <w:rPr>
          <w:spacing w:val="-1"/>
        </w:rPr>
        <w:t> </w:t>
      </w:r>
      <w:r>
        <w:rPr/>
        <w:t>net weight</w:t>
      </w:r>
      <w:r>
        <w:rPr>
          <w:spacing w:val="-1"/>
        </w:rPr>
        <w:t> </w:t>
      </w:r>
      <w:r>
        <w:rPr/>
        <w:t>of</w:t>
      </w:r>
      <w:r>
        <w:rPr>
          <w:spacing w:val="-3"/>
        </w:rPr>
        <w:t> </w:t>
      </w:r>
      <w:r>
        <w:rPr/>
        <w:t>the</w:t>
      </w:r>
      <w:r>
        <w:rPr>
          <w:spacing w:val="-2"/>
        </w:rPr>
        <w:t> </w:t>
      </w:r>
      <w:r>
        <w:rPr/>
        <w:t>item</w:t>
      </w:r>
      <w:r>
        <w:rPr>
          <w:spacing w:val="-2"/>
        </w:rPr>
        <w:t> </w:t>
      </w:r>
      <w:r>
        <w:rPr/>
        <w:t>as</w:t>
      </w:r>
      <w:r>
        <w:rPr>
          <w:spacing w:val="-2"/>
        </w:rPr>
        <w:t> </w:t>
      </w:r>
      <w:r>
        <w:rPr/>
        <w:t>specified</w:t>
      </w:r>
      <w:r>
        <w:rPr>
          <w:spacing w:val="-1"/>
        </w:rPr>
        <w:t> </w:t>
      </w:r>
      <w:r>
        <w:rPr/>
        <w:t>by</w:t>
      </w:r>
      <w:r>
        <w:rPr>
          <w:spacing w:val="-5"/>
        </w:rPr>
        <w:t> </w:t>
      </w:r>
      <w:r>
        <w:rPr/>
        <w:t>the</w:t>
      </w:r>
      <w:r>
        <w:rPr>
          <w:spacing w:val="-1"/>
        </w:rPr>
        <w:t> </w:t>
      </w:r>
      <w:r>
        <w:rPr/>
        <w:t>purchaser.</w:t>
      </w:r>
    </w:p>
    <w:p>
      <w:pPr>
        <w:pStyle w:val="BodyText"/>
        <w:rPr>
          <w:sz w:val="21"/>
        </w:rPr>
      </w:pPr>
    </w:p>
    <w:p>
      <w:pPr>
        <w:pStyle w:val="BodyText"/>
        <w:ind w:left="180" w:right="417"/>
        <w:jc w:val="both"/>
      </w:pPr>
      <w:r>
        <w:rPr/>
        <w:t>This interpretation applies only to primary mill paper and is not intended to be applied to all non-consumer products ordered by specification; it is a narrow interpretation applying to the specific method of sale in this trade where the service of packaging and the packaging is part of the purchase.</w:t>
      </w:r>
    </w:p>
    <w:p>
      <w:pPr>
        <w:pStyle w:val="BodyText"/>
        <w:spacing w:before="2"/>
        <w:rPr>
          <w:sz w:val="31"/>
        </w:rPr>
      </w:pPr>
    </w:p>
    <w:p>
      <w:pPr>
        <w:pStyle w:val="Heading1"/>
        <w:numPr>
          <w:ilvl w:val="2"/>
          <w:numId w:val="6"/>
        </w:numPr>
        <w:tabs>
          <w:tab w:pos="824" w:val="left" w:leader="none"/>
        </w:tabs>
        <w:spacing w:line="240" w:lineRule="auto" w:before="1" w:after="0"/>
        <w:ind w:left="179" w:right="414" w:firstLine="1"/>
        <w:jc w:val="both"/>
      </w:pPr>
      <w:bookmarkStart w:name="_bookmark2" w:id="4"/>
      <w:bookmarkEnd w:id="4"/>
      <w:r>
        <w:rPr>
          <w:b w:val="0"/>
        </w:rPr>
      </w:r>
      <w:bookmarkStart w:name="_bookmark2" w:id="5"/>
      <w:bookmarkEnd w:id="5"/>
      <w:r>
        <w:rPr/>
        <w:t>D</w:t>
      </w:r>
      <w:r>
        <w:rPr/>
        <w:t>eclaration</w:t>
      </w:r>
      <w:r>
        <w:rPr>
          <w:spacing w:val="-11"/>
        </w:rPr>
        <w:t> </w:t>
      </w:r>
      <w:r>
        <w:rPr/>
        <w:t>of</w:t>
      </w:r>
      <w:r>
        <w:rPr>
          <w:spacing w:val="-8"/>
        </w:rPr>
        <w:t> </w:t>
      </w:r>
      <w:r>
        <w:rPr/>
        <w:t>Identity:</w:t>
      </w:r>
      <w:r>
        <w:rPr>
          <w:spacing w:val="-7"/>
        </w:rPr>
        <w:t> </w:t>
      </w:r>
      <w:r>
        <w:rPr/>
        <w:t>Consumer</w:t>
      </w:r>
      <w:r>
        <w:rPr>
          <w:spacing w:val="-7"/>
        </w:rPr>
        <w:t> </w:t>
      </w:r>
      <w:r>
        <w:rPr/>
        <w:t>Package</w:t>
      </w:r>
      <w:r>
        <w:rPr>
          <w:spacing w:val="-8"/>
        </w:rPr>
        <w:t> </w:t>
      </w:r>
      <w:r>
        <w:rPr/>
        <w:t>(UPLR)</w:t>
      </w:r>
      <w:r>
        <w:rPr>
          <w:spacing w:val="-7"/>
        </w:rPr>
        <w:t> </w:t>
      </w:r>
      <w:r>
        <w:rPr/>
        <w:t>and</w:t>
      </w:r>
      <w:r>
        <w:rPr>
          <w:spacing w:val="-8"/>
        </w:rPr>
        <w:t> </w:t>
      </w:r>
      <w:r>
        <w:rPr/>
        <w:t>1.5.1.</w:t>
      </w:r>
      <w:r>
        <w:rPr>
          <w:spacing w:val="-8"/>
        </w:rPr>
        <w:t> </w:t>
      </w:r>
      <w:r>
        <w:rPr/>
        <w:t>In</w:t>
      </w:r>
      <w:r>
        <w:rPr>
          <w:spacing w:val="-8"/>
        </w:rPr>
        <w:t> </w:t>
      </w:r>
      <w:r>
        <w:rPr/>
        <w:t>Combination</w:t>
      </w:r>
      <w:r>
        <w:rPr>
          <w:spacing w:val="-8"/>
        </w:rPr>
        <w:t> </w:t>
      </w:r>
      <w:r>
        <w:rPr/>
        <w:t>with</w:t>
      </w:r>
      <w:r>
        <w:rPr>
          <w:spacing w:val="-8"/>
        </w:rPr>
        <w:t> </w:t>
      </w:r>
      <w:r>
        <w:rPr/>
        <w:t>Other</w:t>
      </w:r>
      <w:r>
        <w:rPr>
          <w:spacing w:val="-7"/>
        </w:rPr>
        <w:t> </w:t>
      </w:r>
      <w:r>
        <w:rPr/>
        <w:t>Foods</w:t>
      </w:r>
      <w:r>
        <w:rPr>
          <w:spacing w:val="-9"/>
        </w:rPr>
        <w:t> </w:t>
      </w:r>
      <w:r>
        <w:rPr/>
        <w:t>(UM- SCR).</w:t>
      </w:r>
    </w:p>
    <w:p>
      <w:pPr>
        <w:pStyle w:val="BodyText"/>
        <w:spacing w:before="1"/>
        <w:ind w:left="179"/>
        <w:jc w:val="both"/>
      </w:pPr>
      <w:r>
        <w:rPr/>
        <w:t>(L&amp;R, 1990, p. 93)</w:t>
      </w:r>
    </w:p>
    <w:p>
      <w:pPr>
        <w:pStyle w:val="BodyText"/>
        <w:spacing w:before="10"/>
      </w:pPr>
    </w:p>
    <w:p>
      <w:pPr>
        <w:pStyle w:val="Heading1"/>
        <w:jc w:val="both"/>
      </w:pPr>
      <w:r>
        <w:rPr/>
        <w:t>Background</w:t>
      </w:r>
    </w:p>
    <w:p>
      <w:pPr>
        <w:pStyle w:val="BodyText"/>
        <w:spacing w:before="8"/>
        <w:rPr>
          <w:b/>
        </w:rPr>
      </w:pPr>
    </w:p>
    <w:p>
      <w:pPr>
        <w:pStyle w:val="BodyText"/>
        <w:ind w:left="179" w:right="416"/>
        <w:jc w:val="both"/>
      </w:pPr>
      <w:r>
        <w:rPr/>
        <w:t>Many</w:t>
      </w:r>
      <w:r>
        <w:rPr>
          <w:spacing w:val="-13"/>
        </w:rPr>
        <w:t> </w:t>
      </w:r>
      <w:r>
        <w:rPr/>
        <w:t>food</w:t>
      </w:r>
      <w:r>
        <w:rPr>
          <w:spacing w:val="-11"/>
        </w:rPr>
        <w:t> </w:t>
      </w:r>
      <w:r>
        <w:rPr/>
        <w:t>products</w:t>
      </w:r>
      <w:r>
        <w:rPr>
          <w:spacing w:val="-12"/>
        </w:rPr>
        <w:t> </w:t>
      </w:r>
      <w:r>
        <w:rPr/>
        <w:t>are</w:t>
      </w:r>
      <w:r>
        <w:rPr>
          <w:spacing w:val="-9"/>
        </w:rPr>
        <w:t> </w:t>
      </w:r>
      <w:r>
        <w:rPr/>
        <w:t>made</w:t>
      </w:r>
      <w:r>
        <w:rPr>
          <w:spacing w:val="-9"/>
        </w:rPr>
        <w:t> </w:t>
      </w:r>
      <w:r>
        <w:rPr/>
        <w:t>by</w:t>
      </w:r>
      <w:r>
        <w:rPr>
          <w:spacing w:val="-13"/>
        </w:rPr>
        <w:t> </w:t>
      </w:r>
      <w:r>
        <w:rPr/>
        <w:t>the</w:t>
      </w:r>
      <w:r>
        <w:rPr>
          <w:spacing w:val="-11"/>
        </w:rPr>
        <w:t> </w:t>
      </w:r>
      <w:r>
        <w:rPr/>
        <w:t>retail</w:t>
      </w:r>
      <w:r>
        <w:rPr>
          <w:spacing w:val="-12"/>
        </w:rPr>
        <w:t> </w:t>
      </w:r>
      <w:r>
        <w:rPr/>
        <w:t>store</w:t>
      </w:r>
      <w:r>
        <w:rPr>
          <w:spacing w:val="-11"/>
        </w:rPr>
        <w:t> </w:t>
      </w:r>
      <w:r>
        <w:rPr/>
        <w:t>and</w:t>
      </w:r>
      <w:r>
        <w:rPr>
          <w:spacing w:val="-10"/>
        </w:rPr>
        <w:t> </w:t>
      </w:r>
      <w:r>
        <w:rPr/>
        <w:t>labeled</w:t>
      </w:r>
      <w:r>
        <w:rPr>
          <w:spacing w:val="-8"/>
        </w:rPr>
        <w:t> </w:t>
      </w:r>
      <w:r>
        <w:rPr/>
        <w:t>with</w:t>
      </w:r>
      <w:r>
        <w:rPr>
          <w:spacing w:val="-11"/>
        </w:rPr>
        <w:t> </w:t>
      </w:r>
      <w:r>
        <w:rPr/>
        <w:t>names</w:t>
      </w:r>
      <w:r>
        <w:rPr>
          <w:spacing w:val="-12"/>
        </w:rPr>
        <w:t> </w:t>
      </w:r>
      <w:r>
        <w:rPr/>
        <w:t>that</w:t>
      </w:r>
      <w:r>
        <w:rPr>
          <w:spacing w:val="-9"/>
        </w:rPr>
        <w:t> </w:t>
      </w:r>
      <w:r>
        <w:rPr/>
        <w:t>may</w:t>
      </w:r>
      <w:r>
        <w:rPr>
          <w:spacing w:val="-13"/>
        </w:rPr>
        <w:t> </w:t>
      </w:r>
      <w:r>
        <w:rPr/>
        <w:t>or</w:t>
      </w:r>
      <w:r>
        <w:rPr>
          <w:spacing w:val="-8"/>
        </w:rPr>
        <w:t> </w:t>
      </w:r>
      <w:r>
        <w:rPr/>
        <w:t>may</w:t>
      </w:r>
      <w:r>
        <w:rPr>
          <w:spacing w:val="-10"/>
        </w:rPr>
        <w:t> </w:t>
      </w:r>
      <w:r>
        <w:rPr/>
        <w:t>not</w:t>
      </w:r>
      <w:r>
        <w:rPr>
          <w:spacing w:val="-12"/>
        </w:rPr>
        <w:t> </w:t>
      </w:r>
      <w:r>
        <w:rPr/>
        <w:t>have</w:t>
      </w:r>
      <w:r>
        <w:rPr>
          <w:spacing w:val="-9"/>
        </w:rPr>
        <w:t> </w:t>
      </w:r>
      <w:r>
        <w:rPr/>
        <w:t>standards</w:t>
      </w:r>
      <w:r>
        <w:rPr>
          <w:spacing w:val="-12"/>
        </w:rPr>
        <w:t> </w:t>
      </w:r>
      <w:r>
        <w:rPr/>
        <w:t>of</w:t>
      </w:r>
      <w:r>
        <w:rPr>
          <w:spacing w:val="-13"/>
        </w:rPr>
        <w:t> </w:t>
      </w:r>
      <w:r>
        <w:rPr/>
        <w:t>identity or</w:t>
      </w:r>
      <w:r>
        <w:rPr>
          <w:spacing w:val="-9"/>
        </w:rPr>
        <w:t> </w:t>
      </w:r>
      <w:r>
        <w:rPr/>
        <w:t>standards</w:t>
      </w:r>
      <w:r>
        <w:rPr>
          <w:spacing w:val="-11"/>
        </w:rPr>
        <w:t> </w:t>
      </w:r>
      <w:r>
        <w:rPr/>
        <w:t>of</w:t>
      </w:r>
      <w:r>
        <w:rPr>
          <w:spacing w:val="-11"/>
        </w:rPr>
        <w:t> </w:t>
      </w:r>
      <w:r>
        <w:rPr/>
        <w:t>composition</w:t>
      </w:r>
      <w:r>
        <w:rPr>
          <w:spacing w:val="-11"/>
        </w:rPr>
        <w:t> </w:t>
      </w:r>
      <w:r>
        <w:rPr/>
        <w:t>in</w:t>
      </w:r>
      <w:r>
        <w:rPr>
          <w:spacing w:val="-8"/>
        </w:rPr>
        <w:t> </w:t>
      </w:r>
      <w:r>
        <w:rPr/>
        <w:t>federal</w:t>
      </w:r>
      <w:r>
        <w:rPr>
          <w:spacing w:val="-10"/>
        </w:rPr>
        <w:t> </w:t>
      </w:r>
      <w:r>
        <w:rPr/>
        <w:t>regulation</w:t>
      </w:r>
      <w:r>
        <w:rPr>
          <w:spacing w:val="-10"/>
        </w:rPr>
        <w:t> </w:t>
      </w:r>
      <w:r>
        <w:rPr/>
        <w:t>or</w:t>
      </w:r>
      <w:r>
        <w:rPr>
          <w:spacing w:val="-9"/>
        </w:rPr>
        <w:t> </w:t>
      </w:r>
      <w:r>
        <w:rPr/>
        <w:t>policy</w:t>
      </w:r>
      <w:r>
        <w:rPr>
          <w:spacing w:val="-13"/>
        </w:rPr>
        <w:t> </w:t>
      </w:r>
      <w:r>
        <w:rPr/>
        <w:t>(for</w:t>
      </w:r>
      <w:r>
        <w:rPr>
          <w:spacing w:val="-9"/>
        </w:rPr>
        <w:t> </w:t>
      </w:r>
      <w:r>
        <w:rPr/>
        <w:t>example,</w:t>
      </w:r>
      <w:r>
        <w:rPr>
          <w:spacing w:val="-9"/>
        </w:rPr>
        <w:t> </w:t>
      </w:r>
      <w:r>
        <w:rPr/>
        <w:t>chicken</w:t>
      </w:r>
      <w:r>
        <w:rPr>
          <w:spacing w:val="-11"/>
        </w:rPr>
        <w:t> </w:t>
      </w:r>
      <w:r>
        <w:rPr/>
        <w:t>cordon</w:t>
      </w:r>
      <w:r>
        <w:rPr>
          <w:spacing w:val="-11"/>
        </w:rPr>
        <w:t> </w:t>
      </w:r>
      <w:r>
        <w:rPr/>
        <w:t>bleu).</w:t>
      </w:r>
      <w:r>
        <w:rPr>
          <w:spacing w:val="32"/>
        </w:rPr>
        <w:t> </w:t>
      </w:r>
      <w:r>
        <w:rPr/>
        <w:t>Weights</w:t>
      </w:r>
      <w:r>
        <w:rPr>
          <w:spacing w:val="-10"/>
        </w:rPr>
        <w:t> </w:t>
      </w:r>
      <w:r>
        <w:rPr/>
        <w:t>and</w:t>
      </w:r>
      <w:r>
        <w:rPr>
          <w:spacing w:val="-7"/>
        </w:rPr>
        <w:t> </w:t>
      </w:r>
      <w:r>
        <w:rPr/>
        <w:t>measures officials need to know which names have standards of identity that must be followed in formulating the product and, therefore, in providing the ingredient</w:t>
      </w:r>
      <w:r>
        <w:rPr>
          <w:spacing w:val="-3"/>
        </w:rPr>
        <w:t> </w:t>
      </w:r>
      <w:r>
        <w:rPr/>
        <w:t>statement.</w:t>
      </w:r>
    </w:p>
    <w:p>
      <w:pPr>
        <w:pStyle w:val="BodyText"/>
        <w:rPr>
          <w:sz w:val="21"/>
        </w:rPr>
      </w:pPr>
    </w:p>
    <w:p>
      <w:pPr>
        <w:pStyle w:val="Heading1"/>
        <w:jc w:val="both"/>
      </w:pPr>
      <w:r>
        <w:rPr/>
        <w:t>Food Standards</w:t>
      </w:r>
    </w:p>
    <w:p>
      <w:pPr>
        <w:pStyle w:val="BodyText"/>
        <w:spacing w:before="10"/>
        <w:rPr>
          <w:b/>
        </w:rPr>
      </w:pPr>
    </w:p>
    <w:p>
      <w:pPr>
        <w:pStyle w:val="BodyText"/>
        <w:spacing w:before="1"/>
        <w:ind w:left="179" w:right="418"/>
        <w:jc w:val="both"/>
      </w:pPr>
      <w:r>
        <w:rPr/>
        <w:t>The U.S. Department of Agriculture’s Food Safety and Inspection Service (USDA - FSIS) and the U.S. Department of</w:t>
      </w:r>
      <w:r>
        <w:rPr>
          <w:spacing w:val="-8"/>
        </w:rPr>
        <w:t> </w:t>
      </w:r>
      <w:r>
        <w:rPr/>
        <w:t>Health</w:t>
      </w:r>
      <w:r>
        <w:rPr>
          <w:spacing w:val="-8"/>
        </w:rPr>
        <w:t> </w:t>
      </w:r>
      <w:r>
        <w:rPr/>
        <w:t>and</w:t>
      </w:r>
      <w:r>
        <w:rPr>
          <w:spacing w:val="-6"/>
        </w:rPr>
        <w:t> </w:t>
      </w:r>
      <w:r>
        <w:rPr/>
        <w:t>Human</w:t>
      </w:r>
      <w:r>
        <w:rPr>
          <w:spacing w:val="-5"/>
        </w:rPr>
        <w:t> </w:t>
      </w:r>
      <w:r>
        <w:rPr/>
        <w:t>Services’</w:t>
      </w:r>
      <w:r>
        <w:rPr>
          <w:spacing w:val="-8"/>
        </w:rPr>
        <w:t> </w:t>
      </w:r>
      <w:r>
        <w:rPr/>
        <w:t>FDA</w:t>
      </w:r>
      <w:r>
        <w:rPr>
          <w:spacing w:val="-9"/>
        </w:rPr>
        <w:t> </w:t>
      </w:r>
      <w:r>
        <w:rPr/>
        <w:t>share</w:t>
      </w:r>
      <w:r>
        <w:rPr>
          <w:spacing w:val="-6"/>
        </w:rPr>
        <w:t> </w:t>
      </w:r>
      <w:r>
        <w:rPr/>
        <w:t>the</w:t>
      </w:r>
      <w:r>
        <w:rPr>
          <w:spacing w:val="-5"/>
        </w:rPr>
        <w:t> </w:t>
      </w:r>
      <w:r>
        <w:rPr/>
        <w:t>responsibility</w:t>
      </w:r>
      <w:r>
        <w:rPr>
          <w:spacing w:val="-6"/>
        </w:rPr>
        <w:t> </w:t>
      </w:r>
      <w:r>
        <w:rPr/>
        <w:t>of</w:t>
      </w:r>
      <w:r>
        <w:rPr>
          <w:spacing w:val="-8"/>
        </w:rPr>
        <w:t> </w:t>
      </w:r>
      <w:r>
        <w:rPr/>
        <w:t>assuring</w:t>
      </w:r>
      <w:r>
        <w:rPr>
          <w:spacing w:val="-6"/>
        </w:rPr>
        <w:t> </w:t>
      </w:r>
      <w:r>
        <w:rPr/>
        <w:t>truthful</w:t>
      </w:r>
      <w:r>
        <w:rPr>
          <w:spacing w:val="-6"/>
        </w:rPr>
        <w:t> </w:t>
      </w:r>
      <w:r>
        <w:rPr/>
        <w:t>and</w:t>
      </w:r>
      <w:r>
        <w:rPr>
          <w:spacing w:val="-6"/>
        </w:rPr>
        <w:t> </w:t>
      </w:r>
      <w:r>
        <w:rPr/>
        <w:t>accurate</w:t>
      </w:r>
      <w:r>
        <w:rPr>
          <w:spacing w:val="-6"/>
        </w:rPr>
        <w:t> </w:t>
      </w:r>
      <w:r>
        <w:rPr/>
        <w:t>information</w:t>
      </w:r>
      <w:r>
        <w:rPr>
          <w:spacing w:val="-8"/>
        </w:rPr>
        <w:t> </w:t>
      </w:r>
      <w:r>
        <w:rPr/>
        <w:t>on</w:t>
      </w:r>
      <w:r>
        <w:rPr>
          <w:spacing w:val="-7"/>
        </w:rPr>
        <w:t> </w:t>
      </w:r>
      <w:r>
        <w:rPr/>
        <w:t>product labels. USDA - FSIS has responsibility for the development and application of the labeling requirements applicable to</w:t>
      </w:r>
      <w:r>
        <w:rPr>
          <w:spacing w:val="-6"/>
        </w:rPr>
        <w:t> </w:t>
      </w:r>
      <w:r>
        <w:rPr/>
        <w:t>meat</w:t>
      </w:r>
      <w:r>
        <w:rPr>
          <w:spacing w:val="-9"/>
        </w:rPr>
        <w:t> </w:t>
      </w:r>
      <w:r>
        <w:rPr/>
        <w:t>and</w:t>
      </w:r>
      <w:r>
        <w:rPr>
          <w:spacing w:val="-8"/>
        </w:rPr>
        <w:t> </w:t>
      </w:r>
      <w:r>
        <w:rPr/>
        <w:t>poultry</w:t>
      </w:r>
      <w:r>
        <w:rPr>
          <w:spacing w:val="-10"/>
        </w:rPr>
        <w:t> </w:t>
      </w:r>
      <w:r>
        <w:rPr/>
        <w:t>products</w:t>
      </w:r>
      <w:r>
        <w:rPr>
          <w:spacing w:val="-10"/>
        </w:rPr>
        <w:t> </w:t>
      </w:r>
      <w:r>
        <w:rPr/>
        <w:t>containing</w:t>
      </w:r>
      <w:r>
        <w:rPr>
          <w:spacing w:val="-8"/>
        </w:rPr>
        <w:t> </w:t>
      </w:r>
      <w:r>
        <w:rPr/>
        <w:t>more</w:t>
      </w:r>
      <w:r>
        <w:rPr>
          <w:spacing w:val="-8"/>
        </w:rPr>
        <w:t> </w:t>
      </w:r>
      <w:r>
        <w:rPr/>
        <w:t>than</w:t>
      </w:r>
      <w:r>
        <w:rPr>
          <w:spacing w:val="-10"/>
        </w:rPr>
        <w:t> </w:t>
      </w:r>
      <w:r>
        <w:rPr/>
        <w:t>3</w:t>
      </w:r>
      <w:r>
        <w:rPr>
          <w:spacing w:val="-1"/>
        </w:rPr>
        <w:t> </w:t>
      </w:r>
      <w:r>
        <w:rPr/>
        <w:t>%</w:t>
      </w:r>
      <w:r>
        <w:rPr>
          <w:spacing w:val="-7"/>
        </w:rPr>
        <w:t> </w:t>
      </w:r>
      <w:r>
        <w:rPr/>
        <w:t>fresh</w:t>
      </w:r>
      <w:r>
        <w:rPr>
          <w:spacing w:val="-6"/>
        </w:rPr>
        <w:t> </w:t>
      </w:r>
      <w:r>
        <w:rPr/>
        <w:t>meat</w:t>
      </w:r>
      <w:r>
        <w:rPr>
          <w:spacing w:val="-9"/>
        </w:rPr>
        <w:t> </w:t>
      </w:r>
      <w:r>
        <w:rPr/>
        <w:t>or</w:t>
      </w:r>
      <w:r>
        <w:rPr>
          <w:spacing w:val="-8"/>
        </w:rPr>
        <w:t> </w:t>
      </w:r>
      <w:r>
        <w:rPr/>
        <w:t>at</w:t>
      </w:r>
      <w:r>
        <w:rPr>
          <w:spacing w:val="-7"/>
        </w:rPr>
        <w:t> </w:t>
      </w:r>
      <w:r>
        <w:rPr/>
        <w:t>least</w:t>
      </w:r>
      <w:r>
        <w:rPr>
          <w:spacing w:val="-7"/>
        </w:rPr>
        <w:t> </w:t>
      </w:r>
      <w:r>
        <w:rPr/>
        <w:t>2</w:t>
      </w:r>
      <w:r>
        <w:rPr>
          <w:spacing w:val="-1"/>
        </w:rPr>
        <w:t> </w:t>
      </w:r>
      <w:r>
        <w:rPr/>
        <w:t>%</w:t>
      </w:r>
      <w:r>
        <w:rPr>
          <w:spacing w:val="-10"/>
        </w:rPr>
        <w:t> </w:t>
      </w:r>
      <w:r>
        <w:rPr/>
        <w:t>cooked</w:t>
      </w:r>
      <w:r>
        <w:rPr>
          <w:spacing w:val="-8"/>
        </w:rPr>
        <w:t> </w:t>
      </w:r>
      <w:r>
        <w:rPr/>
        <w:t>poultry</w:t>
      </w:r>
      <w:r>
        <w:rPr>
          <w:spacing w:val="-8"/>
        </w:rPr>
        <w:t> </w:t>
      </w:r>
      <w:r>
        <w:rPr/>
        <w:t>meat.</w:t>
      </w:r>
      <w:r>
        <w:rPr>
          <w:spacing w:val="36"/>
        </w:rPr>
        <w:t> </w:t>
      </w:r>
      <w:r>
        <w:rPr/>
        <w:t>FDA</w:t>
      </w:r>
      <w:r>
        <w:rPr>
          <w:spacing w:val="-11"/>
        </w:rPr>
        <w:t> </w:t>
      </w:r>
      <w:r>
        <w:rPr/>
        <w:t>oversees the labeling of most other food</w:t>
      </w:r>
      <w:r>
        <w:rPr>
          <w:spacing w:val="1"/>
        </w:rPr>
        <w:t> </w:t>
      </w:r>
      <w:r>
        <w:rPr/>
        <w:t>products.</w:t>
      </w:r>
    </w:p>
    <w:p>
      <w:pPr>
        <w:pStyle w:val="BodyText"/>
        <w:spacing w:before="9"/>
      </w:pPr>
    </w:p>
    <w:p>
      <w:pPr>
        <w:pStyle w:val="Heading1"/>
        <w:jc w:val="both"/>
      </w:pPr>
      <w:r>
        <w:rPr/>
        <w:t>USDA Standards of Identity and Composition</w:t>
      </w:r>
    </w:p>
    <w:p>
      <w:pPr>
        <w:pStyle w:val="BodyText"/>
        <w:spacing w:before="8"/>
        <w:rPr>
          <w:b/>
        </w:rPr>
      </w:pPr>
    </w:p>
    <w:p>
      <w:pPr>
        <w:pStyle w:val="BodyText"/>
        <w:ind w:left="179" w:right="416"/>
        <w:jc w:val="both"/>
      </w:pPr>
      <w:r>
        <w:rPr/>
        <w:t>USDA has statutory authority to establish standards of identity for meat and poultry products. A standard of identity prescribes</w:t>
      </w:r>
      <w:r>
        <w:rPr>
          <w:spacing w:val="-6"/>
        </w:rPr>
        <w:t> </w:t>
      </w:r>
      <w:r>
        <w:rPr/>
        <w:t>a</w:t>
      </w:r>
      <w:r>
        <w:rPr>
          <w:spacing w:val="-5"/>
        </w:rPr>
        <w:t> </w:t>
      </w:r>
      <w:r>
        <w:rPr/>
        <w:t>manner</w:t>
      </w:r>
      <w:r>
        <w:rPr>
          <w:spacing w:val="-5"/>
        </w:rPr>
        <w:t> </w:t>
      </w:r>
      <w:r>
        <w:rPr/>
        <w:t>of</w:t>
      </w:r>
      <w:r>
        <w:rPr>
          <w:spacing w:val="-7"/>
        </w:rPr>
        <w:t> </w:t>
      </w:r>
      <w:r>
        <w:rPr/>
        <w:t>preparation</w:t>
      </w:r>
      <w:r>
        <w:rPr>
          <w:spacing w:val="-7"/>
        </w:rPr>
        <w:t> </w:t>
      </w:r>
      <w:r>
        <w:rPr/>
        <w:t>and</w:t>
      </w:r>
      <w:r>
        <w:rPr>
          <w:spacing w:val="-4"/>
        </w:rPr>
        <w:t> </w:t>
      </w:r>
      <w:r>
        <w:rPr/>
        <w:t>the</w:t>
      </w:r>
      <w:r>
        <w:rPr>
          <w:spacing w:val="-5"/>
        </w:rPr>
        <w:t> </w:t>
      </w:r>
      <w:r>
        <w:rPr/>
        <w:t>ingredients</w:t>
      </w:r>
      <w:r>
        <w:rPr>
          <w:spacing w:val="-6"/>
        </w:rPr>
        <w:t> </w:t>
      </w:r>
      <w:r>
        <w:rPr/>
        <w:t>of</w:t>
      </w:r>
      <w:r>
        <w:rPr>
          <w:spacing w:val="-7"/>
        </w:rPr>
        <w:t> </w:t>
      </w:r>
      <w:r>
        <w:rPr/>
        <w:t>a</w:t>
      </w:r>
      <w:r>
        <w:rPr>
          <w:spacing w:val="-5"/>
        </w:rPr>
        <w:t> </w:t>
      </w:r>
      <w:r>
        <w:rPr/>
        <w:t>product</w:t>
      </w:r>
      <w:r>
        <w:rPr>
          <w:spacing w:val="-6"/>
        </w:rPr>
        <w:t> </w:t>
      </w:r>
      <w:r>
        <w:rPr/>
        <w:t>that</w:t>
      </w:r>
      <w:r>
        <w:rPr>
          <w:spacing w:val="-6"/>
        </w:rPr>
        <w:t> </w:t>
      </w:r>
      <w:r>
        <w:rPr/>
        <w:t>is</w:t>
      </w:r>
      <w:r>
        <w:rPr>
          <w:spacing w:val="-6"/>
        </w:rPr>
        <w:t> </w:t>
      </w:r>
      <w:r>
        <w:rPr/>
        <w:t>labeled</w:t>
      </w:r>
      <w:r>
        <w:rPr>
          <w:spacing w:val="-4"/>
        </w:rPr>
        <w:t> </w:t>
      </w:r>
      <w:r>
        <w:rPr/>
        <w:t>with</w:t>
      </w:r>
      <w:r>
        <w:rPr>
          <w:spacing w:val="-7"/>
        </w:rPr>
        <w:t> </w:t>
      </w:r>
      <w:r>
        <w:rPr/>
        <w:t>a</w:t>
      </w:r>
      <w:r>
        <w:rPr>
          <w:spacing w:val="-5"/>
        </w:rPr>
        <w:t> </w:t>
      </w:r>
      <w:r>
        <w:rPr/>
        <w:t>particular</w:t>
      </w:r>
      <w:r>
        <w:rPr>
          <w:spacing w:val="-5"/>
        </w:rPr>
        <w:t> </w:t>
      </w:r>
      <w:r>
        <w:rPr/>
        <w:t>name.</w:t>
      </w:r>
      <w:r>
        <w:rPr>
          <w:spacing w:val="40"/>
        </w:rPr>
        <w:t> </w:t>
      </w:r>
      <w:r>
        <w:rPr/>
        <w:t>A</w:t>
      </w:r>
      <w:r>
        <w:rPr>
          <w:spacing w:val="-8"/>
        </w:rPr>
        <w:t> </w:t>
      </w:r>
      <w:r>
        <w:rPr/>
        <w:t>food</w:t>
      </w:r>
      <w:r>
        <w:rPr>
          <w:spacing w:val="-5"/>
        </w:rPr>
        <w:t> </w:t>
      </w:r>
      <w:r>
        <w:rPr/>
        <w:t>that bears</w:t>
      </w:r>
      <w:r>
        <w:rPr>
          <w:spacing w:val="-6"/>
        </w:rPr>
        <w:t> </w:t>
      </w:r>
      <w:r>
        <w:rPr/>
        <w:t>the</w:t>
      </w:r>
      <w:r>
        <w:rPr>
          <w:spacing w:val="-2"/>
        </w:rPr>
        <w:t> </w:t>
      </w:r>
      <w:r>
        <w:rPr/>
        <w:t>name</w:t>
      </w:r>
      <w:r>
        <w:rPr>
          <w:spacing w:val="-5"/>
        </w:rPr>
        <w:t> </w:t>
      </w:r>
      <w:r>
        <w:rPr/>
        <w:t>of</w:t>
      </w:r>
      <w:r>
        <w:rPr>
          <w:spacing w:val="-6"/>
        </w:rPr>
        <w:t> </w:t>
      </w:r>
      <w:r>
        <w:rPr/>
        <w:t>a</w:t>
      </w:r>
      <w:r>
        <w:rPr>
          <w:spacing w:val="-2"/>
        </w:rPr>
        <w:t> </w:t>
      </w:r>
      <w:r>
        <w:rPr/>
        <w:t>standardized</w:t>
      </w:r>
      <w:r>
        <w:rPr>
          <w:spacing w:val="-4"/>
        </w:rPr>
        <w:t> </w:t>
      </w:r>
      <w:r>
        <w:rPr/>
        <w:t>food</w:t>
      </w:r>
      <w:r>
        <w:rPr>
          <w:spacing w:val="-3"/>
        </w:rPr>
        <w:t> </w:t>
      </w:r>
      <w:r>
        <w:rPr/>
        <w:t>that</w:t>
      </w:r>
      <w:r>
        <w:rPr>
          <w:spacing w:val="-6"/>
        </w:rPr>
        <w:t> </w:t>
      </w:r>
      <w:r>
        <w:rPr/>
        <w:t>does</w:t>
      </w:r>
      <w:r>
        <w:rPr>
          <w:spacing w:val="-5"/>
        </w:rPr>
        <w:t> </w:t>
      </w:r>
      <w:r>
        <w:rPr/>
        <w:t>not</w:t>
      </w:r>
      <w:r>
        <w:rPr>
          <w:spacing w:val="-2"/>
        </w:rPr>
        <w:t> </w:t>
      </w:r>
      <w:r>
        <w:rPr/>
        <w:t>satisfy</w:t>
      </w:r>
      <w:r>
        <w:rPr>
          <w:spacing w:val="-7"/>
        </w:rPr>
        <w:t> </w:t>
      </w:r>
      <w:r>
        <w:rPr/>
        <w:t>the</w:t>
      </w:r>
      <w:r>
        <w:rPr>
          <w:spacing w:val="-4"/>
        </w:rPr>
        <w:t> </w:t>
      </w:r>
      <w:r>
        <w:rPr/>
        <w:t>requirements</w:t>
      </w:r>
      <w:r>
        <w:rPr>
          <w:spacing w:val="-5"/>
        </w:rPr>
        <w:t> </w:t>
      </w:r>
      <w:r>
        <w:rPr/>
        <w:t>of</w:t>
      </w:r>
      <w:r>
        <w:rPr>
          <w:spacing w:val="-7"/>
        </w:rPr>
        <w:t> </w:t>
      </w:r>
      <w:r>
        <w:rPr/>
        <w:t>the</w:t>
      </w:r>
      <w:r>
        <w:rPr>
          <w:spacing w:val="-4"/>
        </w:rPr>
        <w:t> </w:t>
      </w:r>
      <w:r>
        <w:rPr/>
        <w:t>applicable</w:t>
      </w:r>
      <w:r>
        <w:rPr>
          <w:spacing w:val="-4"/>
        </w:rPr>
        <w:t> </w:t>
      </w:r>
      <w:r>
        <w:rPr/>
        <w:t>standard</w:t>
      </w:r>
      <w:r>
        <w:rPr>
          <w:spacing w:val="-4"/>
        </w:rPr>
        <w:t> </w:t>
      </w:r>
      <w:r>
        <w:rPr/>
        <w:t>is</w:t>
      </w:r>
      <w:r>
        <w:rPr>
          <w:spacing w:val="-3"/>
        </w:rPr>
        <w:t> </w:t>
      </w:r>
      <w:r>
        <w:rPr/>
        <w:t>misbranded. Examples of standardized products include: “Ham,” “Ham Water Added,” “Hot Dogs,” “Chicken and Noodles,” and “Spaghetti Sauce with</w:t>
      </w:r>
      <w:r>
        <w:rPr>
          <w:spacing w:val="1"/>
        </w:rPr>
        <w:t> </w:t>
      </w:r>
      <w:r>
        <w:rPr/>
        <w:t>Meatballs.”</w:t>
      </w:r>
    </w:p>
    <w:p>
      <w:pPr>
        <w:pStyle w:val="BodyText"/>
        <w:spacing w:before="1"/>
        <w:rPr>
          <w:sz w:val="21"/>
        </w:rPr>
      </w:pPr>
    </w:p>
    <w:p>
      <w:pPr>
        <w:pStyle w:val="BodyText"/>
        <w:ind w:left="179" w:right="419"/>
        <w:jc w:val="both"/>
      </w:pPr>
      <w:r>
        <w:rPr/>
        <w:t>Almost all standards enforced by FSIS are called “standards of composition.” These standards identify the minimum amount of meat or poultry required in a product’s recipe. For example, the standard of composition for “beef a la king” states that, if a product carries this name on its label, at least 20 % cooked beef must be used in the recipe.</w:t>
      </w:r>
    </w:p>
    <w:p>
      <w:pPr>
        <w:pStyle w:val="BodyText"/>
        <w:spacing w:before="9"/>
      </w:pPr>
    </w:p>
    <w:p>
      <w:pPr>
        <w:pStyle w:val="BodyText"/>
        <w:ind w:left="179" w:right="349"/>
        <w:rPr>
          <w:b/>
        </w:rPr>
      </w:pPr>
      <w:r>
        <w:rPr/>
        <w:t>But standards of composition do not prevent a manufacturer from increasing the meat or poultry content or adding other ingredients to increase a product’s appeal. For instance, a processor has the option of using more than the required amount of beef in beef a la king and adding other ingredients to make the product unique</w:t>
      </w:r>
      <w:r>
        <w:rPr>
          <w:b/>
        </w:rPr>
        <w:t>. </w:t>
      </w:r>
      <w:r>
        <w:rPr/>
        <w:t>A listing of meat and poultry content and labeling requirement including terms that are further defined can be found in the USDA FSIS Food Standards and Labeling Policy book which is available at</w:t>
      </w:r>
      <w:r>
        <w:rPr>
          <w:b/>
        </w:rPr>
        <w:t>: www</w:t>
      </w:r>
      <w:hyperlink r:id="rId9">
        <w:r>
          <w:rPr>
            <w:b/>
          </w:rPr>
          <w:t>.fsis.usda.gov/wps/portal/fsis/topics/regula-</w:t>
        </w:r>
      </w:hyperlink>
      <w:r>
        <w:rPr>
          <w:b/>
        </w:rPr>
        <w:t> </w:t>
      </w:r>
      <w:hyperlink r:id="rId9">
        <w:r>
          <w:rPr>
            <w:b/>
          </w:rPr>
          <w:t>tory-compliance/labeling/Labeling-Policies</w:t>
        </w:r>
      </w:hyperlink>
    </w:p>
    <w:p>
      <w:pPr>
        <w:pStyle w:val="BodyText"/>
        <w:spacing w:before="10"/>
        <w:rPr>
          <w:b/>
        </w:rPr>
      </w:pPr>
    </w:p>
    <w:p>
      <w:pPr>
        <w:pStyle w:val="Heading1"/>
        <w:spacing w:before="1"/>
        <w:jc w:val="both"/>
      </w:pPr>
      <w:r>
        <w:rPr/>
        <w:t>Label Approval</w:t>
      </w:r>
    </w:p>
    <w:p>
      <w:pPr>
        <w:pStyle w:val="BodyText"/>
        <w:spacing w:before="10"/>
        <w:rPr>
          <w:b/>
        </w:rPr>
      </w:pPr>
    </w:p>
    <w:p>
      <w:pPr>
        <w:pStyle w:val="BodyText"/>
        <w:ind w:left="179" w:right="417"/>
        <w:jc w:val="both"/>
      </w:pPr>
      <w:r>
        <w:rPr/>
        <w:t>Food manufacturers are responsible for compliance with the FSIS labeling rules and adherence to the process main- tained by FSIS for the evaluation and approval of meat and poultry product labels. This Guide provides the basic</w:t>
      </w:r>
    </w:p>
    <w:p>
      <w:pPr>
        <w:spacing w:after="0"/>
        <w:jc w:val="both"/>
        <w:sectPr>
          <w:pgSz w:w="12240" w:h="15840"/>
          <w:pgMar w:header="730" w:footer="740" w:top="1340" w:bottom="940" w:left="1260" w:right="1020"/>
        </w:sectPr>
      </w:pPr>
    </w:p>
    <w:p>
      <w:pPr>
        <w:pStyle w:val="BodyText"/>
        <w:spacing w:before="1"/>
        <w:rPr>
          <w:sz w:val="17"/>
        </w:rPr>
      </w:pPr>
    </w:p>
    <w:p>
      <w:pPr>
        <w:spacing w:before="91"/>
        <w:ind w:left="179" w:right="418" w:firstLine="0"/>
        <w:jc w:val="left"/>
        <w:rPr>
          <w:b/>
          <w:sz w:val="20"/>
        </w:rPr>
      </w:pPr>
      <w:bookmarkStart w:name="_bookmark4" w:id="6"/>
      <w:bookmarkEnd w:id="6"/>
      <w:r>
        <w:rPr/>
      </w:r>
      <w:r>
        <w:rPr>
          <w:sz w:val="20"/>
        </w:rPr>
        <w:t>information</w:t>
      </w:r>
      <w:r>
        <w:rPr>
          <w:spacing w:val="-8"/>
          <w:sz w:val="20"/>
        </w:rPr>
        <w:t> </w:t>
      </w:r>
      <w:r>
        <w:rPr>
          <w:sz w:val="20"/>
        </w:rPr>
        <w:t>necessary</w:t>
      </w:r>
      <w:r>
        <w:rPr>
          <w:spacing w:val="-11"/>
          <w:sz w:val="20"/>
        </w:rPr>
        <w:t> </w:t>
      </w:r>
      <w:r>
        <w:rPr>
          <w:sz w:val="20"/>
        </w:rPr>
        <w:t>to</w:t>
      </w:r>
      <w:r>
        <w:rPr>
          <w:spacing w:val="-7"/>
          <w:sz w:val="20"/>
        </w:rPr>
        <w:t> </w:t>
      </w:r>
      <w:r>
        <w:rPr>
          <w:sz w:val="20"/>
        </w:rPr>
        <w:t>devise</w:t>
      </w:r>
      <w:r>
        <w:rPr>
          <w:spacing w:val="-7"/>
          <w:sz w:val="20"/>
        </w:rPr>
        <w:t> </w:t>
      </w:r>
      <w:r>
        <w:rPr>
          <w:sz w:val="20"/>
        </w:rPr>
        <w:t>a</w:t>
      </w:r>
      <w:r>
        <w:rPr>
          <w:spacing w:val="-7"/>
          <w:sz w:val="20"/>
        </w:rPr>
        <w:t> </w:t>
      </w:r>
      <w:r>
        <w:rPr>
          <w:sz w:val="20"/>
        </w:rPr>
        <w:t>label</w:t>
      </w:r>
      <w:r>
        <w:rPr>
          <w:spacing w:val="-8"/>
          <w:sz w:val="20"/>
        </w:rPr>
        <w:t> </w:t>
      </w:r>
      <w:r>
        <w:rPr>
          <w:sz w:val="20"/>
        </w:rPr>
        <w:t>for</w:t>
      </w:r>
      <w:r>
        <w:rPr>
          <w:spacing w:val="-7"/>
          <w:sz w:val="20"/>
        </w:rPr>
        <w:t> </w:t>
      </w:r>
      <w:r>
        <w:rPr>
          <w:sz w:val="20"/>
        </w:rPr>
        <w:t>meat</w:t>
      </w:r>
      <w:r>
        <w:rPr>
          <w:spacing w:val="-8"/>
          <w:sz w:val="20"/>
        </w:rPr>
        <w:t> </w:t>
      </w:r>
      <w:r>
        <w:rPr>
          <w:sz w:val="20"/>
        </w:rPr>
        <w:t>and</w:t>
      </w:r>
      <w:r>
        <w:rPr>
          <w:spacing w:val="-8"/>
          <w:sz w:val="20"/>
        </w:rPr>
        <w:t> </w:t>
      </w:r>
      <w:r>
        <w:rPr>
          <w:sz w:val="20"/>
        </w:rPr>
        <w:t>poultry</w:t>
      </w:r>
      <w:r>
        <w:rPr>
          <w:spacing w:val="-9"/>
          <w:sz w:val="20"/>
        </w:rPr>
        <w:t> </w:t>
      </w:r>
      <w:r>
        <w:rPr>
          <w:sz w:val="20"/>
        </w:rPr>
        <w:t>products</w:t>
      </w:r>
      <w:r>
        <w:rPr>
          <w:spacing w:val="-9"/>
          <w:sz w:val="20"/>
        </w:rPr>
        <w:t> </w:t>
      </w:r>
      <w:r>
        <w:rPr>
          <w:sz w:val="20"/>
        </w:rPr>
        <w:t>and</w:t>
      </w:r>
      <w:r>
        <w:rPr>
          <w:spacing w:val="-7"/>
          <w:sz w:val="20"/>
        </w:rPr>
        <w:t> </w:t>
      </w:r>
      <w:r>
        <w:rPr>
          <w:sz w:val="20"/>
        </w:rPr>
        <w:t>to</w:t>
      </w:r>
      <w:r>
        <w:rPr>
          <w:spacing w:val="-7"/>
          <w:sz w:val="20"/>
        </w:rPr>
        <w:t> </w:t>
      </w:r>
      <w:r>
        <w:rPr>
          <w:sz w:val="20"/>
        </w:rPr>
        <w:t>understand</w:t>
      </w:r>
      <w:r>
        <w:rPr>
          <w:spacing w:val="-7"/>
          <w:sz w:val="20"/>
        </w:rPr>
        <w:t> </w:t>
      </w:r>
      <w:r>
        <w:rPr>
          <w:sz w:val="20"/>
        </w:rPr>
        <w:t>the</w:t>
      </w:r>
      <w:r>
        <w:rPr>
          <w:spacing w:val="-5"/>
          <w:sz w:val="20"/>
        </w:rPr>
        <w:t> </w:t>
      </w:r>
      <w:r>
        <w:rPr>
          <w:sz w:val="20"/>
        </w:rPr>
        <w:t>regulatory</w:t>
      </w:r>
      <w:r>
        <w:rPr>
          <w:spacing w:val="-11"/>
          <w:sz w:val="20"/>
        </w:rPr>
        <w:t> </w:t>
      </w:r>
      <w:r>
        <w:rPr>
          <w:sz w:val="20"/>
        </w:rPr>
        <w:t>process</w:t>
      </w:r>
      <w:r>
        <w:rPr>
          <w:spacing w:val="-9"/>
          <w:sz w:val="20"/>
        </w:rPr>
        <w:t> </w:t>
      </w:r>
      <w:r>
        <w:rPr>
          <w:sz w:val="20"/>
        </w:rPr>
        <w:t>admin- istered by FSIS. A Guide to Federal Food Labeling Requirements for Meat and Poultry Products (2007) URL is lo- cated at: </w:t>
      </w:r>
      <w:hyperlink r:id="rId10">
        <w:r>
          <w:rPr>
            <w:b/>
            <w:sz w:val="20"/>
          </w:rPr>
          <w:t>www.fsis.usda.gov/wps/portal/fsis/topics/regulatory-compliance/labeling/labeling-policies/basics-of-</w:t>
        </w:r>
      </w:hyperlink>
      <w:bookmarkStart w:name="_bookmark3" w:id="7"/>
      <w:bookmarkEnd w:id="7"/>
      <w:r>
        <w:rPr>
          <w:b/>
          <w:sz w:val="20"/>
        </w:rPr>
      </w:r>
      <w:r>
        <w:rPr>
          <w:b/>
          <w:sz w:val="20"/>
        </w:rPr>
        <w:t> </w:t>
      </w:r>
      <w:hyperlink r:id="rId10">
        <w:r>
          <w:rPr>
            <w:b/>
            <w:sz w:val="20"/>
          </w:rPr>
          <w:t>labeling/basics-labeling</w:t>
        </w:r>
      </w:hyperlink>
    </w:p>
    <w:p>
      <w:pPr>
        <w:pStyle w:val="BodyText"/>
        <w:spacing w:before="3"/>
        <w:rPr>
          <w:b/>
          <w:sz w:val="31"/>
        </w:rPr>
      </w:pPr>
    </w:p>
    <w:p>
      <w:pPr>
        <w:pStyle w:val="Heading1"/>
        <w:numPr>
          <w:ilvl w:val="2"/>
          <w:numId w:val="6"/>
        </w:numPr>
        <w:tabs>
          <w:tab w:pos="833" w:val="left" w:leader="none"/>
        </w:tabs>
        <w:spacing w:line="240" w:lineRule="auto" w:before="0" w:after="0"/>
        <w:ind w:left="832" w:right="0" w:hanging="653"/>
        <w:jc w:val="left"/>
      </w:pPr>
      <w:r>
        <w:rPr/>
        <w:t>Typewriter and Computer Printer Ribbons and</w:t>
      </w:r>
      <w:r>
        <w:rPr>
          <w:spacing w:val="-5"/>
        </w:rPr>
        <w:t> </w:t>
      </w:r>
      <w:r>
        <w:rPr/>
        <w:t>Tapes.</w:t>
      </w:r>
    </w:p>
    <w:p>
      <w:pPr>
        <w:pStyle w:val="BodyText"/>
        <w:spacing w:before="61"/>
        <w:ind w:left="179"/>
      </w:pPr>
      <w:r>
        <w:rPr/>
        <w:t>(L&amp;R, 1991)</w:t>
      </w:r>
    </w:p>
    <w:p>
      <w:pPr>
        <w:pStyle w:val="BodyText"/>
        <w:spacing w:before="10"/>
      </w:pPr>
    </w:p>
    <w:p>
      <w:pPr>
        <w:pStyle w:val="Heading1"/>
      </w:pPr>
      <w:r>
        <w:rPr/>
        <w:t>Interpretation</w:t>
      </w:r>
    </w:p>
    <w:p>
      <w:pPr>
        <w:pStyle w:val="BodyText"/>
        <w:spacing w:before="10"/>
        <w:rPr>
          <w:b/>
        </w:rPr>
      </w:pPr>
    </w:p>
    <w:p>
      <w:pPr>
        <w:pStyle w:val="BodyText"/>
        <w:ind w:left="179"/>
      </w:pPr>
      <w:r>
        <w:rPr/>
        <w:t>Typewriter and computer printer ribbons must be labeled by length. In addition, character yield information may be disclosed on the principal display panel.</w:t>
      </w:r>
    </w:p>
    <w:p>
      <w:pPr>
        <w:pStyle w:val="BodyText"/>
        <w:spacing w:before="11"/>
      </w:pPr>
    </w:p>
    <w:p>
      <w:pPr>
        <w:pStyle w:val="Heading1"/>
      </w:pPr>
      <w:r>
        <w:rPr/>
        <w:t>Background</w:t>
      </w:r>
    </w:p>
    <w:p>
      <w:pPr>
        <w:pStyle w:val="BodyText"/>
        <w:spacing w:before="8"/>
        <w:rPr>
          <w:b/>
        </w:rPr>
      </w:pPr>
    </w:p>
    <w:p>
      <w:pPr>
        <w:pStyle w:val="BodyText"/>
        <w:ind w:left="179" w:right="418"/>
        <w:jc w:val="both"/>
      </w:pPr>
      <w:r>
        <w:rPr/>
        <w:t>Packages</w:t>
      </w:r>
      <w:r>
        <w:rPr>
          <w:spacing w:val="-13"/>
        </w:rPr>
        <w:t> </w:t>
      </w:r>
      <w:r>
        <w:rPr/>
        <w:t>of</w:t>
      </w:r>
      <w:r>
        <w:rPr>
          <w:spacing w:val="-13"/>
        </w:rPr>
        <w:t> </w:t>
      </w:r>
      <w:r>
        <w:rPr/>
        <w:t>typewriter</w:t>
      </w:r>
      <w:r>
        <w:rPr>
          <w:spacing w:val="-10"/>
        </w:rPr>
        <w:t> </w:t>
      </w:r>
      <w:r>
        <w:rPr/>
        <w:t>and</w:t>
      </w:r>
      <w:r>
        <w:rPr>
          <w:spacing w:val="-10"/>
        </w:rPr>
        <w:t> </w:t>
      </w:r>
      <w:r>
        <w:rPr/>
        <w:t>computer</w:t>
      </w:r>
      <w:r>
        <w:rPr>
          <w:spacing w:val="-10"/>
        </w:rPr>
        <w:t> </w:t>
      </w:r>
      <w:r>
        <w:rPr/>
        <w:t>printer</w:t>
      </w:r>
      <w:r>
        <w:rPr>
          <w:spacing w:val="-11"/>
        </w:rPr>
        <w:t> </w:t>
      </w:r>
      <w:r>
        <w:rPr/>
        <w:t>ribbons</w:t>
      </w:r>
      <w:r>
        <w:rPr>
          <w:spacing w:val="-12"/>
        </w:rPr>
        <w:t> </w:t>
      </w:r>
      <w:r>
        <w:rPr/>
        <w:t>and</w:t>
      </w:r>
      <w:r>
        <w:rPr>
          <w:spacing w:val="-10"/>
        </w:rPr>
        <w:t> </w:t>
      </w:r>
      <w:r>
        <w:rPr/>
        <w:t>tapes</w:t>
      </w:r>
      <w:r>
        <w:rPr>
          <w:spacing w:val="-12"/>
        </w:rPr>
        <w:t> </w:t>
      </w:r>
      <w:r>
        <w:rPr/>
        <w:t>have</w:t>
      </w:r>
      <w:r>
        <w:rPr>
          <w:spacing w:val="-11"/>
        </w:rPr>
        <w:t> </w:t>
      </w:r>
      <w:r>
        <w:rPr/>
        <w:t>been</w:t>
      </w:r>
      <w:r>
        <w:rPr>
          <w:spacing w:val="-13"/>
        </w:rPr>
        <w:t> </w:t>
      </w:r>
      <w:r>
        <w:rPr/>
        <w:t>found</w:t>
      </w:r>
      <w:r>
        <w:rPr>
          <w:spacing w:val="-10"/>
        </w:rPr>
        <w:t> </w:t>
      </w:r>
      <w:r>
        <w:rPr/>
        <w:t>in</w:t>
      </w:r>
      <w:r>
        <w:rPr>
          <w:spacing w:val="-12"/>
        </w:rPr>
        <w:t> </w:t>
      </w:r>
      <w:r>
        <w:rPr/>
        <w:t>the</w:t>
      </w:r>
      <w:r>
        <w:rPr>
          <w:spacing w:val="-8"/>
        </w:rPr>
        <w:t> </w:t>
      </w:r>
      <w:r>
        <w:rPr/>
        <w:t>marketplace</w:t>
      </w:r>
      <w:r>
        <w:rPr>
          <w:spacing w:val="-12"/>
        </w:rPr>
        <w:t> </w:t>
      </w:r>
      <w:r>
        <w:rPr/>
        <w:t>with</w:t>
      </w:r>
      <w:r>
        <w:rPr>
          <w:spacing w:val="-12"/>
        </w:rPr>
        <w:t> </w:t>
      </w:r>
      <w:r>
        <w:rPr/>
        <w:t>no</w:t>
      </w:r>
      <w:r>
        <w:rPr>
          <w:spacing w:val="-10"/>
        </w:rPr>
        <w:t> </w:t>
      </w:r>
      <w:r>
        <w:rPr/>
        <w:t>declaration of</w:t>
      </w:r>
      <w:r>
        <w:rPr>
          <w:spacing w:val="-6"/>
        </w:rPr>
        <w:t> </w:t>
      </w:r>
      <w:r>
        <w:rPr/>
        <w:t>quantity</w:t>
      </w:r>
      <w:r>
        <w:rPr>
          <w:spacing w:val="-8"/>
        </w:rPr>
        <w:t> </w:t>
      </w:r>
      <w:r>
        <w:rPr/>
        <w:t>of</w:t>
      </w:r>
      <w:r>
        <w:rPr>
          <w:spacing w:val="-6"/>
        </w:rPr>
        <w:t> </w:t>
      </w:r>
      <w:r>
        <w:rPr/>
        <w:t>any</w:t>
      </w:r>
      <w:r>
        <w:rPr>
          <w:spacing w:val="-6"/>
        </w:rPr>
        <w:t> </w:t>
      </w:r>
      <w:r>
        <w:rPr/>
        <w:t>kind.</w:t>
      </w:r>
      <w:r>
        <w:rPr>
          <w:spacing w:val="42"/>
        </w:rPr>
        <w:t> </w:t>
      </w:r>
      <w:r>
        <w:rPr/>
        <w:t>There</w:t>
      </w:r>
      <w:r>
        <w:rPr>
          <w:spacing w:val="-6"/>
        </w:rPr>
        <w:t> </w:t>
      </w:r>
      <w:r>
        <w:rPr/>
        <w:t>is</w:t>
      </w:r>
      <w:r>
        <w:rPr>
          <w:spacing w:val="-5"/>
        </w:rPr>
        <w:t> </w:t>
      </w:r>
      <w:r>
        <w:rPr/>
        <w:t>information</w:t>
      </w:r>
      <w:r>
        <w:rPr>
          <w:spacing w:val="-6"/>
        </w:rPr>
        <w:t> </w:t>
      </w:r>
      <w:r>
        <w:rPr/>
        <w:t>on</w:t>
      </w:r>
      <w:r>
        <w:rPr>
          <w:spacing w:val="-6"/>
        </w:rPr>
        <w:t> </w:t>
      </w:r>
      <w:r>
        <w:rPr/>
        <w:t>the</w:t>
      </w:r>
      <w:r>
        <w:rPr>
          <w:spacing w:val="-4"/>
        </w:rPr>
        <w:t> </w:t>
      </w:r>
      <w:r>
        <w:rPr/>
        <w:t>package</w:t>
      </w:r>
      <w:r>
        <w:rPr>
          <w:spacing w:val="-2"/>
        </w:rPr>
        <w:t> </w:t>
      </w:r>
      <w:r>
        <w:rPr/>
        <w:t>about</w:t>
      </w:r>
      <w:r>
        <w:rPr>
          <w:spacing w:val="-5"/>
        </w:rPr>
        <w:t> </w:t>
      </w:r>
      <w:r>
        <w:rPr/>
        <w:t>the</w:t>
      </w:r>
      <w:r>
        <w:rPr>
          <w:spacing w:val="-4"/>
        </w:rPr>
        <w:t> </w:t>
      </w:r>
      <w:r>
        <w:rPr/>
        <w:t>type</w:t>
      </w:r>
      <w:r>
        <w:rPr>
          <w:spacing w:val="-4"/>
        </w:rPr>
        <w:t> </w:t>
      </w:r>
      <w:r>
        <w:rPr/>
        <w:t>of</w:t>
      </w:r>
      <w:r>
        <w:rPr>
          <w:spacing w:val="-4"/>
        </w:rPr>
        <w:t> </w:t>
      </w:r>
      <w:r>
        <w:rPr/>
        <w:t>machine</w:t>
      </w:r>
      <w:r>
        <w:rPr>
          <w:spacing w:val="-4"/>
        </w:rPr>
        <w:t> </w:t>
      </w:r>
      <w:r>
        <w:rPr/>
        <w:t>the</w:t>
      </w:r>
      <w:r>
        <w:rPr>
          <w:spacing w:val="-2"/>
        </w:rPr>
        <w:t> </w:t>
      </w:r>
      <w:r>
        <w:rPr/>
        <w:t>ribbon</w:t>
      </w:r>
      <w:r>
        <w:rPr>
          <w:spacing w:val="-6"/>
        </w:rPr>
        <w:t> </w:t>
      </w:r>
      <w:r>
        <w:rPr/>
        <w:t>or</w:t>
      </w:r>
      <w:r>
        <w:rPr>
          <w:spacing w:val="-4"/>
        </w:rPr>
        <w:t> </w:t>
      </w:r>
      <w:r>
        <w:rPr/>
        <w:t>tape</w:t>
      </w:r>
      <w:r>
        <w:rPr>
          <w:spacing w:val="-4"/>
        </w:rPr>
        <w:t> </w:t>
      </w:r>
      <w:r>
        <w:rPr/>
        <w:t>is</w:t>
      </w:r>
      <w:r>
        <w:rPr>
          <w:spacing w:val="-5"/>
        </w:rPr>
        <w:t> </w:t>
      </w:r>
      <w:r>
        <w:rPr/>
        <w:t>designed to fit, but this is not a declaration of quantity. Purchasers have been misled as a result of the failure of some manu- facturers to disclose the length; ribbons designated for a particular machine may be sold at a low price, but with substantially less length than ribbons ordinarily produced for the</w:t>
      </w:r>
      <w:r>
        <w:rPr>
          <w:spacing w:val="-11"/>
        </w:rPr>
        <w:t> </w:t>
      </w:r>
      <w:r>
        <w:rPr/>
        <w:t>machine.</w:t>
      </w:r>
    </w:p>
    <w:p>
      <w:pPr>
        <w:pStyle w:val="BodyText"/>
        <w:spacing w:before="3"/>
        <w:rPr>
          <w:sz w:val="31"/>
        </w:rPr>
      </w:pPr>
    </w:p>
    <w:p>
      <w:pPr>
        <w:pStyle w:val="Heading1"/>
        <w:numPr>
          <w:ilvl w:val="2"/>
          <w:numId w:val="7"/>
        </w:numPr>
        <w:tabs>
          <w:tab w:pos="732" w:val="left" w:leader="none"/>
        </w:tabs>
        <w:spacing w:line="240" w:lineRule="auto" w:before="1" w:after="0"/>
        <w:ind w:left="731" w:right="0" w:hanging="552"/>
        <w:jc w:val="left"/>
      </w:pPr>
      <w:bookmarkStart w:name="_bookmark5" w:id="8"/>
      <w:bookmarkEnd w:id="8"/>
      <w:r>
        <w:rPr>
          <w:b w:val="0"/>
        </w:rPr>
      </w:r>
      <w:bookmarkStart w:name="_bookmark5" w:id="9"/>
      <w:bookmarkEnd w:id="9"/>
      <w:r>
        <w:rPr/>
        <w:t>Ins</w:t>
      </w:r>
      <w:r>
        <w:rPr/>
        <w:t>tant Concentrated Products.</w:t>
      </w:r>
    </w:p>
    <w:p>
      <w:pPr>
        <w:pStyle w:val="BodyText"/>
        <w:ind w:left="179"/>
      </w:pPr>
      <w:r>
        <w:rPr/>
        <w:t>(L&amp;R, 1977, p. 219)</w:t>
      </w:r>
    </w:p>
    <w:p>
      <w:pPr>
        <w:pStyle w:val="BodyText"/>
        <w:spacing w:before="10"/>
      </w:pPr>
    </w:p>
    <w:p>
      <w:pPr>
        <w:pStyle w:val="Heading1"/>
        <w:spacing w:before="1"/>
      </w:pPr>
      <w:r>
        <w:rPr/>
        <w:t>Interpretation</w:t>
      </w:r>
    </w:p>
    <w:p>
      <w:pPr>
        <w:pStyle w:val="BodyText"/>
        <w:spacing w:before="10"/>
        <w:rPr>
          <w:b/>
        </w:rPr>
      </w:pPr>
    </w:p>
    <w:p>
      <w:pPr>
        <w:pStyle w:val="BodyText"/>
        <w:ind w:left="179"/>
      </w:pPr>
      <w:r>
        <w:rPr/>
        <w:t>No additional net contents information (other than weight) is required for instant coffee, tea, and cocoa.</w:t>
      </w:r>
    </w:p>
    <w:p>
      <w:pPr>
        <w:pStyle w:val="BodyText"/>
        <w:spacing w:before="10"/>
      </w:pPr>
    </w:p>
    <w:p>
      <w:pPr>
        <w:pStyle w:val="Heading1"/>
      </w:pPr>
      <w:r>
        <w:rPr/>
        <w:t>Background</w:t>
      </w:r>
    </w:p>
    <w:p>
      <w:pPr>
        <w:pStyle w:val="BodyText"/>
        <w:spacing w:before="8"/>
        <w:rPr>
          <w:b/>
        </w:rPr>
      </w:pPr>
    </w:p>
    <w:p>
      <w:pPr>
        <w:pStyle w:val="BodyText"/>
        <w:ind w:left="179"/>
      </w:pPr>
      <w:r>
        <w:rPr/>
        <w:t>It was proposed that certain products, such as instant coffee, tea, and cocoa, should have a dual statement of weight including the number of cups (e.g., makes ten 6 oz cups).</w:t>
      </w:r>
    </w:p>
    <w:p>
      <w:pPr>
        <w:pStyle w:val="BodyText"/>
        <w:spacing w:before="11"/>
      </w:pPr>
    </w:p>
    <w:p>
      <w:pPr>
        <w:pStyle w:val="BodyText"/>
        <w:ind w:left="179"/>
      </w:pPr>
      <w:r>
        <w:rPr/>
        <w:t>The National Coffee Association of U.S.A., Inc., offered the following comments:</w:t>
      </w:r>
    </w:p>
    <w:p>
      <w:pPr>
        <w:pStyle w:val="BodyText"/>
        <w:spacing w:before="10"/>
      </w:pPr>
    </w:p>
    <w:p>
      <w:pPr>
        <w:pStyle w:val="ListParagraph"/>
        <w:numPr>
          <w:ilvl w:val="3"/>
          <w:numId w:val="7"/>
        </w:numPr>
        <w:tabs>
          <w:tab w:pos="900" w:val="left" w:leader="none"/>
        </w:tabs>
        <w:spacing w:line="240" w:lineRule="auto" w:before="0" w:after="0"/>
        <w:ind w:left="899" w:right="418" w:hanging="360"/>
        <w:jc w:val="both"/>
        <w:rPr>
          <w:sz w:val="20"/>
        </w:rPr>
      </w:pPr>
      <w:r>
        <w:rPr>
          <w:sz w:val="20"/>
        </w:rPr>
        <w:t>The number of servings of instant coffee will depend upon the size of the cup involved and the taste of the individual</w:t>
      </w:r>
      <w:r>
        <w:rPr>
          <w:spacing w:val="-1"/>
          <w:sz w:val="20"/>
        </w:rPr>
        <w:t> </w:t>
      </w:r>
      <w:r>
        <w:rPr>
          <w:sz w:val="20"/>
        </w:rPr>
        <w:t>consumer.</w:t>
      </w:r>
    </w:p>
    <w:p>
      <w:pPr>
        <w:pStyle w:val="BodyText"/>
        <w:rPr>
          <w:sz w:val="21"/>
        </w:rPr>
      </w:pPr>
    </w:p>
    <w:p>
      <w:pPr>
        <w:pStyle w:val="ListParagraph"/>
        <w:numPr>
          <w:ilvl w:val="3"/>
          <w:numId w:val="7"/>
        </w:numPr>
        <w:tabs>
          <w:tab w:pos="899" w:val="left" w:leader="none"/>
          <w:tab w:pos="900" w:val="left" w:leader="none"/>
        </w:tabs>
        <w:spacing w:line="240" w:lineRule="auto" w:before="0" w:after="0"/>
        <w:ind w:left="899" w:right="0" w:hanging="360"/>
        <w:jc w:val="left"/>
        <w:rPr>
          <w:sz w:val="20"/>
        </w:rPr>
      </w:pPr>
      <w:r>
        <w:rPr>
          <w:sz w:val="20"/>
        </w:rPr>
        <w:t>The size of a cup will vary widely, ranging from a small “demitasse” cup to a large coffee</w:t>
      </w:r>
      <w:r>
        <w:rPr>
          <w:spacing w:val="-12"/>
          <w:sz w:val="20"/>
        </w:rPr>
        <w:t> </w:t>
      </w:r>
      <w:r>
        <w:rPr>
          <w:sz w:val="20"/>
        </w:rPr>
        <w:t>mug.</w:t>
      </w:r>
    </w:p>
    <w:p>
      <w:pPr>
        <w:pStyle w:val="BodyText"/>
        <w:spacing w:before="7"/>
      </w:pPr>
    </w:p>
    <w:p>
      <w:pPr>
        <w:pStyle w:val="ListParagraph"/>
        <w:numPr>
          <w:ilvl w:val="3"/>
          <w:numId w:val="7"/>
        </w:numPr>
        <w:tabs>
          <w:tab w:pos="900" w:val="left" w:leader="none"/>
        </w:tabs>
        <w:spacing w:line="240" w:lineRule="auto" w:before="1" w:after="0"/>
        <w:ind w:left="899" w:right="420" w:hanging="360"/>
        <w:jc w:val="both"/>
        <w:rPr>
          <w:sz w:val="20"/>
        </w:rPr>
      </w:pPr>
      <w:r>
        <w:rPr>
          <w:sz w:val="20"/>
        </w:rPr>
        <w:t>The taste of the individual consumer defies definition because it will vary as widely as the number of indi- viduals considered. Market research shows many like it “strong and black” and others prefer it “mild and thin.”</w:t>
      </w:r>
    </w:p>
    <w:p>
      <w:pPr>
        <w:pStyle w:val="BodyText"/>
        <w:spacing w:before="11"/>
      </w:pPr>
    </w:p>
    <w:p>
      <w:pPr>
        <w:pStyle w:val="ListParagraph"/>
        <w:numPr>
          <w:ilvl w:val="3"/>
          <w:numId w:val="7"/>
        </w:numPr>
        <w:tabs>
          <w:tab w:pos="900" w:val="left" w:leader="none"/>
        </w:tabs>
        <w:spacing w:line="240" w:lineRule="auto" w:before="0" w:after="0"/>
        <w:ind w:left="899" w:right="414" w:hanging="360"/>
        <w:jc w:val="both"/>
        <w:rPr>
          <w:sz w:val="20"/>
        </w:rPr>
      </w:pPr>
      <w:r>
        <w:rPr>
          <w:sz w:val="20"/>
        </w:rPr>
        <w:t>Any</w:t>
      </w:r>
      <w:r>
        <w:rPr>
          <w:spacing w:val="-7"/>
          <w:sz w:val="20"/>
        </w:rPr>
        <w:t> </w:t>
      </w:r>
      <w:r>
        <w:rPr>
          <w:sz w:val="20"/>
        </w:rPr>
        <w:t>statement</w:t>
      </w:r>
      <w:r>
        <w:rPr>
          <w:spacing w:val="-6"/>
          <w:sz w:val="20"/>
        </w:rPr>
        <w:t> </w:t>
      </w:r>
      <w:r>
        <w:rPr>
          <w:sz w:val="20"/>
        </w:rPr>
        <w:t>placed</w:t>
      </w:r>
      <w:r>
        <w:rPr>
          <w:spacing w:val="-3"/>
          <w:sz w:val="20"/>
        </w:rPr>
        <w:t> </w:t>
      </w:r>
      <w:r>
        <w:rPr>
          <w:sz w:val="20"/>
        </w:rPr>
        <w:t>on</w:t>
      </w:r>
      <w:r>
        <w:rPr>
          <w:spacing w:val="-7"/>
          <w:sz w:val="20"/>
        </w:rPr>
        <w:t> </w:t>
      </w:r>
      <w:r>
        <w:rPr>
          <w:sz w:val="20"/>
        </w:rPr>
        <w:t>a</w:t>
      </w:r>
      <w:r>
        <w:rPr>
          <w:spacing w:val="-4"/>
          <w:sz w:val="20"/>
        </w:rPr>
        <w:t> </w:t>
      </w:r>
      <w:r>
        <w:rPr>
          <w:sz w:val="20"/>
        </w:rPr>
        <w:t>container</w:t>
      </w:r>
      <w:r>
        <w:rPr>
          <w:spacing w:val="-5"/>
          <w:sz w:val="20"/>
        </w:rPr>
        <w:t> </w:t>
      </w:r>
      <w:r>
        <w:rPr>
          <w:sz w:val="20"/>
        </w:rPr>
        <w:t>of</w:t>
      </w:r>
      <w:r>
        <w:rPr>
          <w:spacing w:val="-6"/>
          <w:sz w:val="20"/>
        </w:rPr>
        <w:t> </w:t>
      </w:r>
      <w:r>
        <w:rPr>
          <w:sz w:val="20"/>
        </w:rPr>
        <w:t>instant</w:t>
      </w:r>
      <w:r>
        <w:rPr>
          <w:spacing w:val="-6"/>
          <w:sz w:val="20"/>
        </w:rPr>
        <w:t> </w:t>
      </w:r>
      <w:r>
        <w:rPr>
          <w:sz w:val="20"/>
        </w:rPr>
        <w:t>coffee</w:t>
      </w:r>
      <w:r>
        <w:rPr>
          <w:spacing w:val="-5"/>
          <w:sz w:val="20"/>
        </w:rPr>
        <w:t> </w:t>
      </w:r>
      <w:r>
        <w:rPr>
          <w:sz w:val="20"/>
        </w:rPr>
        <w:t>that</w:t>
      </w:r>
      <w:r>
        <w:rPr>
          <w:spacing w:val="-5"/>
          <w:sz w:val="20"/>
        </w:rPr>
        <w:t> </w:t>
      </w:r>
      <w:r>
        <w:rPr>
          <w:sz w:val="20"/>
        </w:rPr>
        <w:t>represents</w:t>
      </w:r>
      <w:r>
        <w:rPr>
          <w:spacing w:val="-6"/>
          <w:sz w:val="20"/>
        </w:rPr>
        <w:t> </w:t>
      </w:r>
      <w:r>
        <w:rPr>
          <w:sz w:val="20"/>
        </w:rPr>
        <w:t>that</w:t>
      </w:r>
      <w:r>
        <w:rPr>
          <w:spacing w:val="-5"/>
          <w:sz w:val="20"/>
        </w:rPr>
        <w:t> </w:t>
      </w:r>
      <w:r>
        <w:rPr>
          <w:sz w:val="20"/>
        </w:rPr>
        <w:t>the</w:t>
      </w:r>
      <w:r>
        <w:rPr>
          <w:spacing w:val="-5"/>
          <w:sz w:val="20"/>
        </w:rPr>
        <w:t> </w:t>
      </w:r>
      <w:r>
        <w:rPr>
          <w:sz w:val="20"/>
        </w:rPr>
        <w:t>consumer</w:t>
      </w:r>
      <w:r>
        <w:rPr>
          <w:spacing w:val="-2"/>
          <w:sz w:val="20"/>
        </w:rPr>
        <w:t> </w:t>
      </w:r>
      <w:r>
        <w:rPr>
          <w:sz w:val="20"/>
        </w:rPr>
        <w:t>will</w:t>
      </w:r>
      <w:r>
        <w:rPr>
          <w:spacing w:val="-2"/>
          <w:sz w:val="20"/>
        </w:rPr>
        <w:t> </w:t>
      </w:r>
      <w:r>
        <w:rPr>
          <w:sz w:val="20"/>
        </w:rPr>
        <w:t>be</w:t>
      </w:r>
      <w:r>
        <w:rPr>
          <w:spacing w:val="-5"/>
          <w:sz w:val="20"/>
        </w:rPr>
        <w:t> </w:t>
      </w:r>
      <w:r>
        <w:rPr>
          <w:sz w:val="20"/>
        </w:rPr>
        <w:t>able</w:t>
      </w:r>
      <w:r>
        <w:rPr>
          <w:spacing w:val="-4"/>
          <w:sz w:val="20"/>
        </w:rPr>
        <w:t> </w:t>
      </w:r>
      <w:r>
        <w:rPr>
          <w:sz w:val="20"/>
        </w:rPr>
        <w:t>to</w:t>
      </w:r>
      <w:r>
        <w:rPr>
          <w:spacing w:val="-7"/>
          <w:sz w:val="20"/>
        </w:rPr>
        <w:t> </w:t>
      </w:r>
      <w:r>
        <w:rPr>
          <w:sz w:val="20"/>
        </w:rPr>
        <w:t>obtain a specified number of servings would be arbitrary, confusing and, in a very sense,</w:t>
      </w:r>
      <w:r>
        <w:rPr>
          <w:spacing w:val="-6"/>
          <w:sz w:val="20"/>
        </w:rPr>
        <w:t> </w:t>
      </w:r>
      <w:r>
        <w:rPr>
          <w:sz w:val="20"/>
        </w:rPr>
        <w:t>deceptive.</w:t>
      </w:r>
    </w:p>
    <w:p>
      <w:pPr>
        <w:pStyle w:val="BodyText"/>
        <w:spacing w:before="11"/>
      </w:pPr>
    </w:p>
    <w:p>
      <w:pPr>
        <w:pStyle w:val="ListParagraph"/>
        <w:numPr>
          <w:ilvl w:val="3"/>
          <w:numId w:val="7"/>
        </w:numPr>
        <w:tabs>
          <w:tab w:pos="900" w:val="left" w:leader="none"/>
        </w:tabs>
        <w:spacing w:line="240" w:lineRule="auto" w:before="0" w:after="0"/>
        <w:ind w:left="899" w:right="419" w:hanging="360"/>
        <w:jc w:val="both"/>
        <w:rPr>
          <w:sz w:val="20"/>
        </w:rPr>
      </w:pPr>
      <w:r>
        <w:rPr>
          <w:sz w:val="20"/>
        </w:rPr>
        <w:t>In</w:t>
      </w:r>
      <w:r>
        <w:rPr>
          <w:spacing w:val="-11"/>
          <w:sz w:val="20"/>
        </w:rPr>
        <w:t> </w:t>
      </w:r>
      <w:r>
        <w:rPr>
          <w:sz w:val="20"/>
        </w:rPr>
        <w:t>view</w:t>
      </w:r>
      <w:r>
        <w:rPr>
          <w:spacing w:val="-11"/>
          <w:sz w:val="20"/>
        </w:rPr>
        <w:t> </w:t>
      </w:r>
      <w:r>
        <w:rPr>
          <w:sz w:val="20"/>
        </w:rPr>
        <w:t>of</w:t>
      </w:r>
      <w:r>
        <w:rPr>
          <w:spacing w:val="-12"/>
          <w:sz w:val="20"/>
        </w:rPr>
        <w:t> </w:t>
      </w:r>
      <w:r>
        <w:rPr>
          <w:sz w:val="20"/>
        </w:rPr>
        <w:t>the</w:t>
      </w:r>
      <w:r>
        <w:rPr>
          <w:spacing w:val="-10"/>
          <w:sz w:val="20"/>
        </w:rPr>
        <w:t> </w:t>
      </w:r>
      <w:r>
        <w:rPr>
          <w:sz w:val="20"/>
        </w:rPr>
        <w:t>foregoing,</w:t>
      </w:r>
      <w:r>
        <w:rPr>
          <w:spacing w:val="-9"/>
          <w:sz w:val="20"/>
        </w:rPr>
        <w:t> </w:t>
      </w:r>
      <w:r>
        <w:rPr>
          <w:sz w:val="20"/>
        </w:rPr>
        <w:t>any</w:t>
      </w:r>
      <w:r>
        <w:rPr>
          <w:spacing w:val="-11"/>
          <w:sz w:val="20"/>
        </w:rPr>
        <w:t> </w:t>
      </w:r>
      <w:r>
        <w:rPr>
          <w:sz w:val="20"/>
        </w:rPr>
        <w:t>such</w:t>
      </w:r>
      <w:r>
        <w:rPr>
          <w:spacing w:val="-10"/>
          <w:sz w:val="20"/>
        </w:rPr>
        <w:t> </w:t>
      </w:r>
      <w:r>
        <w:rPr>
          <w:sz w:val="20"/>
        </w:rPr>
        <w:t>requirements</w:t>
      </w:r>
      <w:r>
        <w:rPr>
          <w:spacing w:val="-11"/>
          <w:sz w:val="20"/>
        </w:rPr>
        <w:t> </w:t>
      </w:r>
      <w:r>
        <w:rPr>
          <w:sz w:val="20"/>
        </w:rPr>
        <w:t>that</w:t>
      </w:r>
      <w:r>
        <w:rPr>
          <w:spacing w:val="-9"/>
          <w:sz w:val="20"/>
        </w:rPr>
        <w:t> </w:t>
      </w:r>
      <w:r>
        <w:rPr>
          <w:sz w:val="20"/>
        </w:rPr>
        <w:t>the</w:t>
      </w:r>
      <w:r>
        <w:rPr>
          <w:spacing w:val="-10"/>
          <w:sz w:val="20"/>
        </w:rPr>
        <w:t> </w:t>
      </w:r>
      <w:r>
        <w:rPr>
          <w:sz w:val="20"/>
        </w:rPr>
        <w:t>number</w:t>
      </w:r>
      <w:r>
        <w:rPr>
          <w:spacing w:val="-9"/>
          <w:sz w:val="20"/>
        </w:rPr>
        <w:t> </w:t>
      </w:r>
      <w:r>
        <w:rPr>
          <w:sz w:val="20"/>
        </w:rPr>
        <w:t>of</w:t>
      </w:r>
      <w:r>
        <w:rPr>
          <w:spacing w:val="-11"/>
          <w:sz w:val="20"/>
        </w:rPr>
        <w:t> </w:t>
      </w:r>
      <w:r>
        <w:rPr>
          <w:sz w:val="20"/>
        </w:rPr>
        <w:t>servings</w:t>
      </w:r>
      <w:r>
        <w:rPr>
          <w:spacing w:val="-11"/>
          <w:sz w:val="20"/>
        </w:rPr>
        <w:t> </w:t>
      </w:r>
      <w:r>
        <w:rPr>
          <w:sz w:val="20"/>
        </w:rPr>
        <w:t>be</w:t>
      </w:r>
      <w:r>
        <w:rPr>
          <w:spacing w:val="-9"/>
          <w:sz w:val="20"/>
        </w:rPr>
        <w:t> </w:t>
      </w:r>
      <w:r>
        <w:rPr>
          <w:sz w:val="20"/>
        </w:rPr>
        <w:t>listed</w:t>
      </w:r>
      <w:r>
        <w:rPr>
          <w:spacing w:val="-9"/>
          <w:sz w:val="20"/>
        </w:rPr>
        <w:t> </w:t>
      </w:r>
      <w:r>
        <w:rPr>
          <w:sz w:val="20"/>
        </w:rPr>
        <w:t>on</w:t>
      </w:r>
      <w:r>
        <w:rPr>
          <w:spacing w:val="-10"/>
          <w:sz w:val="20"/>
        </w:rPr>
        <w:t> </w:t>
      </w:r>
      <w:r>
        <w:rPr>
          <w:sz w:val="20"/>
        </w:rPr>
        <w:t>a</w:t>
      </w:r>
      <w:r>
        <w:rPr>
          <w:spacing w:val="-10"/>
          <w:sz w:val="20"/>
        </w:rPr>
        <w:t> </w:t>
      </w:r>
      <w:r>
        <w:rPr>
          <w:sz w:val="20"/>
        </w:rPr>
        <w:t>container</w:t>
      </w:r>
      <w:r>
        <w:rPr>
          <w:spacing w:val="-9"/>
          <w:sz w:val="20"/>
        </w:rPr>
        <w:t> </w:t>
      </w:r>
      <w:r>
        <w:rPr>
          <w:sz w:val="20"/>
        </w:rPr>
        <w:t>of</w:t>
      </w:r>
      <w:r>
        <w:rPr>
          <w:spacing w:val="-11"/>
          <w:sz w:val="20"/>
        </w:rPr>
        <w:t> </w:t>
      </w:r>
      <w:r>
        <w:rPr>
          <w:sz w:val="20"/>
        </w:rPr>
        <w:t>instant coffee might expose the manufacturer to complaints from consumers that it was engaging in an unfair and deceptive</w:t>
      </w:r>
      <w:r>
        <w:rPr>
          <w:spacing w:val="-1"/>
          <w:sz w:val="20"/>
        </w:rPr>
        <w:t> </w:t>
      </w:r>
      <w:r>
        <w:rPr>
          <w:sz w:val="20"/>
        </w:rPr>
        <w:t>practice.</w:t>
      </w:r>
    </w:p>
    <w:p>
      <w:pPr>
        <w:pStyle w:val="BodyText"/>
        <w:spacing w:before="9"/>
      </w:pPr>
    </w:p>
    <w:p>
      <w:pPr>
        <w:pStyle w:val="BodyText"/>
        <w:ind w:left="179" w:right="349"/>
      </w:pPr>
      <w:r>
        <w:rPr/>
        <w:t>Other</w:t>
      </w:r>
      <w:r>
        <w:rPr>
          <w:spacing w:val="-16"/>
        </w:rPr>
        <w:t> </w:t>
      </w:r>
      <w:r>
        <w:rPr/>
        <w:t>issues</w:t>
      </w:r>
      <w:r>
        <w:rPr>
          <w:spacing w:val="-17"/>
        </w:rPr>
        <w:t> </w:t>
      </w:r>
      <w:r>
        <w:rPr/>
        <w:t>that</w:t>
      </w:r>
      <w:r>
        <w:rPr>
          <w:spacing w:val="-16"/>
        </w:rPr>
        <w:t> </w:t>
      </w:r>
      <w:r>
        <w:rPr/>
        <w:t>the</w:t>
      </w:r>
      <w:r>
        <w:rPr>
          <w:spacing w:val="-13"/>
        </w:rPr>
        <w:t> </w:t>
      </w:r>
      <w:r>
        <w:rPr/>
        <w:t>Committee</w:t>
      </w:r>
      <w:r>
        <w:rPr>
          <w:spacing w:val="-16"/>
        </w:rPr>
        <w:t> </w:t>
      </w:r>
      <w:r>
        <w:rPr/>
        <w:t>discussed</w:t>
      </w:r>
      <w:r>
        <w:rPr>
          <w:spacing w:val="-15"/>
        </w:rPr>
        <w:t> </w:t>
      </w:r>
      <w:r>
        <w:rPr/>
        <w:t>included</w:t>
      </w:r>
      <w:r>
        <w:rPr>
          <w:spacing w:val="-16"/>
        </w:rPr>
        <w:t> </w:t>
      </w:r>
      <w:r>
        <w:rPr/>
        <w:t>the</w:t>
      </w:r>
      <w:r>
        <w:rPr>
          <w:spacing w:val="-16"/>
        </w:rPr>
        <w:t> </w:t>
      </w:r>
      <w:r>
        <w:rPr/>
        <w:t>authority</w:t>
      </w:r>
      <w:r>
        <w:rPr>
          <w:spacing w:val="-19"/>
        </w:rPr>
        <w:t> </w:t>
      </w:r>
      <w:r>
        <w:rPr/>
        <w:t>to</w:t>
      </w:r>
      <w:r>
        <w:rPr>
          <w:spacing w:val="-16"/>
        </w:rPr>
        <w:t> </w:t>
      </w:r>
      <w:r>
        <w:rPr/>
        <w:t>require</w:t>
      </w:r>
      <w:r>
        <w:rPr>
          <w:spacing w:val="-16"/>
        </w:rPr>
        <w:t> </w:t>
      </w:r>
      <w:r>
        <w:rPr/>
        <w:t>precise</w:t>
      </w:r>
      <w:r>
        <w:rPr>
          <w:spacing w:val="-16"/>
        </w:rPr>
        <w:t> </w:t>
      </w:r>
      <w:r>
        <w:rPr/>
        <w:t>directions</w:t>
      </w:r>
      <w:r>
        <w:rPr>
          <w:spacing w:val="-14"/>
        </w:rPr>
        <w:t> </w:t>
      </w:r>
      <w:r>
        <w:rPr/>
        <w:t>(rather</w:t>
      </w:r>
      <w:r>
        <w:rPr>
          <w:spacing w:val="-15"/>
        </w:rPr>
        <w:t> </w:t>
      </w:r>
      <w:r>
        <w:rPr/>
        <w:t>than,</w:t>
      </w:r>
      <w:r>
        <w:rPr>
          <w:spacing w:val="-14"/>
        </w:rPr>
        <w:t> </w:t>
      </w:r>
      <w:r>
        <w:rPr/>
        <w:t>for</w:t>
      </w:r>
      <w:r>
        <w:rPr>
          <w:spacing w:val="-15"/>
        </w:rPr>
        <w:t> </w:t>
      </w:r>
      <w:r>
        <w:rPr/>
        <w:t>example, two to three heaping teaspoons) and the issues of product variability and uniform</w:t>
      </w:r>
      <w:r>
        <w:rPr>
          <w:spacing w:val="-14"/>
        </w:rPr>
        <w:t> </w:t>
      </w:r>
      <w:r>
        <w:rPr/>
        <w:t>enforcement.</w:t>
      </w:r>
    </w:p>
    <w:p>
      <w:pPr>
        <w:spacing w:after="0"/>
        <w:sectPr>
          <w:pgSz w:w="12240" w:h="15840"/>
          <w:pgMar w:header="730" w:footer="741" w:top="1340" w:bottom="940" w:left="1260" w:right="1020"/>
        </w:sectPr>
      </w:pPr>
    </w:p>
    <w:p>
      <w:pPr>
        <w:pStyle w:val="Heading1"/>
        <w:numPr>
          <w:ilvl w:val="2"/>
          <w:numId w:val="7"/>
        </w:numPr>
        <w:tabs>
          <w:tab w:pos="732" w:val="left" w:leader="none"/>
        </w:tabs>
        <w:spacing w:line="240" w:lineRule="auto" w:before="88" w:after="0"/>
        <w:ind w:left="732" w:right="0" w:hanging="552"/>
        <w:jc w:val="left"/>
      </w:pPr>
      <w:r>
        <w:rPr/>
        <w:t>Fresh Fruits and</w:t>
      </w:r>
      <w:r>
        <w:rPr>
          <w:spacing w:val="-15"/>
        </w:rPr>
        <w:t> </w:t>
      </w:r>
      <w:r>
        <w:rPr/>
        <w:t>Vegetables.</w:t>
      </w:r>
    </w:p>
    <w:p>
      <w:pPr>
        <w:pStyle w:val="BodyText"/>
        <w:spacing w:before="1"/>
        <w:ind w:left="179"/>
      </w:pPr>
      <w:r>
        <w:rPr/>
        <w:t>(L&amp;R, 1979, p. 176; 1980; 1982, p. 152;</w:t>
      </w:r>
      <w:r>
        <w:rPr>
          <w:spacing w:val="-10"/>
        </w:rPr>
        <w:t> </w:t>
      </w:r>
      <w:r>
        <w:rPr/>
        <w:t>2008)</w:t>
      </w:r>
    </w:p>
    <w:p>
      <w:pPr>
        <w:pStyle w:val="BodyText"/>
        <w:spacing w:before="10"/>
      </w:pPr>
    </w:p>
    <w:p>
      <w:pPr>
        <w:pStyle w:val="Heading1"/>
        <w:ind w:left="180"/>
      </w:pPr>
      <w:r>
        <w:rPr/>
        <w:t>Guideline</w:t>
      </w:r>
    </w:p>
    <w:p>
      <w:pPr>
        <w:pStyle w:val="BodyText"/>
        <w:spacing w:before="8"/>
        <w:rPr>
          <w:b/>
        </w:rPr>
      </w:pPr>
    </w:p>
    <w:p>
      <w:pPr>
        <w:pStyle w:val="BodyText"/>
        <w:ind w:left="180" w:right="416"/>
        <w:jc w:val="both"/>
      </w:pPr>
      <w:r>
        <w:rPr/>
        <w:t>Recognizing</w:t>
      </w:r>
      <w:r>
        <w:rPr>
          <w:spacing w:val="-7"/>
        </w:rPr>
        <w:t> </w:t>
      </w:r>
      <w:r>
        <w:rPr/>
        <w:t>the</w:t>
      </w:r>
      <w:r>
        <w:rPr>
          <w:spacing w:val="-5"/>
        </w:rPr>
        <w:t> </w:t>
      </w:r>
      <w:r>
        <w:rPr/>
        <w:t>difficulty</w:t>
      </w:r>
      <w:r>
        <w:rPr>
          <w:spacing w:val="-7"/>
        </w:rPr>
        <w:t> </w:t>
      </w:r>
      <w:r>
        <w:rPr/>
        <w:t>faced</w:t>
      </w:r>
      <w:r>
        <w:rPr>
          <w:spacing w:val="-4"/>
        </w:rPr>
        <w:t> </w:t>
      </w:r>
      <w:r>
        <w:rPr/>
        <w:t>by</w:t>
      </w:r>
      <w:r>
        <w:rPr>
          <w:spacing w:val="-8"/>
        </w:rPr>
        <w:t> </w:t>
      </w:r>
      <w:r>
        <w:rPr/>
        <w:t>consumers</w:t>
      </w:r>
      <w:r>
        <w:rPr>
          <w:spacing w:val="-4"/>
        </w:rPr>
        <w:t> </w:t>
      </w:r>
      <w:r>
        <w:rPr/>
        <w:t>when</w:t>
      </w:r>
      <w:r>
        <w:rPr>
          <w:spacing w:val="-4"/>
        </w:rPr>
        <w:t> </w:t>
      </w:r>
      <w:r>
        <w:rPr/>
        <w:t>more</w:t>
      </w:r>
      <w:r>
        <w:rPr>
          <w:spacing w:val="-5"/>
        </w:rPr>
        <w:t> </w:t>
      </w:r>
      <w:r>
        <w:rPr/>
        <w:t>than</w:t>
      </w:r>
      <w:r>
        <w:rPr>
          <w:spacing w:val="-6"/>
        </w:rPr>
        <w:t> </w:t>
      </w:r>
      <w:r>
        <w:rPr/>
        <w:t>one</w:t>
      </w:r>
      <w:r>
        <w:rPr>
          <w:spacing w:val="-3"/>
        </w:rPr>
        <w:t> </w:t>
      </w:r>
      <w:r>
        <w:rPr/>
        <w:t>method</w:t>
      </w:r>
      <w:r>
        <w:rPr>
          <w:spacing w:val="-4"/>
        </w:rPr>
        <w:t> </w:t>
      </w:r>
      <w:r>
        <w:rPr/>
        <w:t>of</w:t>
      </w:r>
      <w:r>
        <w:rPr>
          <w:spacing w:val="-7"/>
        </w:rPr>
        <w:t> </w:t>
      </w:r>
      <w:r>
        <w:rPr/>
        <w:t>sale</w:t>
      </w:r>
      <w:r>
        <w:rPr>
          <w:spacing w:val="-5"/>
        </w:rPr>
        <w:t> </w:t>
      </w:r>
      <w:r>
        <w:rPr/>
        <w:t>is</w:t>
      </w:r>
      <w:r>
        <w:rPr>
          <w:spacing w:val="-5"/>
        </w:rPr>
        <w:t> </w:t>
      </w:r>
      <w:r>
        <w:rPr/>
        <w:t>employed</w:t>
      </w:r>
      <w:r>
        <w:rPr>
          <w:spacing w:val="-4"/>
        </w:rPr>
        <w:t> </w:t>
      </w:r>
      <w:r>
        <w:rPr/>
        <w:t>in</w:t>
      </w:r>
      <w:r>
        <w:rPr>
          <w:spacing w:val="-7"/>
        </w:rPr>
        <w:t> </w:t>
      </w:r>
      <w:r>
        <w:rPr/>
        <w:t>the</w:t>
      </w:r>
      <w:r>
        <w:rPr>
          <w:spacing w:val="-5"/>
        </w:rPr>
        <w:t> </w:t>
      </w:r>
      <w:r>
        <w:rPr/>
        <w:t>same</w:t>
      </w:r>
      <w:r>
        <w:rPr>
          <w:spacing w:val="-5"/>
        </w:rPr>
        <w:t> </w:t>
      </w:r>
      <w:r>
        <w:rPr/>
        <w:t>outlet</w:t>
      </w:r>
      <w:r>
        <w:rPr>
          <w:spacing w:val="-3"/>
        </w:rPr>
        <w:t> </w:t>
      </w:r>
      <w:r>
        <w:rPr/>
        <w:t>for the same product, non-comparable methods of sale (e.g., weight and measure) for the same produce item in the same outlet should be</w:t>
      </w:r>
      <w:r>
        <w:rPr>
          <w:spacing w:val="3"/>
        </w:rPr>
        <w:t> </w:t>
      </w:r>
      <w:r>
        <w:rPr/>
        <w:t>minimized.</w:t>
      </w:r>
    </w:p>
    <w:p>
      <w:pPr>
        <w:pStyle w:val="BodyText"/>
        <w:rPr>
          <w:sz w:val="21"/>
        </w:rPr>
      </w:pPr>
    </w:p>
    <w:p>
      <w:pPr>
        <w:pStyle w:val="BodyText"/>
        <w:ind w:left="179" w:right="416"/>
        <w:jc w:val="both"/>
      </w:pPr>
      <w:r>
        <w:rPr/>
        <w:t>This</w:t>
      </w:r>
      <w:r>
        <w:rPr>
          <w:spacing w:val="-9"/>
        </w:rPr>
        <w:t> </w:t>
      </w:r>
      <w:r>
        <w:rPr/>
        <w:t>guideline</w:t>
      </w:r>
      <w:r>
        <w:rPr>
          <w:spacing w:val="-8"/>
        </w:rPr>
        <w:t> </w:t>
      </w:r>
      <w:r>
        <w:rPr/>
        <w:t>applies</w:t>
      </w:r>
      <w:r>
        <w:rPr>
          <w:spacing w:val="-9"/>
        </w:rPr>
        <w:t> </w:t>
      </w:r>
      <w:r>
        <w:rPr/>
        <w:t>to</w:t>
      </w:r>
      <w:r>
        <w:rPr>
          <w:spacing w:val="-7"/>
        </w:rPr>
        <w:t> </w:t>
      </w:r>
      <w:r>
        <w:rPr/>
        <w:t>all</w:t>
      </w:r>
      <w:r>
        <w:rPr>
          <w:spacing w:val="-8"/>
        </w:rPr>
        <w:t> </w:t>
      </w:r>
      <w:r>
        <w:rPr/>
        <w:t>sales</w:t>
      </w:r>
      <w:r>
        <w:rPr>
          <w:spacing w:val="-9"/>
        </w:rPr>
        <w:t> </w:t>
      </w:r>
      <w:r>
        <w:rPr/>
        <w:t>of</w:t>
      </w:r>
      <w:r>
        <w:rPr>
          <w:spacing w:val="-9"/>
        </w:rPr>
        <w:t> </w:t>
      </w:r>
      <w:r>
        <w:rPr/>
        <w:t>fruits</w:t>
      </w:r>
      <w:r>
        <w:rPr>
          <w:spacing w:val="-9"/>
        </w:rPr>
        <w:t> </w:t>
      </w:r>
      <w:r>
        <w:rPr/>
        <w:t>and</w:t>
      </w:r>
      <w:r>
        <w:rPr>
          <w:spacing w:val="-7"/>
        </w:rPr>
        <w:t> </w:t>
      </w:r>
      <w:r>
        <w:rPr/>
        <w:t>vegetables.</w:t>
      </w:r>
      <w:r>
        <w:rPr>
          <w:spacing w:val="35"/>
        </w:rPr>
        <w:t> </w:t>
      </w:r>
      <w:r>
        <w:rPr/>
        <w:t>There</w:t>
      </w:r>
      <w:r>
        <w:rPr>
          <w:spacing w:val="-7"/>
        </w:rPr>
        <w:t> </w:t>
      </w:r>
      <w:r>
        <w:rPr/>
        <w:t>are</w:t>
      </w:r>
      <w:r>
        <w:rPr>
          <w:spacing w:val="-7"/>
        </w:rPr>
        <w:t> </w:t>
      </w:r>
      <w:r>
        <w:rPr/>
        <w:t>two</w:t>
      </w:r>
      <w:r>
        <w:rPr>
          <w:spacing w:val="-7"/>
        </w:rPr>
        <w:t> </w:t>
      </w:r>
      <w:r>
        <w:rPr/>
        <w:t>tables,</w:t>
      </w:r>
      <w:r>
        <w:rPr>
          <w:spacing w:val="-7"/>
        </w:rPr>
        <w:t> </w:t>
      </w:r>
      <w:r>
        <w:rPr/>
        <w:t>one</w:t>
      </w:r>
      <w:r>
        <w:rPr>
          <w:spacing w:val="-7"/>
        </w:rPr>
        <w:t> </w:t>
      </w:r>
      <w:r>
        <w:rPr/>
        <w:t>for</w:t>
      </w:r>
      <w:r>
        <w:rPr>
          <w:spacing w:val="-7"/>
        </w:rPr>
        <w:t> </w:t>
      </w:r>
      <w:r>
        <w:rPr/>
        <w:t>specific</w:t>
      </w:r>
      <w:r>
        <w:rPr>
          <w:spacing w:val="-8"/>
        </w:rPr>
        <w:t> </w:t>
      </w:r>
      <w:r>
        <w:rPr/>
        <w:t>commodities</w:t>
      </w:r>
      <w:r>
        <w:rPr>
          <w:spacing w:val="-8"/>
        </w:rPr>
        <w:t> </w:t>
      </w:r>
      <w:r>
        <w:rPr/>
        <w:t>and</w:t>
      </w:r>
      <w:r>
        <w:rPr>
          <w:spacing w:val="-8"/>
        </w:rPr>
        <w:t> </w:t>
      </w:r>
      <w:r>
        <w:rPr/>
        <w:t>one for general commodity groups. Search the specific list first to find those commodities that either do not fit into any of the general groups or have unique methods of sale. If the item is not listed, find the general group in the second table. The item may be sold by any method of sale marked with an</w:t>
      </w:r>
      <w:r>
        <w:rPr>
          <w:spacing w:val="-8"/>
        </w:rPr>
        <w:t> </w:t>
      </w:r>
      <w:r>
        <w:rPr/>
        <w:t>X.</w:t>
      </w:r>
    </w:p>
    <w:p>
      <w:pPr>
        <w:pStyle w:val="BodyText"/>
        <w:spacing w:before="59"/>
        <w:ind w:left="179"/>
        <w:jc w:val="both"/>
      </w:pPr>
      <w:r>
        <w:rPr/>
        <w:t>(Amended 2008)</w:t>
      </w:r>
    </w:p>
    <w:p>
      <w:pPr>
        <w:pStyle w:val="BodyText"/>
      </w:pPr>
    </w:p>
    <w:p>
      <w:pPr>
        <w:pStyle w:val="BodyText"/>
        <w:spacing w:before="8" w:after="1"/>
        <w:rPr>
          <w:sz w:val="21"/>
        </w:rPr>
      </w:pPr>
    </w:p>
    <w:tbl>
      <w:tblPr>
        <w:tblW w:w="0" w:type="auto"/>
        <w:jc w:val="left"/>
        <w:tblInd w:w="28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3691"/>
        <w:gridCol w:w="989"/>
        <w:gridCol w:w="811"/>
        <w:gridCol w:w="809"/>
        <w:gridCol w:w="1080"/>
        <w:gridCol w:w="1800"/>
      </w:tblGrid>
      <w:tr>
        <w:trPr>
          <w:trHeight w:val="545" w:hRule="atLeast"/>
        </w:trPr>
        <w:tc>
          <w:tcPr>
            <w:tcW w:w="9180" w:type="dxa"/>
            <w:gridSpan w:val="6"/>
          </w:tcPr>
          <w:p>
            <w:pPr>
              <w:pStyle w:val="TableParagraph"/>
              <w:ind w:left="3721" w:right="2238" w:hanging="1440"/>
              <w:rPr>
                <w:b/>
                <w:sz w:val="20"/>
              </w:rPr>
            </w:pPr>
            <w:r>
              <w:rPr>
                <w:b/>
                <w:sz w:val="20"/>
              </w:rPr>
              <w:t>Method of Retail Sale for Fresh Fruits and Vegetables Specific Commodity</w:t>
            </w:r>
          </w:p>
        </w:tc>
      </w:tr>
      <w:tr>
        <w:trPr>
          <w:trHeight w:val="776" w:hRule="atLeast"/>
        </w:trPr>
        <w:tc>
          <w:tcPr>
            <w:tcW w:w="3691" w:type="dxa"/>
            <w:tcBorders>
              <w:right w:val="single" w:sz="4" w:space="0" w:color="000000"/>
            </w:tcBorders>
          </w:tcPr>
          <w:p>
            <w:pPr>
              <w:pStyle w:val="TableParagraph"/>
              <w:spacing w:before="9"/>
              <w:rPr>
                <w:sz w:val="23"/>
              </w:rPr>
            </w:pPr>
          </w:p>
          <w:p>
            <w:pPr>
              <w:pStyle w:val="TableParagraph"/>
              <w:spacing w:before="0"/>
              <w:ind w:left="1280" w:right="1339"/>
              <w:jc w:val="center"/>
              <w:rPr>
                <w:b/>
                <w:sz w:val="20"/>
              </w:rPr>
            </w:pPr>
            <w:r>
              <w:rPr>
                <w:b/>
                <w:sz w:val="20"/>
              </w:rPr>
              <w:t>Commodity</w:t>
            </w:r>
          </w:p>
        </w:tc>
        <w:tc>
          <w:tcPr>
            <w:tcW w:w="989" w:type="dxa"/>
            <w:tcBorders>
              <w:left w:val="single" w:sz="4" w:space="0" w:color="000000"/>
              <w:right w:val="single" w:sz="4" w:space="0" w:color="000000"/>
            </w:tcBorders>
          </w:tcPr>
          <w:p>
            <w:pPr>
              <w:pStyle w:val="TableParagraph"/>
              <w:spacing w:before="9"/>
              <w:rPr>
                <w:sz w:val="23"/>
              </w:rPr>
            </w:pPr>
          </w:p>
          <w:p>
            <w:pPr>
              <w:pStyle w:val="TableParagraph"/>
              <w:spacing w:before="0"/>
              <w:ind w:left="163" w:right="153"/>
              <w:jc w:val="center"/>
              <w:rPr>
                <w:b/>
                <w:sz w:val="20"/>
              </w:rPr>
            </w:pPr>
            <w:r>
              <w:rPr>
                <w:b/>
                <w:sz w:val="20"/>
              </w:rPr>
              <w:t>Weight</w:t>
            </w:r>
          </w:p>
        </w:tc>
        <w:tc>
          <w:tcPr>
            <w:tcW w:w="811" w:type="dxa"/>
            <w:tcBorders>
              <w:left w:val="single" w:sz="4" w:space="0" w:color="000000"/>
              <w:right w:val="single" w:sz="4" w:space="0" w:color="000000"/>
            </w:tcBorders>
          </w:tcPr>
          <w:p>
            <w:pPr>
              <w:pStyle w:val="TableParagraph"/>
              <w:spacing w:before="9"/>
              <w:rPr>
                <w:sz w:val="23"/>
              </w:rPr>
            </w:pPr>
          </w:p>
          <w:p>
            <w:pPr>
              <w:pStyle w:val="TableParagraph"/>
              <w:spacing w:before="0"/>
              <w:ind w:left="114" w:right="107"/>
              <w:jc w:val="center"/>
              <w:rPr>
                <w:b/>
                <w:sz w:val="20"/>
              </w:rPr>
            </w:pPr>
            <w:r>
              <w:rPr>
                <w:b/>
                <w:sz w:val="20"/>
              </w:rPr>
              <w:t>Count</w:t>
            </w:r>
          </w:p>
        </w:tc>
        <w:tc>
          <w:tcPr>
            <w:tcW w:w="809" w:type="dxa"/>
            <w:tcBorders>
              <w:left w:val="single" w:sz="4" w:space="0" w:color="000000"/>
              <w:right w:val="single" w:sz="4" w:space="0" w:color="000000"/>
            </w:tcBorders>
          </w:tcPr>
          <w:p>
            <w:pPr>
              <w:pStyle w:val="TableParagraph"/>
              <w:ind w:left="124" w:right="117" w:firstLine="2"/>
              <w:jc w:val="center"/>
              <w:rPr>
                <w:b/>
                <w:sz w:val="20"/>
              </w:rPr>
            </w:pPr>
            <w:r>
              <w:rPr>
                <w:b/>
                <w:sz w:val="20"/>
              </w:rPr>
              <w:t>Head or </w:t>
            </w:r>
            <w:r>
              <w:rPr>
                <w:b/>
                <w:w w:val="95"/>
                <w:sz w:val="20"/>
              </w:rPr>
              <w:t>Bunch</w:t>
            </w:r>
          </w:p>
        </w:tc>
        <w:tc>
          <w:tcPr>
            <w:tcW w:w="1080" w:type="dxa"/>
            <w:tcBorders>
              <w:left w:val="single" w:sz="4" w:space="0" w:color="000000"/>
              <w:right w:val="single" w:sz="4" w:space="0" w:color="000000"/>
            </w:tcBorders>
          </w:tcPr>
          <w:p>
            <w:pPr>
              <w:pStyle w:val="TableParagraph"/>
              <w:ind w:left="136" w:right="125" w:hanging="4"/>
              <w:jc w:val="center"/>
              <w:rPr>
                <w:b/>
                <w:sz w:val="20"/>
              </w:rPr>
            </w:pPr>
            <w:r>
              <w:rPr>
                <w:b/>
                <w:sz w:val="20"/>
              </w:rPr>
              <w:t>Dry Measure (any size)</w:t>
            </w:r>
          </w:p>
        </w:tc>
        <w:tc>
          <w:tcPr>
            <w:tcW w:w="1800" w:type="dxa"/>
            <w:tcBorders>
              <w:left w:val="single" w:sz="4" w:space="0" w:color="000000"/>
            </w:tcBorders>
          </w:tcPr>
          <w:p>
            <w:pPr>
              <w:pStyle w:val="TableParagraph"/>
              <w:ind w:left="343" w:right="306"/>
              <w:jc w:val="center"/>
              <w:rPr>
                <w:b/>
                <w:sz w:val="20"/>
              </w:rPr>
            </w:pPr>
            <w:r>
              <w:rPr>
                <w:b/>
                <w:sz w:val="20"/>
              </w:rPr>
              <w:t>Dry Measure (1 dry qt or larger)</w:t>
            </w:r>
          </w:p>
        </w:tc>
      </w:tr>
      <w:tr>
        <w:trPr>
          <w:trHeight w:val="315" w:hRule="atLeast"/>
        </w:trPr>
        <w:tc>
          <w:tcPr>
            <w:tcW w:w="3691" w:type="dxa"/>
            <w:tcBorders>
              <w:bottom w:val="single" w:sz="4" w:space="0" w:color="000000"/>
              <w:right w:val="single" w:sz="4" w:space="0" w:color="000000"/>
            </w:tcBorders>
          </w:tcPr>
          <w:p>
            <w:pPr>
              <w:pStyle w:val="TableParagraph"/>
              <w:ind w:left="105"/>
              <w:rPr>
                <w:sz w:val="20"/>
              </w:rPr>
            </w:pPr>
            <w:r>
              <w:rPr>
                <w:sz w:val="20"/>
              </w:rPr>
              <w:t>Artichokes</w:t>
            </w:r>
          </w:p>
        </w:tc>
        <w:tc>
          <w:tcPr>
            <w:tcW w:w="989" w:type="dxa"/>
            <w:tcBorders>
              <w:left w:val="single" w:sz="4" w:space="0" w:color="000000"/>
              <w:bottom w:val="single" w:sz="4" w:space="0" w:color="000000"/>
              <w:right w:val="single" w:sz="4" w:space="0" w:color="000000"/>
            </w:tcBorders>
          </w:tcPr>
          <w:p>
            <w:pPr>
              <w:pStyle w:val="TableParagraph"/>
              <w:ind w:left="14"/>
              <w:jc w:val="center"/>
              <w:rPr>
                <w:sz w:val="20"/>
              </w:rPr>
            </w:pPr>
            <w:r>
              <w:rPr>
                <w:w w:val="99"/>
                <w:sz w:val="20"/>
              </w:rPr>
              <w:t>X</w:t>
            </w:r>
          </w:p>
        </w:tc>
        <w:tc>
          <w:tcPr>
            <w:tcW w:w="811" w:type="dxa"/>
            <w:tcBorders>
              <w:left w:val="single" w:sz="4" w:space="0" w:color="000000"/>
              <w:bottom w:val="single" w:sz="4" w:space="0" w:color="000000"/>
              <w:right w:val="single" w:sz="4" w:space="0" w:color="000000"/>
            </w:tcBorders>
          </w:tcPr>
          <w:p>
            <w:pPr>
              <w:pStyle w:val="TableParagraph"/>
              <w:ind w:left="9"/>
              <w:jc w:val="center"/>
              <w:rPr>
                <w:sz w:val="20"/>
              </w:rPr>
            </w:pPr>
            <w:r>
              <w:rPr>
                <w:w w:val="99"/>
                <w:sz w:val="20"/>
              </w:rPr>
              <w:t>X</w:t>
            </w:r>
          </w:p>
        </w:tc>
        <w:tc>
          <w:tcPr>
            <w:tcW w:w="809" w:type="dxa"/>
            <w:tcBorders>
              <w:left w:val="single" w:sz="4" w:space="0" w:color="000000"/>
              <w:bottom w:val="single" w:sz="4" w:space="0" w:color="000000"/>
              <w:right w:val="single" w:sz="4" w:space="0" w:color="000000"/>
            </w:tcBorders>
          </w:tcPr>
          <w:p>
            <w:pPr>
              <w:pStyle w:val="TableParagraph"/>
              <w:spacing w:before="0"/>
              <w:rPr>
                <w:sz w:val="18"/>
              </w:rPr>
            </w:pPr>
          </w:p>
        </w:tc>
        <w:tc>
          <w:tcPr>
            <w:tcW w:w="1080" w:type="dxa"/>
            <w:tcBorders>
              <w:left w:val="single" w:sz="4" w:space="0" w:color="000000"/>
              <w:bottom w:val="single" w:sz="4" w:space="0" w:color="000000"/>
              <w:right w:val="single" w:sz="4" w:space="0" w:color="000000"/>
            </w:tcBorders>
          </w:tcPr>
          <w:p>
            <w:pPr>
              <w:pStyle w:val="TableParagraph"/>
              <w:spacing w:before="0"/>
              <w:rPr>
                <w:sz w:val="18"/>
              </w:rPr>
            </w:pPr>
          </w:p>
        </w:tc>
        <w:tc>
          <w:tcPr>
            <w:tcW w:w="1800" w:type="dxa"/>
            <w:tcBorders>
              <w:left w:val="single" w:sz="4" w:space="0" w:color="000000"/>
              <w:bottom w:val="single" w:sz="4" w:space="0" w:color="000000"/>
            </w:tcBorders>
          </w:tcPr>
          <w:p>
            <w:pPr>
              <w:pStyle w:val="TableParagraph"/>
              <w:spacing w:before="0"/>
              <w:rPr>
                <w:sz w:val="18"/>
              </w:rPr>
            </w:pPr>
          </w:p>
        </w:tc>
      </w:tr>
      <w:tr>
        <w:trPr>
          <w:trHeight w:val="316"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Asparagus</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809" w:type="dxa"/>
            <w:tcBorders>
              <w:top w:val="single" w:sz="4" w:space="0" w:color="000000"/>
              <w:left w:val="single" w:sz="4" w:space="0" w:color="000000"/>
              <w:bottom w:val="single" w:sz="4" w:space="0" w:color="000000"/>
              <w:right w:val="single" w:sz="4" w:space="0" w:color="000000"/>
            </w:tcBorders>
          </w:tcPr>
          <w:p>
            <w:pPr>
              <w:pStyle w:val="TableParagraph"/>
              <w:ind w:left="12"/>
              <w:jc w:val="center"/>
              <w:rPr>
                <w:sz w:val="20"/>
              </w:rPr>
            </w:pPr>
            <w:r>
              <w:rPr>
                <w:w w:val="99"/>
                <w:sz w:val="20"/>
              </w:rPr>
              <w:t>X</w:t>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bottom w:val="single" w:sz="4" w:space="0" w:color="000000"/>
            </w:tcBorders>
          </w:tcPr>
          <w:p>
            <w:pPr>
              <w:pStyle w:val="TableParagraph"/>
              <w:spacing w:before="0"/>
              <w:rPr>
                <w:sz w:val="18"/>
              </w:rPr>
            </w:pPr>
          </w:p>
        </w:tc>
      </w:tr>
      <w:tr>
        <w:trPr>
          <w:trHeight w:val="313"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Avocados</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811" w:type="dxa"/>
            <w:tcBorders>
              <w:top w:val="single" w:sz="4" w:space="0" w:color="000000"/>
              <w:left w:val="single" w:sz="4" w:space="0" w:color="000000"/>
              <w:bottom w:val="single" w:sz="4" w:space="0" w:color="000000"/>
              <w:right w:val="single" w:sz="4" w:space="0" w:color="000000"/>
            </w:tcBorders>
          </w:tcPr>
          <w:p>
            <w:pPr>
              <w:pStyle w:val="TableParagraph"/>
              <w:ind w:left="9"/>
              <w:jc w:val="center"/>
              <w:rPr>
                <w:sz w:val="20"/>
              </w:rPr>
            </w:pPr>
            <w:r>
              <w:rPr>
                <w:w w:val="99"/>
                <w:sz w:val="20"/>
              </w:rPr>
              <w:t>X</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bottom w:val="single" w:sz="4" w:space="0" w:color="000000"/>
            </w:tcBorders>
          </w:tcPr>
          <w:p>
            <w:pPr>
              <w:pStyle w:val="TableParagraph"/>
              <w:spacing w:before="0"/>
              <w:rPr>
                <w:sz w:val="18"/>
              </w:rPr>
            </w:pPr>
          </w:p>
        </w:tc>
      </w:tr>
      <w:tr>
        <w:trPr>
          <w:trHeight w:val="316"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Bananas</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ind w:left="9"/>
              <w:jc w:val="center"/>
              <w:rPr>
                <w:sz w:val="20"/>
              </w:rPr>
            </w:pPr>
            <w:r>
              <w:rPr>
                <w:w w:val="99"/>
                <w:sz w:val="20"/>
              </w:rPr>
              <w:t>X</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bottom w:val="single" w:sz="4" w:space="0" w:color="000000"/>
            </w:tcBorders>
          </w:tcPr>
          <w:p>
            <w:pPr>
              <w:pStyle w:val="TableParagraph"/>
              <w:spacing w:before="0"/>
              <w:rPr>
                <w:sz w:val="18"/>
              </w:rPr>
            </w:pPr>
          </w:p>
        </w:tc>
      </w:tr>
      <w:tr>
        <w:trPr>
          <w:trHeight w:val="316"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Beans (green, yellow, etc.)</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bottom w:val="single" w:sz="4" w:space="0" w:color="000000"/>
            </w:tcBorders>
          </w:tcPr>
          <w:p>
            <w:pPr>
              <w:pStyle w:val="TableParagraph"/>
              <w:ind w:right="799"/>
              <w:jc w:val="right"/>
              <w:rPr>
                <w:sz w:val="20"/>
              </w:rPr>
            </w:pPr>
            <w:r>
              <w:rPr>
                <w:w w:val="99"/>
                <w:sz w:val="20"/>
              </w:rPr>
              <w:t>X</w:t>
            </w:r>
          </w:p>
        </w:tc>
      </w:tr>
      <w:tr>
        <w:trPr>
          <w:trHeight w:val="316"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Brussels Sprouts (loose)</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bottom w:val="single" w:sz="4" w:space="0" w:color="000000"/>
            </w:tcBorders>
          </w:tcPr>
          <w:p>
            <w:pPr>
              <w:pStyle w:val="TableParagraph"/>
              <w:spacing w:before="0"/>
              <w:rPr>
                <w:sz w:val="18"/>
              </w:rPr>
            </w:pPr>
          </w:p>
        </w:tc>
      </w:tr>
      <w:tr>
        <w:trPr>
          <w:trHeight w:val="316"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Brussels Sprouts (on stalk)</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809" w:type="dxa"/>
            <w:tcBorders>
              <w:top w:val="single" w:sz="4" w:space="0" w:color="000000"/>
              <w:left w:val="single" w:sz="4" w:space="0" w:color="000000"/>
              <w:bottom w:val="single" w:sz="4" w:space="0" w:color="000000"/>
              <w:right w:val="single" w:sz="4" w:space="0" w:color="000000"/>
            </w:tcBorders>
          </w:tcPr>
          <w:p>
            <w:pPr>
              <w:pStyle w:val="TableParagraph"/>
              <w:ind w:left="12"/>
              <w:jc w:val="center"/>
              <w:rPr>
                <w:sz w:val="20"/>
              </w:rPr>
            </w:pPr>
            <w:r>
              <w:rPr>
                <w:w w:val="99"/>
                <w:sz w:val="20"/>
              </w:rPr>
              <w:t>X</w:t>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bottom w:val="single" w:sz="4" w:space="0" w:color="000000"/>
            </w:tcBorders>
          </w:tcPr>
          <w:p>
            <w:pPr>
              <w:pStyle w:val="TableParagraph"/>
              <w:spacing w:before="0"/>
              <w:rPr>
                <w:sz w:val="18"/>
              </w:rPr>
            </w:pPr>
          </w:p>
        </w:tc>
      </w:tr>
      <w:tr>
        <w:trPr>
          <w:trHeight w:val="316"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Cherries</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right="456"/>
              <w:jc w:val="right"/>
              <w:rPr>
                <w:sz w:val="20"/>
              </w:rPr>
            </w:pPr>
            <w:r>
              <w:rPr>
                <w:w w:val="99"/>
                <w:sz w:val="20"/>
              </w:rPr>
              <w:t>X</w:t>
            </w:r>
          </w:p>
        </w:tc>
        <w:tc>
          <w:tcPr>
            <w:tcW w:w="1800" w:type="dxa"/>
            <w:tcBorders>
              <w:top w:val="single" w:sz="4" w:space="0" w:color="000000"/>
              <w:left w:val="single" w:sz="4" w:space="0" w:color="000000"/>
              <w:bottom w:val="single" w:sz="4" w:space="0" w:color="000000"/>
            </w:tcBorders>
          </w:tcPr>
          <w:p>
            <w:pPr>
              <w:pStyle w:val="TableParagraph"/>
              <w:ind w:right="799"/>
              <w:jc w:val="right"/>
              <w:rPr>
                <w:sz w:val="20"/>
              </w:rPr>
            </w:pPr>
            <w:r>
              <w:rPr>
                <w:w w:val="99"/>
                <w:sz w:val="20"/>
              </w:rPr>
              <w:t>X</w:t>
            </w:r>
          </w:p>
        </w:tc>
      </w:tr>
      <w:tr>
        <w:trPr>
          <w:trHeight w:val="313" w:hRule="atLeast"/>
        </w:trPr>
        <w:tc>
          <w:tcPr>
            <w:tcW w:w="3691" w:type="dxa"/>
            <w:tcBorders>
              <w:top w:val="single" w:sz="4" w:space="0" w:color="000000"/>
              <w:bottom w:val="single" w:sz="4" w:space="0" w:color="000000"/>
              <w:right w:val="single" w:sz="4" w:space="0" w:color="000000"/>
            </w:tcBorders>
          </w:tcPr>
          <w:p>
            <w:pPr>
              <w:pStyle w:val="TableParagraph"/>
              <w:spacing w:before="41"/>
              <w:ind w:left="105"/>
              <w:rPr>
                <w:sz w:val="20"/>
              </w:rPr>
            </w:pPr>
            <w:r>
              <w:rPr>
                <w:sz w:val="20"/>
              </w:rPr>
              <w:t>Coconuts</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spacing w:before="41"/>
              <w:ind w:left="14"/>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41"/>
              <w:ind w:left="9"/>
              <w:jc w:val="center"/>
              <w:rPr>
                <w:sz w:val="20"/>
              </w:rPr>
            </w:pPr>
            <w:r>
              <w:rPr>
                <w:w w:val="99"/>
                <w:sz w:val="20"/>
              </w:rPr>
              <w:t>X</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bottom w:val="single" w:sz="4" w:space="0" w:color="000000"/>
            </w:tcBorders>
          </w:tcPr>
          <w:p>
            <w:pPr>
              <w:pStyle w:val="TableParagraph"/>
              <w:spacing w:before="0"/>
              <w:rPr>
                <w:sz w:val="18"/>
              </w:rPr>
            </w:pPr>
          </w:p>
        </w:tc>
      </w:tr>
      <w:tr>
        <w:trPr>
          <w:trHeight w:val="316"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Corn on the Cob</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811" w:type="dxa"/>
            <w:tcBorders>
              <w:top w:val="single" w:sz="4" w:space="0" w:color="000000"/>
              <w:left w:val="single" w:sz="4" w:space="0" w:color="000000"/>
              <w:bottom w:val="single" w:sz="4" w:space="0" w:color="000000"/>
              <w:right w:val="single" w:sz="4" w:space="0" w:color="000000"/>
            </w:tcBorders>
          </w:tcPr>
          <w:p>
            <w:pPr>
              <w:pStyle w:val="TableParagraph"/>
              <w:ind w:left="9"/>
              <w:jc w:val="center"/>
              <w:rPr>
                <w:sz w:val="20"/>
              </w:rPr>
            </w:pPr>
            <w:r>
              <w:rPr>
                <w:w w:val="99"/>
                <w:sz w:val="20"/>
              </w:rPr>
              <w:t>X</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bottom w:val="single" w:sz="4" w:space="0" w:color="000000"/>
            </w:tcBorders>
          </w:tcPr>
          <w:p>
            <w:pPr>
              <w:pStyle w:val="TableParagraph"/>
              <w:ind w:right="799"/>
              <w:jc w:val="right"/>
              <w:rPr>
                <w:sz w:val="20"/>
              </w:rPr>
            </w:pPr>
            <w:r>
              <w:rPr>
                <w:w w:val="99"/>
                <w:sz w:val="20"/>
              </w:rPr>
              <w:t>X</w:t>
            </w:r>
          </w:p>
        </w:tc>
      </w:tr>
      <w:tr>
        <w:trPr>
          <w:trHeight w:val="316"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Dates</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bottom w:val="single" w:sz="4" w:space="0" w:color="000000"/>
            </w:tcBorders>
          </w:tcPr>
          <w:p>
            <w:pPr>
              <w:pStyle w:val="TableParagraph"/>
              <w:spacing w:before="0"/>
              <w:rPr>
                <w:sz w:val="18"/>
              </w:rPr>
            </w:pPr>
          </w:p>
        </w:tc>
      </w:tr>
      <w:tr>
        <w:trPr>
          <w:trHeight w:val="316"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Eggplant</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ind w:left="9"/>
              <w:jc w:val="center"/>
              <w:rPr>
                <w:sz w:val="20"/>
              </w:rPr>
            </w:pPr>
            <w:r>
              <w:rPr>
                <w:w w:val="99"/>
                <w:sz w:val="20"/>
              </w:rPr>
              <w:t>X</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bottom w:val="single" w:sz="4" w:space="0" w:color="000000"/>
            </w:tcBorders>
          </w:tcPr>
          <w:p>
            <w:pPr>
              <w:pStyle w:val="TableParagraph"/>
              <w:spacing w:before="0"/>
              <w:rPr>
                <w:sz w:val="18"/>
              </w:rPr>
            </w:pPr>
          </w:p>
        </w:tc>
      </w:tr>
      <w:tr>
        <w:trPr>
          <w:trHeight w:val="316"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Figs</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bottom w:val="single" w:sz="4" w:space="0" w:color="000000"/>
            </w:tcBorders>
          </w:tcPr>
          <w:p>
            <w:pPr>
              <w:pStyle w:val="TableParagraph"/>
              <w:spacing w:before="0"/>
              <w:rPr>
                <w:sz w:val="18"/>
              </w:rPr>
            </w:pPr>
          </w:p>
        </w:tc>
      </w:tr>
      <w:tr>
        <w:trPr>
          <w:trHeight w:val="314"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Grapes</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bottom w:val="single" w:sz="4" w:space="0" w:color="000000"/>
            </w:tcBorders>
          </w:tcPr>
          <w:p>
            <w:pPr>
              <w:pStyle w:val="TableParagraph"/>
              <w:spacing w:before="0"/>
              <w:rPr>
                <w:sz w:val="18"/>
              </w:rPr>
            </w:pPr>
          </w:p>
        </w:tc>
      </w:tr>
      <w:tr>
        <w:trPr>
          <w:trHeight w:val="316"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Melons (cut in pieces)</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bottom w:val="single" w:sz="4" w:space="0" w:color="000000"/>
            </w:tcBorders>
          </w:tcPr>
          <w:p>
            <w:pPr>
              <w:pStyle w:val="TableParagraph"/>
              <w:spacing w:before="0"/>
              <w:rPr>
                <w:sz w:val="18"/>
              </w:rPr>
            </w:pPr>
          </w:p>
        </w:tc>
      </w:tr>
      <w:tr>
        <w:trPr>
          <w:trHeight w:val="316"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Mushrooms (small)</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80" w:type="dxa"/>
            <w:tcBorders>
              <w:top w:val="single" w:sz="4" w:space="0" w:color="000000"/>
              <w:left w:val="single" w:sz="4" w:space="0" w:color="000000"/>
              <w:bottom w:val="single" w:sz="4" w:space="0" w:color="000000"/>
              <w:right w:val="single" w:sz="4" w:space="0" w:color="000000"/>
            </w:tcBorders>
          </w:tcPr>
          <w:p>
            <w:pPr>
              <w:pStyle w:val="TableParagraph"/>
              <w:ind w:right="456"/>
              <w:jc w:val="right"/>
              <w:rPr>
                <w:sz w:val="20"/>
              </w:rPr>
            </w:pPr>
            <w:r>
              <w:rPr>
                <w:w w:val="99"/>
                <w:sz w:val="20"/>
              </w:rPr>
              <w:t>X</w:t>
            </w:r>
          </w:p>
        </w:tc>
        <w:tc>
          <w:tcPr>
            <w:tcW w:w="1800" w:type="dxa"/>
            <w:tcBorders>
              <w:top w:val="single" w:sz="4" w:space="0" w:color="000000"/>
              <w:left w:val="single" w:sz="4" w:space="0" w:color="000000"/>
              <w:bottom w:val="single" w:sz="4" w:space="0" w:color="000000"/>
            </w:tcBorders>
          </w:tcPr>
          <w:p>
            <w:pPr>
              <w:pStyle w:val="TableParagraph"/>
              <w:ind w:right="799"/>
              <w:jc w:val="right"/>
              <w:rPr>
                <w:sz w:val="20"/>
              </w:rPr>
            </w:pPr>
            <w:r>
              <w:rPr>
                <w:w w:val="99"/>
                <w:sz w:val="20"/>
              </w:rPr>
              <w:t>X</w:t>
            </w:r>
          </w:p>
        </w:tc>
      </w:tr>
      <w:tr>
        <w:trPr>
          <w:trHeight w:val="316"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Mushrooms (portobello, large)</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ind w:left="9"/>
              <w:jc w:val="center"/>
              <w:rPr>
                <w:sz w:val="20"/>
              </w:rPr>
            </w:pPr>
            <w:r>
              <w:rPr>
                <w:w w:val="99"/>
                <w:sz w:val="20"/>
              </w:rPr>
              <w:t>X</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bottom w:val="single" w:sz="4" w:space="0" w:color="000000"/>
            </w:tcBorders>
          </w:tcPr>
          <w:p>
            <w:pPr>
              <w:pStyle w:val="TableParagraph"/>
              <w:spacing w:before="0"/>
              <w:rPr>
                <w:sz w:val="18"/>
              </w:rPr>
            </w:pPr>
          </w:p>
        </w:tc>
      </w:tr>
      <w:tr>
        <w:trPr>
          <w:trHeight w:val="316"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Okra</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bottom w:val="single" w:sz="4" w:space="0" w:color="000000"/>
            </w:tcBorders>
          </w:tcPr>
          <w:p>
            <w:pPr>
              <w:pStyle w:val="TableParagraph"/>
              <w:spacing w:before="0"/>
              <w:rPr>
                <w:sz w:val="18"/>
              </w:rPr>
            </w:pPr>
          </w:p>
        </w:tc>
      </w:tr>
      <w:tr>
        <w:trPr>
          <w:trHeight w:val="316"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Peas</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bottom w:val="single" w:sz="4" w:space="0" w:color="000000"/>
            </w:tcBorders>
          </w:tcPr>
          <w:p>
            <w:pPr>
              <w:pStyle w:val="TableParagraph"/>
              <w:ind w:right="799"/>
              <w:jc w:val="right"/>
              <w:rPr>
                <w:sz w:val="20"/>
              </w:rPr>
            </w:pPr>
            <w:r>
              <w:rPr>
                <w:w w:val="99"/>
                <w:sz w:val="20"/>
              </w:rPr>
              <w:t>X</w:t>
            </w:r>
          </w:p>
        </w:tc>
      </w:tr>
      <w:tr>
        <w:trPr>
          <w:trHeight w:val="313"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Peppers (bell and other varieties)</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ind w:left="9"/>
              <w:jc w:val="center"/>
              <w:rPr>
                <w:sz w:val="20"/>
              </w:rPr>
            </w:pPr>
            <w:r>
              <w:rPr>
                <w:w w:val="99"/>
                <w:sz w:val="20"/>
              </w:rPr>
              <w:t>X</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bottom w:val="single" w:sz="4" w:space="0" w:color="000000"/>
            </w:tcBorders>
          </w:tcPr>
          <w:p>
            <w:pPr>
              <w:pStyle w:val="TableParagraph"/>
              <w:ind w:right="799"/>
              <w:jc w:val="right"/>
              <w:rPr>
                <w:sz w:val="20"/>
              </w:rPr>
            </w:pPr>
            <w:r>
              <w:rPr>
                <w:w w:val="99"/>
                <w:sz w:val="20"/>
              </w:rPr>
              <w:t>X</w:t>
            </w:r>
          </w:p>
        </w:tc>
      </w:tr>
      <w:tr>
        <w:trPr>
          <w:trHeight w:val="316"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Pineapples</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ind w:left="9"/>
              <w:jc w:val="center"/>
              <w:rPr>
                <w:sz w:val="20"/>
              </w:rPr>
            </w:pPr>
            <w:r>
              <w:rPr>
                <w:w w:val="99"/>
                <w:sz w:val="20"/>
              </w:rPr>
              <w:t>X</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bottom w:val="single" w:sz="4" w:space="0" w:color="000000"/>
            </w:tcBorders>
          </w:tcPr>
          <w:p>
            <w:pPr>
              <w:pStyle w:val="TableParagraph"/>
              <w:spacing w:before="0"/>
              <w:rPr>
                <w:sz w:val="18"/>
              </w:rPr>
            </w:pPr>
          </w:p>
        </w:tc>
      </w:tr>
      <w:tr>
        <w:trPr>
          <w:trHeight w:val="316" w:hRule="atLeast"/>
        </w:trPr>
        <w:tc>
          <w:tcPr>
            <w:tcW w:w="3691" w:type="dxa"/>
            <w:tcBorders>
              <w:top w:val="single" w:sz="4" w:space="0" w:color="000000"/>
              <w:bottom w:val="single" w:sz="4" w:space="0" w:color="000000"/>
              <w:right w:val="single" w:sz="4" w:space="0" w:color="000000"/>
            </w:tcBorders>
          </w:tcPr>
          <w:p>
            <w:pPr>
              <w:pStyle w:val="TableParagraph"/>
              <w:ind w:left="105"/>
              <w:rPr>
                <w:sz w:val="20"/>
              </w:rPr>
            </w:pPr>
            <w:r>
              <w:rPr>
                <w:sz w:val="20"/>
              </w:rPr>
              <w:t>Rhubarb</w:t>
            </w:r>
          </w:p>
        </w:tc>
        <w:tc>
          <w:tcPr>
            <w:tcW w:w="989" w:type="dxa"/>
            <w:tcBorders>
              <w:top w:val="single" w:sz="4" w:space="0" w:color="000000"/>
              <w:left w:val="single" w:sz="4" w:space="0" w:color="000000"/>
              <w:bottom w:val="single" w:sz="4" w:space="0" w:color="000000"/>
              <w:right w:val="single" w:sz="4" w:space="0" w:color="000000"/>
            </w:tcBorders>
          </w:tcPr>
          <w:p>
            <w:pPr>
              <w:pStyle w:val="TableParagraph"/>
              <w:ind w:left="14"/>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809" w:type="dxa"/>
            <w:tcBorders>
              <w:top w:val="single" w:sz="4" w:space="0" w:color="000000"/>
              <w:left w:val="single" w:sz="4" w:space="0" w:color="000000"/>
              <w:bottom w:val="single" w:sz="4" w:space="0" w:color="000000"/>
              <w:right w:val="single" w:sz="4" w:space="0" w:color="000000"/>
            </w:tcBorders>
          </w:tcPr>
          <w:p>
            <w:pPr>
              <w:pStyle w:val="TableParagraph"/>
              <w:ind w:left="12"/>
              <w:jc w:val="center"/>
              <w:rPr>
                <w:sz w:val="20"/>
              </w:rPr>
            </w:pPr>
            <w:r>
              <w:rPr>
                <w:w w:val="99"/>
                <w:sz w:val="20"/>
              </w:rPr>
              <w:t>X</w:t>
            </w:r>
          </w:p>
        </w:tc>
        <w:tc>
          <w:tcPr>
            <w:tcW w:w="1080"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bottom w:val="single" w:sz="4" w:space="0" w:color="000000"/>
            </w:tcBorders>
          </w:tcPr>
          <w:p>
            <w:pPr>
              <w:pStyle w:val="TableParagraph"/>
              <w:spacing w:before="0"/>
              <w:rPr>
                <w:sz w:val="18"/>
              </w:rPr>
            </w:pPr>
          </w:p>
        </w:tc>
      </w:tr>
      <w:tr>
        <w:trPr>
          <w:trHeight w:val="315" w:hRule="atLeast"/>
        </w:trPr>
        <w:tc>
          <w:tcPr>
            <w:tcW w:w="3691" w:type="dxa"/>
            <w:tcBorders>
              <w:top w:val="single" w:sz="4" w:space="0" w:color="000000"/>
              <w:right w:val="single" w:sz="4" w:space="0" w:color="000000"/>
            </w:tcBorders>
          </w:tcPr>
          <w:p>
            <w:pPr>
              <w:pStyle w:val="TableParagraph"/>
              <w:ind w:left="105"/>
              <w:rPr>
                <w:sz w:val="20"/>
              </w:rPr>
            </w:pPr>
            <w:r>
              <w:rPr>
                <w:sz w:val="20"/>
              </w:rPr>
              <w:t>Tomatoes (except cherry/grape)</w:t>
            </w:r>
          </w:p>
        </w:tc>
        <w:tc>
          <w:tcPr>
            <w:tcW w:w="989" w:type="dxa"/>
            <w:tcBorders>
              <w:top w:val="single" w:sz="4" w:space="0" w:color="000000"/>
              <w:left w:val="single" w:sz="4" w:space="0" w:color="000000"/>
              <w:right w:val="single" w:sz="4" w:space="0" w:color="000000"/>
            </w:tcBorders>
          </w:tcPr>
          <w:p>
            <w:pPr>
              <w:pStyle w:val="TableParagraph"/>
              <w:ind w:left="14"/>
              <w:jc w:val="center"/>
              <w:rPr>
                <w:sz w:val="20"/>
              </w:rPr>
            </w:pPr>
            <w:r>
              <w:rPr>
                <w:w w:val="99"/>
                <w:sz w:val="20"/>
              </w:rPr>
              <w:t>X</w:t>
            </w:r>
          </w:p>
        </w:tc>
        <w:tc>
          <w:tcPr>
            <w:tcW w:w="811" w:type="dxa"/>
            <w:tcBorders>
              <w:top w:val="single" w:sz="4" w:space="0" w:color="000000"/>
              <w:left w:val="single" w:sz="4" w:space="0" w:color="000000"/>
              <w:right w:val="single" w:sz="4" w:space="0" w:color="000000"/>
            </w:tcBorders>
          </w:tcPr>
          <w:p>
            <w:pPr>
              <w:pStyle w:val="TableParagraph"/>
              <w:ind w:left="9"/>
              <w:jc w:val="center"/>
              <w:rPr>
                <w:sz w:val="20"/>
              </w:rPr>
            </w:pPr>
            <w:r>
              <w:rPr>
                <w:w w:val="99"/>
                <w:sz w:val="20"/>
              </w:rPr>
              <w:t>X</w:t>
            </w:r>
          </w:p>
        </w:tc>
        <w:tc>
          <w:tcPr>
            <w:tcW w:w="809" w:type="dxa"/>
            <w:tcBorders>
              <w:top w:val="single" w:sz="4" w:space="0" w:color="000000"/>
              <w:left w:val="single" w:sz="4" w:space="0" w:color="000000"/>
              <w:right w:val="single" w:sz="4" w:space="0" w:color="000000"/>
            </w:tcBorders>
          </w:tcPr>
          <w:p>
            <w:pPr>
              <w:pStyle w:val="TableParagraph"/>
              <w:spacing w:before="0"/>
              <w:rPr>
                <w:sz w:val="18"/>
              </w:rPr>
            </w:pPr>
          </w:p>
        </w:tc>
        <w:tc>
          <w:tcPr>
            <w:tcW w:w="1080" w:type="dxa"/>
            <w:tcBorders>
              <w:top w:val="single" w:sz="4" w:space="0" w:color="000000"/>
              <w:left w:val="single" w:sz="4" w:space="0" w:color="000000"/>
              <w:right w:val="single" w:sz="4" w:space="0" w:color="000000"/>
            </w:tcBorders>
          </w:tcPr>
          <w:p>
            <w:pPr>
              <w:pStyle w:val="TableParagraph"/>
              <w:spacing w:before="0"/>
              <w:rPr>
                <w:sz w:val="18"/>
              </w:rPr>
            </w:pPr>
          </w:p>
        </w:tc>
        <w:tc>
          <w:tcPr>
            <w:tcW w:w="1800" w:type="dxa"/>
            <w:tcBorders>
              <w:top w:val="single" w:sz="4" w:space="0" w:color="000000"/>
              <w:left w:val="single" w:sz="4" w:space="0" w:color="000000"/>
            </w:tcBorders>
          </w:tcPr>
          <w:p>
            <w:pPr>
              <w:pStyle w:val="TableParagraph"/>
              <w:ind w:right="799"/>
              <w:jc w:val="right"/>
              <w:rPr>
                <w:sz w:val="20"/>
              </w:rPr>
            </w:pPr>
            <w:r>
              <w:rPr>
                <w:w w:val="99"/>
                <w:sz w:val="20"/>
              </w:rPr>
              <w:t>X</w:t>
            </w:r>
          </w:p>
        </w:tc>
      </w:tr>
    </w:tbl>
    <w:p>
      <w:pPr>
        <w:spacing w:after="0"/>
        <w:jc w:val="right"/>
        <w:rPr>
          <w:sz w:val="20"/>
        </w:rPr>
        <w:sectPr>
          <w:footerReference w:type="even" r:id="rId11"/>
          <w:footerReference w:type="default" r:id="rId12"/>
          <w:pgSz w:w="12240" w:h="15840"/>
          <w:pgMar w:footer="741" w:header="730" w:top="1340" w:bottom="940" w:left="1260" w:right="1020"/>
        </w:sectPr>
      </w:pPr>
    </w:p>
    <w:p>
      <w:pPr>
        <w:pStyle w:val="BodyText"/>
        <w:spacing w:before="9"/>
        <w:rPr>
          <w:sz w:val="25"/>
        </w:rPr>
      </w:pPr>
    </w:p>
    <w:tbl>
      <w:tblPr>
        <w:tblW w:w="0" w:type="auto"/>
        <w:jc w:val="left"/>
        <w:tblInd w:w="29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378"/>
        <w:gridCol w:w="900"/>
        <w:gridCol w:w="811"/>
        <w:gridCol w:w="799"/>
        <w:gridCol w:w="1041"/>
        <w:gridCol w:w="1226"/>
      </w:tblGrid>
      <w:tr>
        <w:trPr>
          <w:trHeight w:val="545" w:hRule="atLeast"/>
        </w:trPr>
        <w:tc>
          <w:tcPr>
            <w:tcW w:w="9155" w:type="dxa"/>
            <w:gridSpan w:val="6"/>
          </w:tcPr>
          <w:p>
            <w:pPr>
              <w:pStyle w:val="TableParagraph"/>
              <w:spacing w:before="45"/>
              <w:ind w:left="3347" w:right="2230" w:hanging="1083"/>
              <w:rPr>
                <w:b/>
                <w:sz w:val="20"/>
              </w:rPr>
            </w:pPr>
            <w:r>
              <w:rPr>
                <w:b/>
                <w:sz w:val="20"/>
              </w:rPr>
              <w:t>Method of Retail Sale for Fresh Fruits and Vegetables General Commodity Groups</w:t>
            </w:r>
          </w:p>
        </w:tc>
      </w:tr>
      <w:tr>
        <w:trPr>
          <w:trHeight w:val="1006" w:hRule="atLeast"/>
        </w:trPr>
        <w:tc>
          <w:tcPr>
            <w:tcW w:w="4378" w:type="dxa"/>
            <w:tcBorders>
              <w:right w:val="single" w:sz="4" w:space="0" w:color="000000"/>
            </w:tcBorders>
          </w:tcPr>
          <w:p>
            <w:pPr>
              <w:pStyle w:val="TableParagraph"/>
              <w:spacing w:before="0"/>
              <w:rPr>
                <w:sz w:val="22"/>
              </w:rPr>
            </w:pPr>
          </w:p>
          <w:p>
            <w:pPr>
              <w:pStyle w:val="TableParagraph"/>
              <w:spacing w:before="135"/>
              <w:ind w:left="1655" w:right="1650"/>
              <w:jc w:val="center"/>
              <w:rPr>
                <w:b/>
                <w:sz w:val="20"/>
              </w:rPr>
            </w:pPr>
            <w:r>
              <w:rPr>
                <w:b/>
                <w:sz w:val="20"/>
              </w:rPr>
              <w:t>Commodity</w:t>
            </w:r>
          </w:p>
        </w:tc>
        <w:tc>
          <w:tcPr>
            <w:tcW w:w="900" w:type="dxa"/>
            <w:tcBorders>
              <w:left w:val="single" w:sz="4" w:space="0" w:color="000000"/>
              <w:right w:val="single" w:sz="4" w:space="0" w:color="000000"/>
            </w:tcBorders>
          </w:tcPr>
          <w:p>
            <w:pPr>
              <w:pStyle w:val="TableParagraph"/>
              <w:spacing w:before="0"/>
              <w:rPr>
                <w:sz w:val="22"/>
              </w:rPr>
            </w:pPr>
          </w:p>
          <w:p>
            <w:pPr>
              <w:pStyle w:val="TableParagraph"/>
              <w:spacing w:before="135"/>
              <w:ind w:left="119" w:right="107"/>
              <w:jc w:val="center"/>
              <w:rPr>
                <w:b/>
                <w:sz w:val="20"/>
              </w:rPr>
            </w:pPr>
            <w:r>
              <w:rPr>
                <w:b/>
                <w:sz w:val="20"/>
              </w:rPr>
              <w:t>Weight</w:t>
            </w:r>
          </w:p>
        </w:tc>
        <w:tc>
          <w:tcPr>
            <w:tcW w:w="811" w:type="dxa"/>
            <w:tcBorders>
              <w:left w:val="single" w:sz="4" w:space="0" w:color="000000"/>
              <w:right w:val="single" w:sz="4" w:space="0" w:color="000000"/>
            </w:tcBorders>
          </w:tcPr>
          <w:p>
            <w:pPr>
              <w:pStyle w:val="TableParagraph"/>
              <w:spacing w:before="0"/>
              <w:rPr>
                <w:sz w:val="22"/>
              </w:rPr>
            </w:pPr>
          </w:p>
          <w:p>
            <w:pPr>
              <w:pStyle w:val="TableParagraph"/>
              <w:spacing w:before="135"/>
              <w:ind w:left="117" w:right="105"/>
              <w:jc w:val="center"/>
              <w:rPr>
                <w:b/>
                <w:sz w:val="20"/>
              </w:rPr>
            </w:pPr>
            <w:r>
              <w:rPr>
                <w:b/>
                <w:sz w:val="20"/>
              </w:rPr>
              <w:t>Count</w:t>
            </w:r>
          </w:p>
        </w:tc>
        <w:tc>
          <w:tcPr>
            <w:tcW w:w="799" w:type="dxa"/>
            <w:tcBorders>
              <w:left w:val="single" w:sz="4" w:space="0" w:color="000000"/>
              <w:right w:val="single" w:sz="4" w:space="0" w:color="000000"/>
            </w:tcBorders>
          </w:tcPr>
          <w:p>
            <w:pPr>
              <w:pStyle w:val="TableParagraph"/>
              <w:spacing w:before="158"/>
              <w:ind w:left="122" w:right="110" w:firstLine="2"/>
              <w:jc w:val="center"/>
              <w:rPr>
                <w:b/>
                <w:sz w:val="20"/>
              </w:rPr>
            </w:pPr>
            <w:r>
              <w:rPr>
                <w:b/>
                <w:sz w:val="20"/>
              </w:rPr>
              <w:t>Head or </w:t>
            </w:r>
            <w:r>
              <w:rPr>
                <w:b/>
                <w:w w:val="95"/>
                <w:sz w:val="20"/>
              </w:rPr>
              <w:t>Bunch</w:t>
            </w:r>
          </w:p>
        </w:tc>
        <w:tc>
          <w:tcPr>
            <w:tcW w:w="1041" w:type="dxa"/>
            <w:tcBorders>
              <w:left w:val="single" w:sz="4" w:space="0" w:color="000000"/>
              <w:right w:val="single" w:sz="4" w:space="0" w:color="000000"/>
            </w:tcBorders>
          </w:tcPr>
          <w:p>
            <w:pPr>
              <w:pStyle w:val="TableParagraph"/>
              <w:spacing w:before="158"/>
              <w:ind w:left="120" w:right="102" w:firstLine="1"/>
              <w:jc w:val="center"/>
              <w:rPr>
                <w:b/>
                <w:sz w:val="20"/>
              </w:rPr>
            </w:pPr>
            <w:r>
              <w:rPr>
                <w:b/>
                <w:sz w:val="20"/>
              </w:rPr>
              <w:t>Dry Measure (any size)</w:t>
            </w:r>
          </w:p>
        </w:tc>
        <w:tc>
          <w:tcPr>
            <w:tcW w:w="1226" w:type="dxa"/>
            <w:tcBorders>
              <w:left w:val="single" w:sz="4" w:space="0" w:color="000000"/>
            </w:tcBorders>
          </w:tcPr>
          <w:p>
            <w:pPr>
              <w:pStyle w:val="TableParagraph"/>
              <w:spacing w:before="45"/>
              <w:ind w:left="161" w:right="136"/>
              <w:jc w:val="center"/>
              <w:rPr>
                <w:b/>
                <w:sz w:val="20"/>
              </w:rPr>
            </w:pPr>
            <w:r>
              <w:rPr>
                <w:b/>
                <w:sz w:val="20"/>
              </w:rPr>
              <w:t>Dry Meas- ure (1 dry qt or larger)</w:t>
            </w:r>
          </w:p>
        </w:tc>
      </w:tr>
      <w:tr>
        <w:trPr>
          <w:trHeight w:val="316" w:hRule="atLeast"/>
        </w:trPr>
        <w:tc>
          <w:tcPr>
            <w:tcW w:w="4378" w:type="dxa"/>
            <w:tcBorders>
              <w:bottom w:val="single" w:sz="4" w:space="0" w:color="000000"/>
              <w:right w:val="single" w:sz="4" w:space="0" w:color="000000"/>
            </w:tcBorders>
          </w:tcPr>
          <w:p>
            <w:pPr>
              <w:pStyle w:val="TableParagraph"/>
              <w:ind w:left="107"/>
              <w:rPr>
                <w:sz w:val="20"/>
              </w:rPr>
            </w:pPr>
            <w:r>
              <w:rPr>
                <w:sz w:val="20"/>
              </w:rPr>
              <w:t>Berries and Cherry/Grape Tomatoes</w:t>
            </w:r>
          </w:p>
        </w:tc>
        <w:tc>
          <w:tcPr>
            <w:tcW w:w="900" w:type="dxa"/>
            <w:tcBorders>
              <w:left w:val="single" w:sz="4" w:space="0" w:color="000000"/>
              <w:bottom w:val="single" w:sz="4" w:space="0" w:color="000000"/>
              <w:right w:val="single" w:sz="4" w:space="0" w:color="000000"/>
            </w:tcBorders>
          </w:tcPr>
          <w:p>
            <w:pPr>
              <w:pStyle w:val="TableParagraph"/>
              <w:ind w:left="25"/>
              <w:jc w:val="center"/>
              <w:rPr>
                <w:sz w:val="20"/>
              </w:rPr>
            </w:pPr>
            <w:r>
              <w:rPr>
                <w:w w:val="99"/>
                <w:sz w:val="20"/>
              </w:rPr>
              <w:t>X</w:t>
            </w:r>
          </w:p>
        </w:tc>
        <w:tc>
          <w:tcPr>
            <w:tcW w:w="811" w:type="dxa"/>
            <w:tcBorders>
              <w:left w:val="single" w:sz="4" w:space="0" w:color="000000"/>
              <w:bottom w:val="single" w:sz="4" w:space="0" w:color="000000"/>
              <w:right w:val="single" w:sz="4" w:space="0" w:color="000000"/>
            </w:tcBorders>
          </w:tcPr>
          <w:p>
            <w:pPr>
              <w:pStyle w:val="TableParagraph"/>
              <w:spacing w:before="0"/>
              <w:rPr>
                <w:sz w:val="18"/>
              </w:rPr>
            </w:pPr>
          </w:p>
        </w:tc>
        <w:tc>
          <w:tcPr>
            <w:tcW w:w="799" w:type="dxa"/>
            <w:tcBorders>
              <w:left w:val="single" w:sz="4" w:space="0" w:color="000000"/>
              <w:bottom w:val="single" w:sz="4" w:space="0" w:color="000000"/>
              <w:right w:val="single" w:sz="4" w:space="0" w:color="000000"/>
            </w:tcBorders>
          </w:tcPr>
          <w:p>
            <w:pPr>
              <w:pStyle w:val="TableParagraph"/>
              <w:spacing w:before="0"/>
              <w:rPr>
                <w:sz w:val="18"/>
              </w:rPr>
            </w:pPr>
          </w:p>
        </w:tc>
        <w:tc>
          <w:tcPr>
            <w:tcW w:w="1041" w:type="dxa"/>
            <w:tcBorders>
              <w:left w:val="single" w:sz="4" w:space="0" w:color="000000"/>
              <w:bottom w:val="single" w:sz="4" w:space="0" w:color="000000"/>
              <w:right w:val="single" w:sz="4" w:space="0" w:color="000000"/>
            </w:tcBorders>
          </w:tcPr>
          <w:p>
            <w:pPr>
              <w:pStyle w:val="TableParagraph"/>
              <w:ind w:right="429"/>
              <w:jc w:val="right"/>
              <w:rPr>
                <w:sz w:val="20"/>
              </w:rPr>
            </w:pPr>
            <w:r>
              <w:rPr>
                <w:w w:val="99"/>
                <w:sz w:val="20"/>
              </w:rPr>
              <w:t>X</w:t>
            </w:r>
          </w:p>
        </w:tc>
        <w:tc>
          <w:tcPr>
            <w:tcW w:w="1226" w:type="dxa"/>
            <w:tcBorders>
              <w:left w:val="single" w:sz="4" w:space="0" w:color="000000"/>
              <w:bottom w:val="single" w:sz="4" w:space="0" w:color="000000"/>
            </w:tcBorders>
          </w:tcPr>
          <w:p>
            <w:pPr>
              <w:pStyle w:val="TableParagraph"/>
              <w:spacing w:before="0"/>
              <w:rPr>
                <w:sz w:val="18"/>
              </w:rPr>
            </w:pPr>
          </w:p>
        </w:tc>
      </w:tr>
      <w:tr>
        <w:trPr>
          <w:trHeight w:val="316" w:hRule="atLeast"/>
        </w:trPr>
        <w:tc>
          <w:tcPr>
            <w:tcW w:w="4378" w:type="dxa"/>
            <w:tcBorders>
              <w:top w:val="single" w:sz="4" w:space="0" w:color="000000"/>
              <w:bottom w:val="single" w:sz="4" w:space="0" w:color="000000"/>
              <w:right w:val="single" w:sz="4" w:space="0" w:color="000000"/>
            </w:tcBorders>
          </w:tcPr>
          <w:p>
            <w:pPr>
              <w:pStyle w:val="TableParagraph"/>
              <w:ind w:left="107"/>
              <w:rPr>
                <w:sz w:val="20"/>
              </w:rPr>
            </w:pPr>
            <w:r>
              <w:rPr>
                <w:sz w:val="20"/>
              </w:rPr>
              <w:t>Citrus Fruits (oranges, grapefruits, lemons, etc.)</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ind w:left="25"/>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ind w:left="23"/>
              <w:jc w:val="center"/>
              <w:rPr>
                <w:sz w:val="20"/>
              </w:rPr>
            </w:pPr>
            <w:r>
              <w:rPr>
                <w:w w:val="99"/>
                <w:sz w:val="20"/>
              </w:rPr>
              <w:t>X</w:t>
            </w:r>
          </w:p>
        </w:tc>
        <w:tc>
          <w:tcPr>
            <w:tcW w:w="79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4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226" w:type="dxa"/>
            <w:tcBorders>
              <w:top w:val="single" w:sz="4" w:space="0" w:color="000000"/>
              <w:left w:val="single" w:sz="4" w:space="0" w:color="000000"/>
              <w:bottom w:val="single" w:sz="4" w:space="0" w:color="000000"/>
            </w:tcBorders>
          </w:tcPr>
          <w:p>
            <w:pPr>
              <w:pStyle w:val="TableParagraph"/>
              <w:ind w:left="33"/>
              <w:jc w:val="center"/>
              <w:rPr>
                <w:sz w:val="20"/>
              </w:rPr>
            </w:pPr>
            <w:r>
              <w:rPr>
                <w:w w:val="99"/>
                <w:sz w:val="20"/>
              </w:rPr>
              <w:t>X</w:t>
            </w:r>
          </w:p>
        </w:tc>
      </w:tr>
      <w:tr>
        <w:trPr>
          <w:trHeight w:val="546" w:hRule="atLeast"/>
        </w:trPr>
        <w:tc>
          <w:tcPr>
            <w:tcW w:w="4378" w:type="dxa"/>
            <w:tcBorders>
              <w:top w:val="single" w:sz="4" w:space="0" w:color="000000"/>
              <w:bottom w:val="single" w:sz="4" w:space="0" w:color="000000"/>
              <w:right w:val="single" w:sz="4" w:space="0" w:color="000000"/>
            </w:tcBorders>
          </w:tcPr>
          <w:p>
            <w:pPr>
              <w:pStyle w:val="TableParagraph"/>
              <w:ind w:left="251" w:right="542" w:hanging="144"/>
              <w:rPr>
                <w:sz w:val="20"/>
              </w:rPr>
            </w:pPr>
            <w:r>
              <w:rPr>
                <w:sz w:val="20"/>
              </w:rPr>
              <w:t>Edible Bulbs (onions [spring or green], garlic, leeks, etc.)</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spacing w:before="158"/>
              <w:ind w:left="25"/>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58"/>
              <w:ind w:left="23"/>
              <w:jc w:val="center"/>
              <w:rPr>
                <w:sz w:val="20"/>
              </w:rPr>
            </w:pPr>
            <w:r>
              <w:rPr>
                <w:w w:val="99"/>
                <w:sz w:val="20"/>
              </w:rPr>
              <w:t>X</w:t>
            </w:r>
          </w:p>
        </w:tc>
        <w:tc>
          <w:tcPr>
            <w:tcW w:w="799" w:type="dxa"/>
            <w:tcBorders>
              <w:top w:val="single" w:sz="4" w:space="0" w:color="000000"/>
              <w:left w:val="single" w:sz="4" w:space="0" w:color="000000"/>
              <w:bottom w:val="single" w:sz="4" w:space="0" w:color="000000"/>
              <w:right w:val="single" w:sz="4" w:space="0" w:color="000000"/>
            </w:tcBorders>
          </w:tcPr>
          <w:p>
            <w:pPr>
              <w:pStyle w:val="TableParagraph"/>
              <w:spacing w:before="158"/>
              <w:ind w:right="310"/>
              <w:jc w:val="right"/>
              <w:rPr>
                <w:sz w:val="20"/>
              </w:rPr>
            </w:pPr>
            <w:r>
              <w:rPr>
                <w:w w:val="99"/>
                <w:sz w:val="20"/>
              </w:rPr>
              <w:t>X</w:t>
            </w:r>
          </w:p>
        </w:tc>
        <w:tc>
          <w:tcPr>
            <w:tcW w:w="104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226" w:type="dxa"/>
            <w:tcBorders>
              <w:top w:val="single" w:sz="4" w:space="0" w:color="000000"/>
              <w:left w:val="single" w:sz="4" w:space="0" w:color="000000"/>
              <w:bottom w:val="single" w:sz="4" w:space="0" w:color="000000"/>
            </w:tcBorders>
          </w:tcPr>
          <w:p>
            <w:pPr>
              <w:pStyle w:val="TableParagraph"/>
              <w:spacing w:before="158"/>
              <w:ind w:left="32"/>
              <w:jc w:val="center"/>
              <w:rPr>
                <w:sz w:val="20"/>
              </w:rPr>
            </w:pPr>
            <w:r>
              <w:rPr>
                <w:w w:val="99"/>
                <w:sz w:val="20"/>
              </w:rPr>
              <w:t>X</w:t>
            </w:r>
          </w:p>
        </w:tc>
      </w:tr>
      <w:tr>
        <w:trPr>
          <w:trHeight w:val="544" w:hRule="atLeast"/>
        </w:trPr>
        <w:tc>
          <w:tcPr>
            <w:tcW w:w="4378" w:type="dxa"/>
            <w:tcBorders>
              <w:top w:val="single" w:sz="4" w:space="0" w:color="000000"/>
              <w:bottom w:val="single" w:sz="4" w:space="0" w:color="000000"/>
              <w:right w:val="single" w:sz="4" w:space="0" w:color="000000"/>
            </w:tcBorders>
          </w:tcPr>
          <w:p>
            <w:pPr>
              <w:pStyle w:val="TableParagraph"/>
              <w:spacing w:before="41"/>
              <w:ind w:left="251" w:right="209" w:hanging="144"/>
              <w:rPr>
                <w:sz w:val="20"/>
              </w:rPr>
            </w:pPr>
            <w:r>
              <w:rPr>
                <w:sz w:val="20"/>
              </w:rPr>
              <w:t>Edible Tubers (Irish potatoes, sweet potatoes, gin- ger, horseradish, etc.)</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spacing w:before="156"/>
              <w:ind w:left="25"/>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79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4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226" w:type="dxa"/>
            <w:tcBorders>
              <w:top w:val="single" w:sz="4" w:space="0" w:color="000000"/>
              <w:left w:val="single" w:sz="4" w:space="0" w:color="000000"/>
              <w:bottom w:val="single" w:sz="4" w:space="0" w:color="000000"/>
            </w:tcBorders>
          </w:tcPr>
          <w:p>
            <w:pPr>
              <w:pStyle w:val="TableParagraph"/>
              <w:spacing w:before="156"/>
              <w:ind w:left="32"/>
              <w:jc w:val="center"/>
              <w:rPr>
                <w:sz w:val="20"/>
              </w:rPr>
            </w:pPr>
            <w:r>
              <w:rPr>
                <w:w w:val="99"/>
                <w:sz w:val="20"/>
              </w:rPr>
              <w:t>X</w:t>
            </w:r>
          </w:p>
        </w:tc>
      </w:tr>
      <w:tr>
        <w:trPr>
          <w:trHeight w:val="546" w:hRule="atLeast"/>
        </w:trPr>
        <w:tc>
          <w:tcPr>
            <w:tcW w:w="4378" w:type="dxa"/>
            <w:tcBorders>
              <w:top w:val="single" w:sz="4" w:space="0" w:color="000000"/>
              <w:bottom w:val="single" w:sz="4" w:space="0" w:color="000000"/>
              <w:right w:val="single" w:sz="4" w:space="0" w:color="000000"/>
            </w:tcBorders>
          </w:tcPr>
          <w:p>
            <w:pPr>
              <w:pStyle w:val="TableParagraph"/>
              <w:ind w:left="251" w:hanging="144"/>
              <w:rPr>
                <w:sz w:val="20"/>
              </w:rPr>
            </w:pPr>
            <w:r>
              <w:rPr>
                <w:sz w:val="20"/>
              </w:rPr>
              <w:t>Flower Vegetables (broccoli, cauliflower, Brussel sprouts, etc.)</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spacing w:before="158"/>
              <w:ind w:left="25"/>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799" w:type="dxa"/>
            <w:tcBorders>
              <w:top w:val="single" w:sz="4" w:space="0" w:color="000000"/>
              <w:left w:val="single" w:sz="4" w:space="0" w:color="000000"/>
              <w:bottom w:val="single" w:sz="4" w:space="0" w:color="000000"/>
              <w:right w:val="single" w:sz="4" w:space="0" w:color="000000"/>
            </w:tcBorders>
          </w:tcPr>
          <w:p>
            <w:pPr>
              <w:pStyle w:val="TableParagraph"/>
              <w:spacing w:before="158"/>
              <w:ind w:right="309"/>
              <w:jc w:val="right"/>
              <w:rPr>
                <w:sz w:val="20"/>
              </w:rPr>
            </w:pPr>
            <w:r>
              <w:rPr>
                <w:w w:val="99"/>
                <w:sz w:val="20"/>
              </w:rPr>
              <w:t>X</w:t>
            </w:r>
          </w:p>
        </w:tc>
        <w:tc>
          <w:tcPr>
            <w:tcW w:w="104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226" w:type="dxa"/>
            <w:tcBorders>
              <w:top w:val="single" w:sz="4" w:space="0" w:color="000000"/>
              <w:left w:val="single" w:sz="4" w:space="0" w:color="000000"/>
              <w:bottom w:val="single" w:sz="4" w:space="0" w:color="000000"/>
            </w:tcBorders>
          </w:tcPr>
          <w:p>
            <w:pPr>
              <w:pStyle w:val="TableParagraph"/>
              <w:spacing w:before="0"/>
              <w:rPr>
                <w:sz w:val="18"/>
              </w:rPr>
            </w:pPr>
          </w:p>
        </w:tc>
      </w:tr>
      <w:tr>
        <w:trPr>
          <w:trHeight w:val="544" w:hRule="atLeast"/>
        </w:trPr>
        <w:tc>
          <w:tcPr>
            <w:tcW w:w="4378" w:type="dxa"/>
            <w:tcBorders>
              <w:top w:val="single" w:sz="4" w:space="0" w:color="000000"/>
              <w:bottom w:val="single" w:sz="4" w:space="0" w:color="000000"/>
              <w:right w:val="single" w:sz="4" w:space="0" w:color="000000"/>
            </w:tcBorders>
          </w:tcPr>
          <w:p>
            <w:pPr>
              <w:pStyle w:val="TableParagraph"/>
              <w:ind w:left="251" w:right="426" w:hanging="144"/>
              <w:rPr>
                <w:sz w:val="20"/>
              </w:rPr>
            </w:pPr>
            <w:r>
              <w:rPr>
                <w:sz w:val="20"/>
              </w:rPr>
              <w:t>Gourd Vegetables (cucumbers, squash, melons, etc.)</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spacing w:before="158"/>
              <w:ind w:left="25"/>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58"/>
              <w:ind w:left="23"/>
              <w:jc w:val="center"/>
              <w:rPr>
                <w:sz w:val="20"/>
              </w:rPr>
            </w:pPr>
            <w:r>
              <w:rPr>
                <w:w w:val="99"/>
                <w:sz w:val="20"/>
              </w:rPr>
              <w:t>X</w:t>
            </w:r>
          </w:p>
        </w:tc>
        <w:tc>
          <w:tcPr>
            <w:tcW w:w="79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4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226" w:type="dxa"/>
            <w:tcBorders>
              <w:top w:val="single" w:sz="4" w:space="0" w:color="000000"/>
              <w:left w:val="single" w:sz="4" w:space="0" w:color="000000"/>
              <w:bottom w:val="single" w:sz="4" w:space="0" w:color="000000"/>
            </w:tcBorders>
          </w:tcPr>
          <w:p>
            <w:pPr>
              <w:pStyle w:val="TableParagraph"/>
              <w:spacing w:before="158"/>
              <w:ind w:left="32"/>
              <w:jc w:val="center"/>
              <w:rPr>
                <w:sz w:val="20"/>
              </w:rPr>
            </w:pPr>
            <w:r>
              <w:rPr>
                <w:w w:val="99"/>
                <w:sz w:val="20"/>
              </w:rPr>
              <w:t>X</w:t>
            </w:r>
          </w:p>
        </w:tc>
      </w:tr>
      <w:tr>
        <w:trPr>
          <w:trHeight w:val="316" w:hRule="atLeast"/>
        </w:trPr>
        <w:tc>
          <w:tcPr>
            <w:tcW w:w="4378" w:type="dxa"/>
            <w:tcBorders>
              <w:top w:val="single" w:sz="4" w:space="0" w:color="000000"/>
              <w:bottom w:val="single" w:sz="4" w:space="0" w:color="000000"/>
              <w:right w:val="single" w:sz="4" w:space="0" w:color="000000"/>
            </w:tcBorders>
          </w:tcPr>
          <w:p>
            <w:pPr>
              <w:pStyle w:val="TableParagraph"/>
              <w:ind w:left="107"/>
              <w:rPr>
                <w:sz w:val="20"/>
              </w:rPr>
            </w:pPr>
            <w:r>
              <w:rPr>
                <w:sz w:val="20"/>
              </w:rPr>
              <w:t>Leaf Vegetables (lettuce, cabbage, celery, etc.)</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ind w:left="25"/>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799" w:type="dxa"/>
            <w:tcBorders>
              <w:top w:val="single" w:sz="4" w:space="0" w:color="000000"/>
              <w:left w:val="single" w:sz="4" w:space="0" w:color="000000"/>
              <w:bottom w:val="single" w:sz="4" w:space="0" w:color="000000"/>
              <w:right w:val="single" w:sz="4" w:space="0" w:color="000000"/>
            </w:tcBorders>
          </w:tcPr>
          <w:p>
            <w:pPr>
              <w:pStyle w:val="TableParagraph"/>
              <w:ind w:right="309"/>
              <w:jc w:val="right"/>
              <w:rPr>
                <w:sz w:val="20"/>
              </w:rPr>
            </w:pPr>
            <w:r>
              <w:rPr>
                <w:w w:val="99"/>
                <w:sz w:val="20"/>
              </w:rPr>
              <w:t>X</w:t>
            </w:r>
          </w:p>
        </w:tc>
        <w:tc>
          <w:tcPr>
            <w:tcW w:w="104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226" w:type="dxa"/>
            <w:tcBorders>
              <w:top w:val="single" w:sz="4" w:space="0" w:color="000000"/>
              <w:left w:val="single" w:sz="4" w:space="0" w:color="000000"/>
              <w:bottom w:val="single" w:sz="4" w:space="0" w:color="000000"/>
            </w:tcBorders>
          </w:tcPr>
          <w:p>
            <w:pPr>
              <w:pStyle w:val="TableParagraph"/>
              <w:spacing w:before="0"/>
              <w:rPr>
                <w:sz w:val="18"/>
              </w:rPr>
            </w:pPr>
          </w:p>
        </w:tc>
      </w:tr>
      <w:tr>
        <w:trPr>
          <w:trHeight w:val="316" w:hRule="atLeast"/>
        </w:trPr>
        <w:tc>
          <w:tcPr>
            <w:tcW w:w="4378" w:type="dxa"/>
            <w:tcBorders>
              <w:top w:val="single" w:sz="4" w:space="0" w:color="000000"/>
              <w:bottom w:val="single" w:sz="4" w:space="0" w:color="000000"/>
              <w:right w:val="single" w:sz="4" w:space="0" w:color="000000"/>
            </w:tcBorders>
          </w:tcPr>
          <w:p>
            <w:pPr>
              <w:pStyle w:val="TableParagraph"/>
              <w:ind w:left="107"/>
              <w:rPr>
                <w:sz w:val="20"/>
              </w:rPr>
            </w:pPr>
            <w:r>
              <w:rPr>
                <w:sz w:val="20"/>
              </w:rPr>
              <w:t>Leaf Vegetables (parsley, herbs, loose greens)</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ind w:left="25"/>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799" w:type="dxa"/>
            <w:tcBorders>
              <w:top w:val="single" w:sz="4" w:space="0" w:color="000000"/>
              <w:left w:val="single" w:sz="4" w:space="0" w:color="000000"/>
              <w:bottom w:val="single" w:sz="4" w:space="0" w:color="000000"/>
              <w:right w:val="single" w:sz="4" w:space="0" w:color="000000"/>
            </w:tcBorders>
          </w:tcPr>
          <w:p>
            <w:pPr>
              <w:pStyle w:val="TableParagraph"/>
              <w:ind w:right="309"/>
              <w:jc w:val="right"/>
              <w:rPr>
                <w:sz w:val="20"/>
              </w:rPr>
            </w:pPr>
            <w:r>
              <w:rPr>
                <w:w w:val="99"/>
                <w:sz w:val="20"/>
              </w:rPr>
              <w:t>X</w:t>
            </w:r>
          </w:p>
        </w:tc>
        <w:tc>
          <w:tcPr>
            <w:tcW w:w="1041" w:type="dxa"/>
            <w:tcBorders>
              <w:top w:val="single" w:sz="4" w:space="0" w:color="000000"/>
              <w:left w:val="single" w:sz="4" w:space="0" w:color="000000"/>
              <w:bottom w:val="single" w:sz="4" w:space="0" w:color="000000"/>
              <w:right w:val="single" w:sz="4" w:space="0" w:color="000000"/>
            </w:tcBorders>
          </w:tcPr>
          <w:p>
            <w:pPr>
              <w:pStyle w:val="TableParagraph"/>
              <w:ind w:right="429"/>
              <w:jc w:val="right"/>
              <w:rPr>
                <w:sz w:val="20"/>
              </w:rPr>
            </w:pPr>
            <w:r>
              <w:rPr>
                <w:w w:val="99"/>
                <w:sz w:val="20"/>
              </w:rPr>
              <w:t>X</w:t>
            </w:r>
          </w:p>
        </w:tc>
        <w:tc>
          <w:tcPr>
            <w:tcW w:w="1226" w:type="dxa"/>
            <w:tcBorders>
              <w:top w:val="single" w:sz="4" w:space="0" w:color="000000"/>
              <w:left w:val="single" w:sz="4" w:space="0" w:color="000000"/>
              <w:bottom w:val="single" w:sz="4" w:space="0" w:color="000000"/>
            </w:tcBorders>
          </w:tcPr>
          <w:p>
            <w:pPr>
              <w:pStyle w:val="TableParagraph"/>
              <w:spacing w:before="0"/>
              <w:rPr>
                <w:sz w:val="18"/>
              </w:rPr>
            </w:pPr>
          </w:p>
        </w:tc>
      </w:tr>
      <w:tr>
        <w:trPr>
          <w:trHeight w:val="316" w:hRule="atLeast"/>
        </w:trPr>
        <w:tc>
          <w:tcPr>
            <w:tcW w:w="4378" w:type="dxa"/>
            <w:tcBorders>
              <w:top w:val="single" w:sz="4" w:space="0" w:color="000000"/>
              <w:bottom w:val="single" w:sz="4" w:space="0" w:color="000000"/>
              <w:right w:val="single" w:sz="4" w:space="0" w:color="000000"/>
            </w:tcBorders>
          </w:tcPr>
          <w:p>
            <w:pPr>
              <w:pStyle w:val="TableParagraph"/>
              <w:ind w:left="107"/>
              <w:rPr>
                <w:sz w:val="20"/>
              </w:rPr>
            </w:pPr>
            <w:r>
              <w:rPr>
                <w:sz w:val="20"/>
              </w:rPr>
              <w:t>Pitted Fruits (peaches, plums, prunes, etc.)</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ind w:left="25"/>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ind w:left="23"/>
              <w:jc w:val="center"/>
              <w:rPr>
                <w:sz w:val="20"/>
              </w:rPr>
            </w:pPr>
            <w:r>
              <w:rPr>
                <w:w w:val="99"/>
                <w:sz w:val="20"/>
              </w:rPr>
              <w:t>X</w:t>
            </w:r>
          </w:p>
        </w:tc>
        <w:tc>
          <w:tcPr>
            <w:tcW w:w="79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4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226" w:type="dxa"/>
            <w:tcBorders>
              <w:top w:val="single" w:sz="4" w:space="0" w:color="000000"/>
              <w:left w:val="single" w:sz="4" w:space="0" w:color="000000"/>
              <w:bottom w:val="single" w:sz="4" w:space="0" w:color="000000"/>
            </w:tcBorders>
          </w:tcPr>
          <w:p>
            <w:pPr>
              <w:pStyle w:val="TableParagraph"/>
              <w:ind w:left="33"/>
              <w:jc w:val="center"/>
              <w:rPr>
                <w:sz w:val="20"/>
              </w:rPr>
            </w:pPr>
            <w:r>
              <w:rPr>
                <w:w w:val="99"/>
                <w:sz w:val="20"/>
              </w:rPr>
              <w:t>X</w:t>
            </w:r>
          </w:p>
        </w:tc>
      </w:tr>
      <w:tr>
        <w:trPr>
          <w:trHeight w:val="316" w:hRule="atLeast"/>
        </w:trPr>
        <w:tc>
          <w:tcPr>
            <w:tcW w:w="4378" w:type="dxa"/>
            <w:tcBorders>
              <w:top w:val="single" w:sz="4" w:space="0" w:color="000000"/>
              <w:bottom w:val="single" w:sz="4" w:space="0" w:color="000000"/>
              <w:right w:val="single" w:sz="4" w:space="0" w:color="000000"/>
            </w:tcBorders>
          </w:tcPr>
          <w:p>
            <w:pPr>
              <w:pStyle w:val="TableParagraph"/>
              <w:ind w:left="107"/>
              <w:rPr>
                <w:sz w:val="20"/>
              </w:rPr>
            </w:pPr>
            <w:r>
              <w:rPr>
                <w:sz w:val="20"/>
              </w:rPr>
              <w:t>Pome Fruits (apples, pears, mangoes, etc.)</w:t>
            </w:r>
          </w:p>
        </w:tc>
        <w:tc>
          <w:tcPr>
            <w:tcW w:w="900" w:type="dxa"/>
            <w:tcBorders>
              <w:top w:val="single" w:sz="4" w:space="0" w:color="000000"/>
              <w:left w:val="single" w:sz="4" w:space="0" w:color="000000"/>
              <w:bottom w:val="single" w:sz="4" w:space="0" w:color="000000"/>
              <w:right w:val="single" w:sz="4" w:space="0" w:color="000000"/>
            </w:tcBorders>
          </w:tcPr>
          <w:p>
            <w:pPr>
              <w:pStyle w:val="TableParagraph"/>
              <w:ind w:left="25"/>
              <w:jc w:val="center"/>
              <w:rPr>
                <w:sz w:val="20"/>
              </w:rPr>
            </w:pPr>
            <w:r>
              <w:rPr>
                <w:w w:val="99"/>
                <w:sz w:val="20"/>
              </w:rPr>
              <w:t>X</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ind w:left="23"/>
              <w:jc w:val="center"/>
              <w:rPr>
                <w:sz w:val="20"/>
              </w:rPr>
            </w:pPr>
            <w:r>
              <w:rPr>
                <w:w w:val="99"/>
                <w:sz w:val="20"/>
              </w:rPr>
              <w:t>X</w:t>
            </w:r>
          </w:p>
        </w:tc>
        <w:tc>
          <w:tcPr>
            <w:tcW w:w="799"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041" w:type="dxa"/>
            <w:tcBorders>
              <w:top w:val="single" w:sz="4" w:space="0" w:color="000000"/>
              <w:left w:val="single" w:sz="4" w:space="0" w:color="000000"/>
              <w:bottom w:val="single" w:sz="4" w:space="0" w:color="000000"/>
              <w:right w:val="single" w:sz="4" w:space="0" w:color="000000"/>
            </w:tcBorders>
          </w:tcPr>
          <w:p>
            <w:pPr>
              <w:pStyle w:val="TableParagraph"/>
              <w:spacing w:before="0"/>
              <w:rPr>
                <w:sz w:val="18"/>
              </w:rPr>
            </w:pPr>
          </w:p>
        </w:tc>
        <w:tc>
          <w:tcPr>
            <w:tcW w:w="1226" w:type="dxa"/>
            <w:tcBorders>
              <w:top w:val="single" w:sz="4" w:space="0" w:color="000000"/>
              <w:left w:val="single" w:sz="4" w:space="0" w:color="000000"/>
              <w:bottom w:val="single" w:sz="4" w:space="0" w:color="000000"/>
            </w:tcBorders>
          </w:tcPr>
          <w:p>
            <w:pPr>
              <w:pStyle w:val="TableParagraph"/>
              <w:ind w:left="33"/>
              <w:jc w:val="center"/>
              <w:rPr>
                <w:sz w:val="20"/>
              </w:rPr>
            </w:pPr>
            <w:r>
              <w:rPr>
                <w:w w:val="99"/>
                <w:sz w:val="20"/>
              </w:rPr>
              <w:t>X</w:t>
            </w:r>
          </w:p>
        </w:tc>
      </w:tr>
      <w:tr>
        <w:trPr>
          <w:trHeight w:val="330" w:hRule="atLeast"/>
        </w:trPr>
        <w:tc>
          <w:tcPr>
            <w:tcW w:w="4378" w:type="dxa"/>
            <w:tcBorders>
              <w:top w:val="single" w:sz="4" w:space="0" w:color="000000"/>
              <w:bottom w:val="nil"/>
              <w:right w:val="single" w:sz="4" w:space="0" w:color="000000"/>
            </w:tcBorders>
          </w:tcPr>
          <w:p>
            <w:pPr>
              <w:pStyle w:val="TableParagraph"/>
              <w:ind w:left="107"/>
              <w:rPr>
                <w:sz w:val="20"/>
              </w:rPr>
            </w:pPr>
            <w:r>
              <w:rPr>
                <w:sz w:val="20"/>
              </w:rPr>
              <w:t>Root Vegetables (turnips, carrots, radishes, etc.)</w:t>
            </w:r>
          </w:p>
        </w:tc>
        <w:tc>
          <w:tcPr>
            <w:tcW w:w="900" w:type="dxa"/>
            <w:tcBorders>
              <w:top w:val="single" w:sz="4" w:space="0" w:color="000000"/>
              <w:left w:val="single" w:sz="4" w:space="0" w:color="000000"/>
              <w:bottom w:val="nil"/>
              <w:right w:val="single" w:sz="4" w:space="0" w:color="000000"/>
            </w:tcBorders>
          </w:tcPr>
          <w:p>
            <w:pPr>
              <w:pStyle w:val="TableParagraph"/>
              <w:ind w:left="25"/>
              <w:jc w:val="center"/>
              <w:rPr>
                <w:sz w:val="20"/>
              </w:rPr>
            </w:pPr>
            <w:r>
              <w:rPr>
                <w:w w:val="99"/>
                <w:sz w:val="20"/>
              </w:rPr>
              <w:t>X</w:t>
            </w:r>
          </w:p>
        </w:tc>
        <w:tc>
          <w:tcPr>
            <w:tcW w:w="811" w:type="dxa"/>
            <w:tcBorders>
              <w:top w:val="single" w:sz="4" w:space="0" w:color="000000"/>
              <w:left w:val="single" w:sz="4" w:space="0" w:color="000000"/>
              <w:bottom w:val="nil"/>
              <w:right w:val="single" w:sz="4" w:space="0" w:color="000000"/>
            </w:tcBorders>
          </w:tcPr>
          <w:p>
            <w:pPr>
              <w:pStyle w:val="TableParagraph"/>
              <w:spacing w:before="0"/>
              <w:rPr>
                <w:sz w:val="18"/>
              </w:rPr>
            </w:pPr>
          </w:p>
        </w:tc>
        <w:tc>
          <w:tcPr>
            <w:tcW w:w="799" w:type="dxa"/>
            <w:tcBorders>
              <w:top w:val="single" w:sz="4" w:space="0" w:color="000000"/>
              <w:left w:val="single" w:sz="4" w:space="0" w:color="000000"/>
              <w:bottom w:val="nil"/>
              <w:right w:val="single" w:sz="4" w:space="0" w:color="000000"/>
            </w:tcBorders>
          </w:tcPr>
          <w:p>
            <w:pPr>
              <w:pStyle w:val="TableParagraph"/>
              <w:ind w:right="309"/>
              <w:jc w:val="right"/>
              <w:rPr>
                <w:sz w:val="20"/>
              </w:rPr>
            </w:pPr>
            <w:r>
              <w:rPr>
                <w:w w:val="99"/>
                <w:sz w:val="20"/>
              </w:rPr>
              <w:t>X</w:t>
            </w:r>
          </w:p>
        </w:tc>
        <w:tc>
          <w:tcPr>
            <w:tcW w:w="1041" w:type="dxa"/>
            <w:tcBorders>
              <w:top w:val="single" w:sz="4" w:space="0" w:color="000000"/>
              <w:left w:val="single" w:sz="4" w:space="0" w:color="000000"/>
              <w:bottom w:val="nil"/>
              <w:right w:val="single" w:sz="4" w:space="0" w:color="000000"/>
            </w:tcBorders>
          </w:tcPr>
          <w:p>
            <w:pPr>
              <w:pStyle w:val="TableParagraph"/>
              <w:spacing w:before="0"/>
              <w:rPr>
                <w:sz w:val="18"/>
              </w:rPr>
            </w:pPr>
          </w:p>
        </w:tc>
        <w:tc>
          <w:tcPr>
            <w:tcW w:w="1226" w:type="dxa"/>
            <w:tcBorders>
              <w:top w:val="single" w:sz="4" w:space="0" w:color="000000"/>
              <w:left w:val="single" w:sz="4" w:space="0" w:color="000000"/>
              <w:bottom w:val="nil"/>
            </w:tcBorders>
          </w:tcPr>
          <w:p>
            <w:pPr>
              <w:pStyle w:val="TableParagraph"/>
              <w:spacing w:before="0"/>
              <w:rPr>
                <w:sz w:val="18"/>
              </w:rPr>
            </w:pPr>
          </w:p>
        </w:tc>
      </w:tr>
    </w:tbl>
    <w:p>
      <w:pPr>
        <w:pStyle w:val="BodyText"/>
        <w:spacing w:before="3"/>
        <w:rPr>
          <w:sz w:val="24"/>
        </w:rPr>
      </w:pPr>
    </w:p>
    <w:p>
      <w:pPr>
        <w:pStyle w:val="Heading1"/>
        <w:numPr>
          <w:ilvl w:val="2"/>
          <w:numId w:val="7"/>
        </w:numPr>
        <w:tabs>
          <w:tab w:pos="732" w:val="left" w:leader="none"/>
        </w:tabs>
        <w:spacing w:line="240" w:lineRule="auto" w:before="91" w:after="0"/>
        <w:ind w:left="732" w:right="0" w:hanging="552"/>
        <w:jc w:val="left"/>
      </w:pPr>
      <w:bookmarkStart w:name="_bookmark6" w:id="10"/>
      <w:bookmarkEnd w:id="10"/>
      <w:r>
        <w:rPr>
          <w:b w:val="0"/>
        </w:rPr>
      </w:r>
      <w:bookmarkStart w:name="_bookmark6" w:id="11"/>
      <w:bookmarkEnd w:id="11"/>
      <w:r>
        <w:rPr/>
        <w:t>C</w:t>
      </w:r>
      <w:r>
        <w:rPr/>
        <w:t>ardboard</w:t>
      </w:r>
      <w:r>
        <w:rPr>
          <w:spacing w:val="-1"/>
        </w:rPr>
        <w:t> </w:t>
      </w:r>
      <w:r>
        <w:rPr/>
        <w:t>Cartons.</w:t>
      </w:r>
    </w:p>
    <w:p>
      <w:pPr>
        <w:pStyle w:val="BodyText"/>
        <w:ind w:left="180"/>
      </w:pPr>
      <w:r>
        <w:rPr/>
        <w:t>(L&amp;R, 1974, p. 223)</w:t>
      </w:r>
    </w:p>
    <w:p>
      <w:pPr>
        <w:pStyle w:val="BodyText"/>
        <w:spacing w:before="10"/>
      </w:pPr>
    </w:p>
    <w:p>
      <w:pPr>
        <w:pStyle w:val="Heading1"/>
        <w:spacing w:before="1"/>
        <w:ind w:left="180"/>
      </w:pPr>
      <w:r>
        <w:rPr/>
        <w:t>Guidelines and Interpretations</w:t>
      </w:r>
    </w:p>
    <w:p>
      <w:pPr>
        <w:pStyle w:val="BodyText"/>
        <w:spacing w:before="7"/>
        <w:rPr>
          <w:b/>
        </w:rPr>
      </w:pPr>
    </w:p>
    <w:p>
      <w:pPr>
        <w:pStyle w:val="BodyText"/>
        <w:spacing w:before="1"/>
        <w:ind w:left="180" w:right="417" w:hanging="1"/>
        <w:jc w:val="both"/>
      </w:pPr>
      <w:r>
        <w:rPr/>
        <w:t>Cardboard cartons should be sold by their dimensions. Identification numbers used in the trade do not correspond to these</w:t>
      </w:r>
      <w:r>
        <w:rPr>
          <w:spacing w:val="-4"/>
        </w:rPr>
        <w:t> </w:t>
      </w:r>
      <w:r>
        <w:rPr/>
        <w:t>dimensions</w:t>
      </w:r>
      <w:r>
        <w:rPr>
          <w:spacing w:val="-4"/>
        </w:rPr>
        <w:t> </w:t>
      </w:r>
      <w:r>
        <w:rPr/>
        <w:t>and</w:t>
      </w:r>
      <w:r>
        <w:rPr>
          <w:spacing w:val="-3"/>
        </w:rPr>
        <w:t> </w:t>
      </w:r>
      <w:r>
        <w:rPr/>
        <w:t>could</w:t>
      </w:r>
      <w:r>
        <w:rPr>
          <w:spacing w:val="-2"/>
        </w:rPr>
        <w:t> </w:t>
      </w:r>
      <w:r>
        <w:rPr/>
        <w:t>tend</w:t>
      </w:r>
      <w:r>
        <w:rPr>
          <w:spacing w:val="-3"/>
        </w:rPr>
        <w:t> </w:t>
      </w:r>
      <w:r>
        <w:rPr/>
        <w:t>to</w:t>
      </w:r>
      <w:r>
        <w:rPr>
          <w:spacing w:val="-3"/>
        </w:rPr>
        <w:t> </w:t>
      </w:r>
      <w:r>
        <w:rPr/>
        <w:t>mislead</w:t>
      </w:r>
      <w:r>
        <w:rPr>
          <w:spacing w:val="-2"/>
        </w:rPr>
        <w:t> </w:t>
      </w:r>
      <w:r>
        <w:rPr/>
        <w:t>the</w:t>
      </w:r>
      <w:r>
        <w:rPr>
          <w:spacing w:val="-1"/>
        </w:rPr>
        <w:t> </w:t>
      </w:r>
      <w:r>
        <w:rPr/>
        <w:t>uninformed purchaser</w:t>
      </w:r>
      <w:r>
        <w:rPr>
          <w:spacing w:val="-2"/>
        </w:rPr>
        <w:t> </w:t>
      </w:r>
      <w:r>
        <w:rPr/>
        <w:t>(although</w:t>
      </w:r>
      <w:r>
        <w:rPr>
          <w:spacing w:val="-4"/>
        </w:rPr>
        <w:t> </w:t>
      </w:r>
      <w:r>
        <w:rPr/>
        <w:t>there</w:t>
      </w:r>
      <w:r>
        <w:rPr>
          <w:spacing w:val="-4"/>
        </w:rPr>
        <w:t> </w:t>
      </w:r>
      <w:r>
        <w:rPr/>
        <w:t>is</w:t>
      </w:r>
      <w:r>
        <w:rPr>
          <w:spacing w:val="-4"/>
        </w:rPr>
        <w:t> </w:t>
      </w:r>
      <w:r>
        <w:rPr/>
        <w:t>no</w:t>
      </w:r>
      <w:r>
        <w:rPr>
          <w:spacing w:val="-3"/>
        </w:rPr>
        <w:t> </w:t>
      </w:r>
      <w:r>
        <w:rPr/>
        <w:t>actual</w:t>
      </w:r>
      <w:r>
        <w:rPr>
          <w:spacing w:val="-3"/>
        </w:rPr>
        <w:t> </w:t>
      </w:r>
      <w:r>
        <w:rPr/>
        <w:t>unit</w:t>
      </w:r>
      <w:r>
        <w:rPr>
          <w:spacing w:val="-4"/>
        </w:rPr>
        <w:t> </w:t>
      </w:r>
      <w:r>
        <w:rPr/>
        <w:t>such</w:t>
      </w:r>
      <w:r>
        <w:rPr>
          <w:spacing w:val="-4"/>
        </w:rPr>
        <w:t> </w:t>
      </w:r>
      <w:r>
        <w:rPr/>
        <w:t>as</w:t>
      </w:r>
      <w:r>
        <w:rPr>
          <w:spacing w:val="-5"/>
        </w:rPr>
        <w:t> </w:t>
      </w:r>
      <w:r>
        <w:rPr/>
        <w:t>inches associated with the identification numbers). Sales or catalogue literature will have to be investigated to determine whether there is sufficient information upon which to make a purchasing</w:t>
      </w:r>
      <w:r>
        <w:rPr>
          <w:spacing w:val="-1"/>
        </w:rPr>
        <w:t> </w:t>
      </w:r>
      <w:r>
        <w:rPr/>
        <w:t>decision.</w:t>
      </w:r>
    </w:p>
    <w:p>
      <w:pPr>
        <w:pStyle w:val="BodyText"/>
        <w:rPr>
          <w:sz w:val="21"/>
        </w:rPr>
      </w:pPr>
    </w:p>
    <w:p>
      <w:pPr>
        <w:pStyle w:val="Heading1"/>
        <w:ind w:left="180"/>
      </w:pPr>
      <w:r>
        <w:rPr/>
        <w:t>Background</w:t>
      </w:r>
    </w:p>
    <w:p>
      <w:pPr>
        <w:pStyle w:val="BodyText"/>
        <w:spacing w:before="8"/>
        <w:rPr>
          <w:b/>
        </w:rPr>
      </w:pPr>
    </w:p>
    <w:p>
      <w:pPr>
        <w:pStyle w:val="BodyText"/>
        <w:ind w:left="179" w:right="416"/>
        <w:jc w:val="both"/>
      </w:pPr>
      <w:r>
        <w:rPr/>
        <w:t>Copies of letters received by the New York Bureau of Weights and Measures regarding cardboard containers were forwarded to the Committee. These letters highlight the confusion that exists when these containers are sold to new businessmen by an identity number which is often mistaken for the size of the box. For example, a 30 × 4 identifica- tion number refers to a box whose actual size is 27 × 3 inches. It was suggested that a new section be added to the Method of Sale of Commodities Regulation so that these containers can be sold on a basis that will provide more accurate information.</w:t>
      </w:r>
    </w:p>
    <w:p>
      <w:pPr>
        <w:pStyle w:val="BodyText"/>
        <w:spacing w:before="10"/>
      </w:pPr>
    </w:p>
    <w:p>
      <w:pPr>
        <w:pStyle w:val="BodyText"/>
        <w:ind w:left="179" w:right="420"/>
        <w:jc w:val="both"/>
      </w:pPr>
      <w:r>
        <w:rPr/>
        <w:t>An</w:t>
      </w:r>
      <w:r>
        <w:rPr>
          <w:spacing w:val="-8"/>
        </w:rPr>
        <w:t> </w:t>
      </w:r>
      <w:r>
        <w:rPr/>
        <w:t>important</w:t>
      </w:r>
      <w:r>
        <w:rPr>
          <w:spacing w:val="-7"/>
        </w:rPr>
        <w:t> </w:t>
      </w:r>
      <w:r>
        <w:rPr/>
        <w:t>argument</w:t>
      </w:r>
      <w:r>
        <w:rPr>
          <w:spacing w:val="-7"/>
        </w:rPr>
        <w:t> </w:t>
      </w:r>
      <w:r>
        <w:rPr/>
        <w:t>in</w:t>
      </w:r>
      <w:r>
        <w:rPr>
          <w:spacing w:val="-8"/>
        </w:rPr>
        <w:t> </w:t>
      </w:r>
      <w:r>
        <w:rPr/>
        <w:t>support</w:t>
      </w:r>
      <w:r>
        <w:rPr>
          <w:spacing w:val="-7"/>
        </w:rPr>
        <w:t> </w:t>
      </w:r>
      <w:r>
        <w:rPr/>
        <w:t>of</w:t>
      </w:r>
      <w:r>
        <w:rPr>
          <w:spacing w:val="-7"/>
        </w:rPr>
        <w:t> </w:t>
      </w:r>
      <w:r>
        <w:rPr/>
        <w:t>adding</w:t>
      </w:r>
      <w:r>
        <w:rPr>
          <w:spacing w:val="-8"/>
        </w:rPr>
        <w:t> </w:t>
      </w:r>
      <w:r>
        <w:rPr/>
        <w:t>a</w:t>
      </w:r>
      <w:r>
        <w:rPr>
          <w:spacing w:val="-4"/>
        </w:rPr>
        <w:t> </w:t>
      </w:r>
      <w:r>
        <w:rPr/>
        <w:t>new</w:t>
      </w:r>
      <w:r>
        <w:rPr>
          <w:spacing w:val="-9"/>
        </w:rPr>
        <w:t> </w:t>
      </w:r>
      <w:r>
        <w:rPr/>
        <w:t>section</w:t>
      </w:r>
      <w:r>
        <w:rPr>
          <w:spacing w:val="-8"/>
        </w:rPr>
        <w:t> </w:t>
      </w:r>
      <w:r>
        <w:rPr/>
        <w:t>is</w:t>
      </w:r>
      <w:r>
        <w:rPr>
          <w:spacing w:val="-5"/>
        </w:rPr>
        <w:t> </w:t>
      </w:r>
      <w:r>
        <w:rPr/>
        <w:t>that</w:t>
      </w:r>
      <w:r>
        <w:rPr>
          <w:spacing w:val="-5"/>
        </w:rPr>
        <w:t> </w:t>
      </w:r>
      <w:r>
        <w:rPr/>
        <w:t>small</w:t>
      </w:r>
      <w:r>
        <w:rPr>
          <w:spacing w:val="-6"/>
        </w:rPr>
        <w:t> </w:t>
      </w:r>
      <w:r>
        <w:rPr/>
        <w:t>businessmen</w:t>
      </w:r>
      <w:r>
        <w:rPr>
          <w:spacing w:val="-8"/>
        </w:rPr>
        <w:t> </w:t>
      </w:r>
      <w:r>
        <w:rPr/>
        <w:t>just</w:t>
      </w:r>
      <w:r>
        <w:rPr>
          <w:spacing w:val="-5"/>
        </w:rPr>
        <w:t> </w:t>
      </w:r>
      <w:r>
        <w:rPr/>
        <w:t>getting</w:t>
      </w:r>
      <w:r>
        <w:rPr>
          <w:spacing w:val="-8"/>
        </w:rPr>
        <w:t> </w:t>
      </w:r>
      <w:r>
        <w:rPr/>
        <w:t>started</w:t>
      </w:r>
      <w:r>
        <w:rPr>
          <w:spacing w:val="-6"/>
        </w:rPr>
        <w:t> </w:t>
      </w:r>
      <w:r>
        <w:rPr/>
        <w:t>need</w:t>
      </w:r>
      <w:r>
        <w:rPr>
          <w:spacing w:val="-6"/>
        </w:rPr>
        <w:t> </w:t>
      </w:r>
      <w:r>
        <w:rPr/>
        <w:t>as</w:t>
      </w:r>
      <w:r>
        <w:rPr>
          <w:spacing w:val="-5"/>
        </w:rPr>
        <w:t> </w:t>
      </w:r>
      <w:r>
        <w:rPr/>
        <w:t>much assistance as can be provided in order to survive and</w:t>
      </w:r>
      <w:r>
        <w:rPr>
          <w:spacing w:val="-2"/>
        </w:rPr>
        <w:t> </w:t>
      </w:r>
      <w:r>
        <w:rPr/>
        <w:t>grow.</w:t>
      </w:r>
    </w:p>
    <w:p>
      <w:pPr>
        <w:pStyle w:val="BodyText"/>
        <w:spacing w:before="11"/>
      </w:pPr>
    </w:p>
    <w:p>
      <w:pPr>
        <w:pStyle w:val="BodyText"/>
        <w:ind w:left="179" w:right="414"/>
        <w:jc w:val="both"/>
      </w:pPr>
      <w:r>
        <w:rPr/>
        <w:t>An</w:t>
      </w:r>
      <w:r>
        <w:rPr>
          <w:spacing w:val="-15"/>
        </w:rPr>
        <w:t> </w:t>
      </w:r>
      <w:r>
        <w:rPr/>
        <w:t>argument</w:t>
      </w:r>
      <w:r>
        <w:rPr>
          <w:spacing w:val="-14"/>
        </w:rPr>
        <w:t> </w:t>
      </w:r>
      <w:r>
        <w:rPr/>
        <w:t>opposing</w:t>
      </w:r>
      <w:r>
        <w:rPr>
          <w:spacing w:val="-15"/>
        </w:rPr>
        <w:t> </w:t>
      </w:r>
      <w:r>
        <w:rPr/>
        <w:t>this</w:t>
      </w:r>
      <w:r>
        <w:rPr>
          <w:spacing w:val="-15"/>
        </w:rPr>
        <w:t> </w:t>
      </w:r>
      <w:r>
        <w:rPr/>
        <w:t>change</w:t>
      </w:r>
      <w:r>
        <w:rPr>
          <w:spacing w:val="-14"/>
        </w:rPr>
        <w:t> </w:t>
      </w:r>
      <w:r>
        <w:rPr/>
        <w:t>is</w:t>
      </w:r>
      <w:r>
        <w:rPr>
          <w:spacing w:val="-14"/>
        </w:rPr>
        <w:t> </w:t>
      </w:r>
      <w:r>
        <w:rPr/>
        <w:t>that</w:t>
      </w:r>
      <w:r>
        <w:rPr>
          <w:spacing w:val="-14"/>
        </w:rPr>
        <w:t> </w:t>
      </w:r>
      <w:r>
        <w:rPr/>
        <w:t>a</w:t>
      </w:r>
      <w:r>
        <w:rPr>
          <w:spacing w:val="-14"/>
        </w:rPr>
        <w:t> </w:t>
      </w:r>
      <w:r>
        <w:rPr/>
        <w:t>table,</w:t>
      </w:r>
      <w:r>
        <w:rPr>
          <w:spacing w:val="-13"/>
        </w:rPr>
        <w:t> </w:t>
      </w:r>
      <w:r>
        <w:rPr/>
        <w:t>similar</w:t>
      </w:r>
      <w:r>
        <w:rPr>
          <w:spacing w:val="-13"/>
        </w:rPr>
        <w:t> </w:t>
      </w:r>
      <w:r>
        <w:rPr/>
        <w:t>to</w:t>
      </w:r>
      <w:r>
        <w:rPr>
          <w:spacing w:val="-13"/>
        </w:rPr>
        <w:t> </w:t>
      </w:r>
      <w:r>
        <w:rPr/>
        <w:t>Table</w:t>
      </w:r>
      <w:r>
        <w:rPr>
          <w:spacing w:val="-2"/>
        </w:rPr>
        <w:t> </w:t>
      </w:r>
      <w:r>
        <w:rPr/>
        <w:t>1.</w:t>
      </w:r>
      <w:r>
        <w:rPr>
          <w:spacing w:val="-13"/>
        </w:rPr>
        <w:t> </w:t>
      </w:r>
      <w:r>
        <w:rPr/>
        <w:t>of</w:t>
      </w:r>
      <w:r>
        <w:rPr>
          <w:spacing w:val="-16"/>
        </w:rPr>
        <w:t> </w:t>
      </w:r>
      <w:r>
        <w:rPr/>
        <w:t>Section</w:t>
      </w:r>
      <w:r>
        <w:rPr>
          <w:spacing w:val="-3"/>
        </w:rPr>
        <w:t> </w:t>
      </w:r>
      <w:r>
        <w:rPr/>
        <w:t>2.9.</w:t>
      </w:r>
      <w:r>
        <w:rPr>
          <w:spacing w:val="-13"/>
        </w:rPr>
        <w:t> </w:t>
      </w:r>
      <w:r>
        <w:rPr/>
        <w:t>(Softwood</w:t>
      </w:r>
      <w:r>
        <w:rPr>
          <w:spacing w:val="-13"/>
        </w:rPr>
        <w:t> </w:t>
      </w:r>
      <w:r>
        <w:rPr/>
        <w:t>Lumber)</w:t>
      </w:r>
      <w:r>
        <w:rPr>
          <w:spacing w:val="-13"/>
        </w:rPr>
        <w:t> </w:t>
      </w:r>
      <w:r>
        <w:rPr/>
        <w:t>of</w:t>
      </w:r>
      <w:r>
        <w:rPr>
          <w:spacing w:val="-16"/>
        </w:rPr>
        <w:t> </w:t>
      </w:r>
      <w:r>
        <w:rPr/>
        <w:t>the</w:t>
      </w:r>
      <w:r>
        <w:rPr>
          <w:spacing w:val="-14"/>
        </w:rPr>
        <w:t> </w:t>
      </w:r>
      <w:r>
        <w:rPr/>
        <w:t>Uniform Method</w:t>
      </w:r>
      <w:r>
        <w:rPr>
          <w:spacing w:val="-4"/>
        </w:rPr>
        <w:t> </w:t>
      </w:r>
      <w:r>
        <w:rPr/>
        <w:t>of</w:t>
      </w:r>
      <w:r>
        <w:rPr>
          <w:spacing w:val="-6"/>
        </w:rPr>
        <w:t> </w:t>
      </w:r>
      <w:r>
        <w:rPr/>
        <w:t>Sale</w:t>
      </w:r>
      <w:r>
        <w:rPr>
          <w:spacing w:val="-4"/>
        </w:rPr>
        <w:t> </w:t>
      </w:r>
      <w:r>
        <w:rPr/>
        <w:t>Regulation,</w:t>
      </w:r>
      <w:r>
        <w:rPr>
          <w:spacing w:val="-3"/>
        </w:rPr>
        <w:t> </w:t>
      </w:r>
      <w:r>
        <w:rPr/>
        <w:t>could</w:t>
      </w:r>
      <w:r>
        <w:rPr>
          <w:spacing w:val="-3"/>
        </w:rPr>
        <w:t> </w:t>
      </w:r>
      <w:r>
        <w:rPr/>
        <w:t>be</w:t>
      </w:r>
      <w:r>
        <w:rPr>
          <w:spacing w:val="-5"/>
        </w:rPr>
        <w:t> </w:t>
      </w:r>
      <w:r>
        <w:rPr/>
        <w:t>printed</w:t>
      </w:r>
      <w:r>
        <w:rPr>
          <w:spacing w:val="-3"/>
        </w:rPr>
        <w:t> </w:t>
      </w:r>
      <w:r>
        <w:rPr/>
        <w:t>showing</w:t>
      </w:r>
      <w:r>
        <w:rPr>
          <w:spacing w:val="-5"/>
        </w:rPr>
        <w:t> </w:t>
      </w:r>
      <w:r>
        <w:rPr/>
        <w:t>the</w:t>
      </w:r>
      <w:r>
        <w:rPr>
          <w:spacing w:val="-4"/>
        </w:rPr>
        <w:t> </w:t>
      </w:r>
      <w:r>
        <w:rPr/>
        <w:t>relationship</w:t>
      </w:r>
      <w:r>
        <w:rPr>
          <w:spacing w:val="-3"/>
        </w:rPr>
        <w:t> </w:t>
      </w:r>
      <w:r>
        <w:rPr/>
        <w:t>between</w:t>
      </w:r>
      <w:r>
        <w:rPr>
          <w:spacing w:val="-5"/>
        </w:rPr>
        <w:t> </w:t>
      </w:r>
      <w:r>
        <w:rPr/>
        <w:t>identity</w:t>
      </w:r>
      <w:r>
        <w:rPr>
          <w:spacing w:val="-8"/>
        </w:rPr>
        <w:t> </w:t>
      </w:r>
      <w:r>
        <w:rPr/>
        <w:t>and</w:t>
      </w:r>
      <w:r>
        <w:rPr>
          <w:spacing w:val="-3"/>
        </w:rPr>
        <w:t> </w:t>
      </w:r>
      <w:r>
        <w:rPr/>
        <w:t>size;</w:t>
      </w:r>
      <w:r>
        <w:rPr>
          <w:spacing w:val="-5"/>
        </w:rPr>
        <w:t> </w:t>
      </w:r>
      <w:r>
        <w:rPr/>
        <w:t>this</w:t>
      </w:r>
      <w:r>
        <w:rPr>
          <w:spacing w:val="-2"/>
        </w:rPr>
        <w:t> </w:t>
      </w:r>
      <w:r>
        <w:rPr/>
        <w:t>would</w:t>
      </w:r>
      <w:r>
        <w:rPr>
          <w:spacing w:val="-3"/>
        </w:rPr>
        <w:t> </w:t>
      </w:r>
      <w:r>
        <w:rPr/>
        <w:t>not</w:t>
      </w:r>
      <w:r>
        <w:rPr>
          <w:spacing w:val="-4"/>
        </w:rPr>
        <w:t> </w:t>
      </w:r>
      <w:r>
        <w:rPr/>
        <w:t>solve the</w:t>
      </w:r>
      <w:r>
        <w:rPr>
          <w:spacing w:val="-1"/>
        </w:rPr>
        <w:t> </w:t>
      </w:r>
      <w:r>
        <w:rPr/>
        <w:t>problem.</w:t>
      </w:r>
    </w:p>
    <w:p>
      <w:pPr>
        <w:spacing w:after="0"/>
        <w:jc w:val="both"/>
        <w:sectPr>
          <w:pgSz w:w="12240" w:h="15840"/>
          <w:pgMar w:header="730" w:footer="740" w:top="1340" w:bottom="940" w:left="1260" w:right="1020"/>
        </w:sectPr>
      </w:pPr>
    </w:p>
    <w:p>
      <w:pPr>
        <w:pStyle w:val="BodyText"/>
        <w:spacing w:before="88"/>
        <w:ind w:left="179" w:right="417"/>
        <w:jc w:val="both"/>
      </w:pPr>
      <w:bookmarkStart w:name="_bookmark7" w:id="12"/>
      <w:bookmarkEnd w:id="12"/>
      <w:r>
        <w:rPr/>
      </w:r>
      <w:r>
        <w:rPr/>
        <w:t>It is the consensus of the Committee that these containers should be sold by actual size. The Committee does not believe, however, that every trade practice must be controlled through the Uniform Laws and Regulations. This is particularly</w:t>
      </w:r>
      <w:r>
        <w:rPr>
          <w:spacing w:val="-16"/>
        </w:rPr>
        <w:t> </w:t>
      </w:r>
      <w:r>
        <w:rPr/>
        <w:t>true</w:t>
      </w:r>
      <w:r>
        <w:rPr>
          <w:spacing w:val="-10"/>
        </w:rPr>
        <w:t> </w:t>
      </w:r>
      <w:r>
        <w:rPr/>
        <w:t>where</w:t>
      </w:r>
      <w:r>
        <w:rPr>
          <w:spacing w:val="-12"/>
        </w:rPr>
        <w:t> </w:t>
      </w:r>
      <w:r>
        <w:rPr/>
        <w:t>the</w:t>
      </w:r>
      <w:r>
        <w:rPr>
          <w:spacing w:val="-12"/>
        </w:rPr>
        <w:t> </w:t>
      </w:r>
      <w:r>
        <w:rPr/>
        <w:t>item</w:t>
      </w:r>
      <w:r>
        <w:rPr>
          <w:spacing w:val="-14"/>
        </w:rPr>
        <w:t> </w:t>
      </w:r>
      <w:r>
        <w:rPr/>
        <w:t>does</w:t>
      </w:r>
      <w:r>
        <w:rPr>
          <w:spacing w:val="-13"/>
        </w:rPr>
        <w:t> </w:t>
      </w:r>
      <w:r>
        <w:rPr/>
        <w:t>not</w:t>
      </w:r>
      <w:r>
        <w:rPr>
          <w:spacing w:val="-13"/>
        </w:rPr>
        <w:t> </w:t>
      </w:r>
      <w:r>
        <w:rPr/>
        <w:t>directly</w:t>
      </w:r>
      <w:r>
        <w:rPr>
          <w:spacing w:val="-15"/>
        </w:rPr>
        <w:t> </w:t>
      </w:r>
      <w:r>
        <w:rPr/>
        <w:t>concern</w:t>
      </w:r>
      <w:r>
        <w:rPr>
          <w:spacing w:val="-14"/>
        </w:rPr>
        <w:t> </w:t>
      </w:r>
      <w:r>
        <w:rPr/>
        <w:t>the</w:t>
      </w:r>
      <w:r>
        <w:rPr>
          <w:spacing w:val="-12"/>
        </w:rPr>
        <w:t> </w:t>
      </w:r>
      <w:r>
        <w:rPr/>
        <w:t>retail</w:t>
      </w:r>
      <w:r>
        <w:rPr>
          <w:spacing w:val="-13"/>
        </w:rPr>
        <w:t> </w:t>
      </w:r>
      <w:r>
        <w:rPr/>
        <w:t>consumer.</w:t>
      </w:r>
      <w:r>
        <w:rPr>
          <w:spacing w:val="26"/>
        </w:rPr>
        <w:t> </w:t>
      </w:r>
      <w:r>
        <w:rPr/>
        <w:t>The</w:t>
      </w:r>
      <w:r>
        <w:rPr>
          <w:spacing w:val="-12"/>
        </w:rPr>
        <w:t> </w:t>
      </w:r>
      <w:r>
        <w:rPr/>
        <w:t>Committee,</w:t>
      </w:r>
      <w:r>
        <w:rPr>
          <w:spacing w:val="-11"/>
        </w:rPr>
        <w:t> </w:t>
      </w:r>
      <w:r>
        <w:rPr/>
        <w:t>therefore,</w:t>
      </w:r>
      <w:r>
        <w:rPr>
          <w:spacing w:val="-12"/>
        </w:rPr>
        <w:t> </w:t>
      </w:r>
      <w:r>
        <w:rPr/>
        <w:t>recommends that the appropriate trade associations be contacted and asked to correct this practice on a voluntary</w:t>
      </w:r>
      <w:r>
        <w:rPr>
          <w:spacing w:val="-26"/>
        </w:rPr>
        <w:t> </w:t>
      </w:r>
      <w:r>
        <w:rPr/>
        <w:t>basis.</w:t>
      </w:r>
    </w:p>
    <w:p>
      <w:pPr>
        <w:pStyle w:val="BodyText"/>
        <w:spacing w:before="3"/>
        <w:rPr>
          <w:sz w:val="31"/>
        </w:rPr>
      </w:pPr>
    </w:p>
    <w:p>
      <w:pPr>
        <w:pStyle w:val="Heading1"/>
        <w:numPr>
          <w:ilvl w:val="2"/>
          <w:numId w:val="7"/>
        </w:numPr>
        <w:tabs>
          <w:tab w:pos="732" w:val="left" w:leader="none"/>
        </w:tabs>
        <w:spacing w:line="240" w:lineRule="auto" w:before="0" w:after="0"/>
        <w:ind w:left="732" w:right="0" w:hanging="552"/>
        <w:jc w:val="left"/>
      </w:pPr>
      <w:bookmarkStart w:name="_bookmark8" w:id="13"/>
      <w:bookmarkEnd w:id="13"/>
      <w:r>
        <w:rPr>
          <w:b w:val="0"/>
        </w:rPr>
      </w:r>
      <w:bookmarkStart w:name="_bookmark8" w:id="14"/>
      <w:bookmarkEnd w:id="14"/>
      <w:r>
        <w:rPr/>
        <w:t>C</w:t>
      </w:r>
      <w:r>
        <w:rPr/>
        <w:t>atalyst Beads.</w:t>
      </w:r>
    </w:p>
    <w:p>
      <w:pPr>
        <w:pStyle w:val="BodyText"/>
        <w:spacing w:before="1"/>
        <w:ind w:left="180"/>
      </w:pPr>
      <w:r>
        <w:rPr/>
        <w:t>(L&amp;R, 1981, p. 100)</w:t>
      </w:r>
    </w:p>
    <w:p>
      <w:pPr>
        <w:pStyle w:val="BodyText"/>
        <w:spacing w:before="10"/>
      </w:pPr>
    </w:p>
    <w:p>
      <w:pPr>
        <w:pStyle w:val="Heading1"/>
        <w:ind w:left="180"/>
      </w:pPr>
      <w:r>
        <w:rPr/>
        <w:t>Guideline and Interpretation</w:t>
      </w:r>
    </w:p>
    <w:p>
      <w:pPr>
        <w:pStyle w:val="BodyText"/>
        <w:spacing w:before="10"/>
        <w:rPr>
          <w:b/>
        </w:rPr>
      </w:pPr>
    </w:p>
    <w:p>
      <w:pPr>
        <w:pStyle w:val="BodyText"/>
        <w:ind w:left="180" w:right="418"/>
        <w:jc w:val="both"/>
      </w:pPr>
      <w:r>
        <w:rPr/>
        <w:t>The proper method of sale of catalyst beads used in automobile exhaust systems is by volume. It is appropriate for the quantity declaration to be supplemented by part number or other description of the specific converter for which the package of catalyst beads is intended.</w:t>
      </w:r>
    </w:p>
    <w:p>
      <w:pPr>
        <w:pStyle w:val="BodyText"/>
        <w:spacing w:before="9"/>
      </w:pPr>
    </w:p>
    <w:p>
      <w:pPr>
        <w:pStyle w:val="Heading1"/>
        <w:ind w:left="180"/>
      </w:pPr>
      <w:r>
        <w:rPr/>
        <w:t>Background</w:t>
      </w:r>
    </w:p>
    <w:p>
      <w:pPr>
        <w:pStyle w:val="BodyText"/>
        <w:spacing w:before="11"/>
        <w:rPr>
          <w:b/>
        </w:rPr>
      </w:pPr>
    </w:p>
    <w:p>
      <w:pPr>
        <w:pStyle w:val="BodyText"/>
        <w:ind w:left="180" w:right="417"/>
        <w:jc w:val="both"/>
      </w:pPr>
      <w:r>
        <w:rPr/>
        <w:t>A communication from the General Motors Corporation AC Spark Plug Division was forwarded to the Committee which</w:t>
      </w:r>
      <w:r>
        <w:rPr>
          <w:spacing w:val="-12"/>
        </w:rPr>
        <w:t> </w:t>
      </w:r>
      <w:r>
        <w:rPr/>
        <w:t>proposes</w:t>
      </w:r>
      <w:r>
        <w:rPr>
          <w:spacing w:val="-11"/>
        </w:rPr>
        <w:t> </w:t>
      </w:r>
      <w:r>
        <w:rPr/>
        <w:t>discontinuing</w:t>
      </w:r>
      <w:r>
        <w:rPr>
          <w:spacing w:val="-9"/>
        </w:rPr>
        <w:t> </w:t>
      </w:r>
      <w:r>
        <w:rPr/>
        <w:t>the</w:t>
      </w:r>
      <w:r>
        <w:rPr>
          <w:spacing w:val="-10"/>
        </w:rPr>
        <w:t> </w:t>
      </w:r>
      <w:r>
        <w:rPr/>
        <w:t>labeling</w:t>
      </w:r>
      <w:r>
        <w:rPr>
          <w:spacing w:val="-11"/>
        </w:rPr>
        <w:t> </w:t>
      </w:r>
      <w:r>
        <w:rPr/>
        <w:t>of</w:t>
      </w:r>
      <w:r>
        <w:rPr>
          <w:spacing w:val="-12"/>
        </w:rPr>
        <w:t> </w:t>
      </w:r>
      <w:r>
        <w:rPr/>
        <w:t>their</w:t>
      </w:r>
      <w:r>
        <w:rPr>
          <w:spacing w:val="-9"/>
        </w:rPr>
        <w:t> </w:t>
      </w:r>
      <w:r>
        <w:rPr/>
        <w:t>catalyst</w:t>
      </w:r>
      <w:r>
        <w:rPr>
          <w:spacing w:val="-11"/>
        </w:rPr>
        <w:t> </w:t>
      </w:r>
      <w:r>
        <w:rPr/>
        <w:t>beads</w:t>
      </w:r>
      <w:r>
        <w:rPr>
          <w:spacing w:val="-11"/>
        </w:rPr>
        <w:t> </w:t>
      </w:r>
      <w:r>
        <w:rPr/>
        <w:t>by</w:t>
      </w:r>
      <w:r>
        <w:rPr>
          <w:spacing w:val="-11"/>
        </w:rPr>
        <w:t> </w:t>
      </w:r>
      <w:r>
        <w:rPr/>
        <w:t>weight.</w:t>
      </w:r>
      <w:r>
        <w:rPr>
          <w:spacing w:val="31"/>
        </w:rPr>
        <w:t> </w:t>
      </w:r>
      <w:r>
        <w:rPr/>
        <w:t>When</w:t>
      </w:r>
      <w:r>
        <w:rPr>
          <w:spacing w:val="-11"/>
        </w:rPr>
        <w:t> </w:t>
      </w:r>
      <w:r>
        <w:rPr/>
        <w:t>the</w:t>
      </w:r>
      <w:r>
        <w:rPr>
          <w:spacing w:val="-10"/>
        </w:rPr>
        <w:t> </w:t>
      </w:r>
      <w:r>
        <w:rPr/>
        <w:t>catalyst</w:t>
      </w:r>
      <w:r>
        <w:rPr>
          <w:spacing w:val="-10"/>
        </w:rPr>
        <w:t> </w:t>
      </w:r>
      <w:r>
        <w:rPr/>
        <w:t>becomes</w:t>
      </w:r>
      <w:r>
        <w:rPr>
          <w:spacing w:val="-12"/>
        </w:rPr>
        <w:t> </w:t>
      </w:r>
      <w:r>
        <w:rPr/>
        <w:t>contaminated by leaded gasoline or prolonged use, the catalytic converter in the exhaust system of recent GM cars and trucks (run- ning on unleaded gasoline) must be emptied of its catalyst beads and be refilled by volume with replacement catalyst beads in order to meet emission standards. The beads are used by volume (to fill a catalytic converter), are hygro- scopic, and vary in core material density. Therefore, packages of beads meeting a net weight label require an addi- tional</w:t>
      </w:r>
      <w:r>
        <w:rPr>
          <w:spacing w:val="-7"/>
        </w:rPr>
        <w:t> </w:t>
      </w:r>
      <w:r>
        <w:rPr/>
        <w:t>one-third</w:t>
      </w:r>
      <w:r>
        <w:rPr>
          <w:spacing w:val="-5"/>
        </w:rPr>
        <w:t> </w:t>
      </w:r>
      <w:r>
        <w:rPr/>
        <w:t>pound</w:t>
      </w:r>
      <w:r>
        <w:rPr>
          <w:spacing w:val="-4"/>
        </w:rPr>
        <w:t> </w:t>
      </w:r>
      <w:r>
        <w:rPr/>
        <w:t>(on</w:t>
      </w:r>
      <w:r>
        <w:rPr>
          <w:spacing w:val="-8"/>
        </w:rPr>
        <w:t> </w:t>
      </w:r>
      <w:r>
        <w:rPr/>
        <w:t>the</w:t>
      </w:r>
      <w:r>
        <w:rPr>
          <w:spacing w:val="-7"/>
        </w:rPr>
        <w:t> </w:t>
      </w:r>
      <w:r>
        <w:rPr/>
        <w:t>average)</w:t>
      </w:r>
      <w:r>
        <w:rPr>
          <w:spacing w:val="-6"/>
        </w:rPr>
        <w:t> </w:t>
      </w:r>
      <w:r>
        <w:rPr/>
        <w:t>over</w:t>
      </w:r>
      <w:r>
        <w:rPr>
          <w:spacing w:val="-6"/>
        </w:rPr>
        <w:t> </w:t>
      </w:r>
      <w:r>
        <w:rPr/>
        <w:t>the</w:t>
      </w:r>
      <w:r>
        <w:rPr>
          <w:spacing w:val="-5"/>
        </w:rPr>
        <w:t> </w:t>
      </w:r>
      <w:r>
        <w:rPr/>
        <w:t>packages</w:t>
      </w:r>
      <w:r>
        <w:rPr>
          <w:spacing w:val="-7"/>
        </w:rPr>
        <w:t> </w:t>
      </w:r>
      <w:r>
        <w:rPr/>
        <w:t>labeled</w:t>
      </w:r>
      <w:r>
        <w:rPr>
          <w:spacing w:val="-4"/>
        </w:rPr>
        <w:t> </w:t>
      </w:r>
      <w:r>
        <w:rPr/>
        <w:t>by</w:t>
      </w:r>
      <w:r>
        <w:rPr>
          <w:spacing w:val="-10"/>
        </w:rPr>
        <w:t> </w:t>
      </w:r>
      <w:r>
        <w:rPr/>
        <w:t>volume,</w:t>
      </w:r>
      <w:r>
        <w:rPr>
          <w:spacing w:val="-5"/>
        </w:rPr>
        <w:t> </w:t>
      </w:r>
      <w:r>
        <w:rPr/>
        <w:t>cost</w:t>
      </w:r>
      <w:r>
        <w:rPr>
          <w:spacing w:val="-7"/>
        </w:rPr>
        <w:t> </w:t>
      </w:r>
      <w:r>
        <w:rPr/>
        <w:t>about</w:t>
      </w:r>
      <w:r>
        <w:rPr>
          <w:spacing w:val="-6"/>
        </w:rPr>
        <w:t> </w:t>
      </w:r>
      <w:r>
        <w:rPr/>
        <w:t>$7.50</w:t>
      </w:r>
      <w:r>
        <w:rPr>
          <w:spacing w:val="-5"/>
        </w:rPr>
        <w:t> </w:t>
      </w:r>
      <w:r>
        <w:rPr/>
        <w:t>more</w:t>
      </w:r>
      <w:r>
        <w:rPr>
          <w:spacing w:val="-6"/>
        </w:rPr>
        <w:t> </w:t>
      </w:r>
      <w:r>
        <w:rPr/>
        <w:t>per</w:t>
      </w:r>
      <w:r>
        <w:rPr>
          <w:spacing w:val="-7"/>
        </w:rPr>
        <w:t> </w:t>
      </w:r>
      <w:r>
        <w:rPr/>
        <w:t>package,</w:t>
      </w:r>
      <w:r>
        <w:rPr>
          <w:spacing w:val="-6"/>
        </w:rPr>
        <w:t> </w:t>
      </w:r>
      <w:r>
        <w:rPr/>
        <w:t>and the additional weight of beads will be discarded in actual</w:t>
      </w:r>
      <w:r>
        <w:rPr>
          <w:spacing w:val="-1"/>
        </w:rPr>
        <w:t> </w:t>
      </w:r>
      <w:r>
        <w:rPr/>
        <w:t>use.</w:t>
      </w:r>
    </w:p>
    <w:p>
      <w:pPr>
        <w:pStyle w:val="BodyText"/>
        <w:spacing w:before="2"/>
        <w:rPr>
          <w:sz w:val="31"/>
        </w:rPr>
      </w:pPr>
    </w:p>
    <w:p>
      <w:pPr>
        <w:pStyle w:val="Heading1"/>
        <w:numPr>
          <w:ilvl w:val="2"/>
          <w:numId w:val="7"/>
        </w:numPr>
        <w:tabs>
          <w:tab w:pos="732" w:val="left" w:leader="none"/>
        </w:tabs>
        <w:spacing w:line="240" w:lineRule="auto" w:before="0" w:after="0"/>
        <w:ind w:left="731" w:right="0" w:hanging="551"/>
        <w:jc w:val="both"/>
      </w:pPr>
      <w:bookmarkStart w:name="_bookmark9" w:id="15"/>
      <w:bookmarkEnd w:id="15"/>
      <w:r>
        <w:rPr>
          <w:b w:val="0"/>
        </w:rPr>
      </w:r>
      <w:bookmarkStart w:name="_bookmark9" w:id="16"/>
      <w:bookmarkEnd w:id="16"/>
      <w:r>
        <w:rPr/>
        <w:t>I</w:t>
      </w:r>
      <w:r>
        <w:rPr/>
        <w:t>ncense.</w:t>
      </w:r>
    </w:p>
    <w:p>
      <w:pPr>
        <w:pStyle w:val="BodyText"/>
        <w:spacing w:before="1"/>
        <w:ind w:left="179"/>
        <w:jc w:val="both"/>
      </w:pPr>
      <w:r>
        <w:rPr/>
        <w:t>(L&amp;R, 1978, p. 151)</w:t>
      </w:r>
    </w:p>
    <w:p>
      <w:pPr>
        <w:pStyle w:val="BodyText"/>
        <w:spacing w:before="10"/>
      </w:pPr>
    </w:p>
    <w:p>
      <w:pPr>
        <w:pStyle w:val="Heading1"/>
        <w:jc w:val="both"/>
      </w:pPr>
      <w:r>
        <w:rPr/>
        <w:t>Interpretation</w:t>
      </w:r>
    </w:p>
    <w:p>
      <w:pPr>
        <w:pStyle w:val="BodyText"/>
        <w:spacing w:before="10"/>
        <w:rPr>
          <w:b/>
        </w:rPr>
      </w:pPr>
    </w:p>
    <w:p>
      <w:pPr>
        <w:pStyle w:val="BodyText"/>
        <w:spacing w:before="1"/>
        <w:ind w:left="179"/>
        <w:jc w:val="both"/>
      </w:pPr>
      <w:r>
        <w:rPr/>
        <w:t>Incense labeled by count is fully informative and sufficient.</w:t>
      </w:r>
    </w:p>
    <w:p>
      <w:pPr>
        <w:pStyle w:val="BodyText"/>
        <w:spacing w:before="10"/>
      </w:pPr>
    </w:p>
    <w:p>
      <w:pPr>
        <w:pStyle w:val="Heading1"/>
        <w:jc w:val="both"/>
      </w:pPr>
      <w:r>
        <w:rPr/>
        <w:t>Background</w:t>
      </w:r>
    </w:p>
    <w:p>
      <w:pPr>
        <w:pStyle w:val="BodyText"/>
        <w:spacing w:before="8"/>
        <w:rPr>
          <w:b/>
        </w:rPr>
      </w:pPr>
    </w:p>
    <w:p>
      <w:pPr>
        <w:pStyle w:val="BodyText"/>
        <w:ind w:left="179" w:right="416"/>
        <w:jc w:val="both"/>
      </w:pPr>
      <w:r>
        <w:rPr/>
        <w:t>The State of Oregon raised the issue of proper quantity declarations for the sale of incense. The question is what, if any, information other than count, such as weight or volume or length, is necessary for an adequate description on packages of incense. The Committee is of the opinion that a statement of count as defined in Section 6.4.1(c) of the Uniform Packaging and Labeling Regulation is fully informative and is sufficient in this case.</w:t>
      </w:r>
    </w:p>
    <w:p>
      <w:pPr>
        <w:pStyle w:val="BodyText"/>
        <w:spacing w:before="5"/>
        <w:rPr>
          <w:sz w:val="31"/>
        </w:rPr>
      </w:pPr>
    </w:p>
    <w:p>
      <w:pPr>
        <w:pStyle w:val="Heading1"/>
        <w:numPr>
          <w:ilvl w:val="2"/>
          <w:numId w:val="7"/>
        </w:numPr>
        <w:tabs>
          <w:tab w:pos="732" w:val="left" w:leader="none"/>
        </w:tabs>
        <w:spacing w:line="240" w:lineRule="auto" w:before="0" w:after="0"/>
        <w:ind w:left="731" w:right="0" w:hanging="551"/>
        <w:jc w:val="left"/>
      </w:pPr>
      <w:bookmarkStart w:name="_bookmark10" w:id="17"/>
      <w:bookmarkEnd w:id="17"/>
      <w:r>
        <w:rPr>
          <w:b w:val="0"/>
        </w:rPr>
      </w:r>
      <w:bookmarkStart w:name="_bookmark10" w:id="18"/>
      <w:bookmarkEnd w:id="18"/>
      <w:r>
        <w:rPr/>
        <w:t>S</w:t>
      </w:r>
      <w:r>
        <w:rPr/>
        <w:t>ea Shells.</w:t>
      </w:r>
    </w:p>
    <w:p>
      <w:pPr>
        <w:pStyle w:val="BodyText"/>
        <w:spacing w:before="1"/>
        <w:ind w:left="179"/>
      </w:pPr>
      <w:r>
        <w:rPr/>
        <w:t>(L&amp;R, 1976, p. 223)</w:t>
      </w:r>
    </w:p>
    <w:p>
      <w:pPr>
        <w:pStyle w:val="BodyText"/>
        <w:spacing w:before="10"/>
      </w:pPr>
    </w:p>
    <w:p>
      <w:pPr>
        <w:pStyle w:val="Heading1"/>
      </w:pPr>
      <w:r>
        <w:rPr/>
        <w:t>Guideline</w:t>
      </w:r>
    </w:p>
    <w:p>
      <w:pPr>
        <w:pStyle w:val="BodyText"/>
        <w:spacing w:before="8"/>
        <w:rPr>
          <w:b/>
        </w:rPr>
      </w:pPr>
    </w:p>
    <w:p>
      <w:pPr>
        <w:pStyle w:val="BodyText"/>
        <w:ind w:left="179" w:right="349"/>
      </w:pPr>
      <w:r>
        <w:rPr/>
        <w:t>Sea shells shall be sold by count and weight for packages of 50 sea shells or less and by volume and weight for packages containing more than 50 sea shells.</w:t>
      </w:r>
    </w:p>
    <w:p>
      <w:pPr>
        <w:spacing w:after="0"/>
        <w:sectPr>
          <w:footerReference w:type="even" r:id="rId13"/>
          <w:footerReference w:type="default" r:id="rId14"/>
          <w:pgSz w:w="12240" w:h="15840"/>
          <w:pgMar w:footer="741" w:header="730" w:top="1340" w:bottom="940" w:left="1260" w:right="1020"/>
          <w:pgNumType w:start="252"/>
        </w:sectPr>
      </w:pPr>
    </w:p>
    <w:p>
      <w:pPr>
        <w:pStyle w:val="BodyText"/>
        <w:spacing w:before="1"/>
        <w:rPr>
          <w:sz w:val="17"/>
        </w:rPr>
      </w:pPr>
    </w:p>
    <w:p>
      <w:pPr>
        <w:pStyle w:val="Heading1"/>
        <w:numPr>
          <w:ilvl w:val="2"/>
          <w:numId w:val="7"/>
        </w:numPr>
        <w:tabs>
          <w:tab w:pos="732" w:val="left" w:leader="none"/>
        </w:tabs>
        <w:spacing w:line="240" w:lineRule="auto" w:before="91" w:after="0"/>
        <w:ind w:left="732" w:right="0" w:hanging="552"/>
        <w:jc w:val="left"/>
      </w:pPr>
      <w:bookmarkStart w:name="_bookmark11" w:id="19"/>
      <w:bookmarkEnd w:id="19"/>
      <w:r>
        <w:rPr>
          <w:b w:val="0"/>
        </w:rPr>
      </w:r>
      <w:bookmarkStart w:name="_bookmark11" w:id="20"/>
      <w:bookmarkEnd w:id="20"/>
      <w:r>
        <w:rPr/>
        <w:t>T</w:t>
      </w:r>
      <w:r>
        <w:rPr/>
        <w:t>ire Tread Rubber</w:t>
      </w:r>
      <w:r>
        <w:rPr>
          <w:spacing w:val="-1"/>
        </w:rPr>
        <w:t> </w:t>
      </w:r>
      <w:r>
        <w:rPr/>
        <w:t>Products.</w:t>
      </w:r>
    </w:p>
    <w:p>
      <w:pPr>
        <w:pStyle w:val="BodyText"/>
        <w:spacing w:before="1"/>
        <w:ind w:left="179"/>
      </w:pPr>
      <w:r>
        <w:rPr/>
        <w:t>(L&amp;R, 1976, p. 233)</w:t>
      </w:r>
    </w:p>
    <w:p>
      <w:pPr>
        <w:pStyle w:val="BodyText"/>
        <w:spacing w:before="10"/>
      </w:pPr>
    </w:p>
    <w:p>
      <w:pPr>
        <w:pStyle w:val="Heading1"/>
      </w:pPr>
      <w:r>
        <w:rPr/>
        <w:t>Guideline</w:t>
      </w:r>
    </w:p>
    <w:p>
      <w:pPr>
        <w:pStyle w:val="BodyText"/>
        <w:spacing w:before="10"/>
        <w:rPr>
          <w:b/>
        </w:rPr>
      </w:pPr>
    </w:p>
    <w:p>
      <w:pPr>
        <w:pStyle w:val="BodyText"/>
        <w:ind w:left="180" w:right="418"/>
        <w:jc w:val="both"/>
      </w:pPr>
      <w:r>
        <w:rPr/>
        <w:t>Tire tread rubber products shall be sold by net weight. The polyethylene film protective backing shall be part of the product and included in the net weight. The core is part of the tare and must be deducted from the gross weight to determine the net weight.</w:t>
      </w:r>
    </w:p>
    <w:p>
      <w:pPr>
        <w:pStyle w:val="BodyText"/>
        <w:spacing w:before="3"/>
        <w:rPr>
          <w:sz w:val="31"/>
        </w:rPr>
      </w:pPr>
    </w:p>
    <w:p>
      <w:pPr>
        <w:pStyle w:val="Heading1"/>
        <w:numPr>
          <w:ilvl w:val="2"/>
          <w:numId w:val="7"/>
        </w:numPr>
        <w:tabs>
          <w:tab w:pos="732" w:val="left" w:leader="none"/>
        </w:tabs>
        <w:spacing w:line="240" w:lineRule="auto" w:before="0" w:after="0"/>
        <w:ind w:left="732" w:right="0" w:hanging="552"/>
        <w:jc w:val="left"/>
      </w:pPr>
      <w:bookmarkStart w:name="_bookmark12" w:id="21"/>
      <w:bookmarkEnd w:id="21"/>
      <w:r>
        <w:rPr>
          <w:b w:val="0"/>
        </w:rPr>
      </w:r>
      <w:bookmarkStart w:name="_bookmark12" w:id="22"/>
      <w:bookmarkEnd w:id="22"/>
      <w:r>
        <w:rPr/>
        <w:t>W</w:t>
      </w:r>
      <w:r>
        <w:rPr/>
        <w:t>iper</w:t>
      </w:r>
      <w:r>
        <w:rPr>
          <w:spacing w:val="-1"/>
        </w:rPr>
        <w:t> </w:t>
      </w:r>
      <w:r>
        <w:rPr/>
        <w:t>Blades.</w:t>
      </w:r>
    </w:p>
    <w:p>
      <w:pPr>
        <w:pStyle w:val="BodyText"/>
        <w:ind w:left="179"/>
      </w:pPr>
      <w:r>
        <w:rPr/>
        <w:t>(L&amp;R, 1979, p. 182)</w:t>
      </w:r>
    </w:p>
    <w:p>
      <w:pPr>
        <w:pStyle w:val="BodyText"/>
        <w:spacing w:before="11"/>
      </w:pPr>
    </w:p>
    <w:p>
      <w:pPr>
        <w:pStyle w:val="Heading1"/>
        <w:ind w:left="180"/>
      </w:pPr>
      <w:r>
        <w:rPr/>
        <w:t>Interpretation</w:t>
      </w:r>
    </w:p>
    <w:p>
      <w:pPr>
        <w:pStyle w:val="BodyText"/>
        <w:spacing w:before="7"/>
        <w:rPr>
          <w:b/>
        </w:rPr>
      </w:pPr>
    </w:p>
    <w:p>
      <w:pPr>
        <w:pStyle w:val="BodyText"/>
        <w:spacing w:before="1"/>
        <w:ind w:left="179" w:right="349"/>
      </w:pPr>
      <w:r>
        <w:rPr/>
        <w:t>There is a trade custom of labeling automobile wiper blades by the length of the metal backing or vertebra, not the length of the blade. This is an acceptable method of sale and net contents declaration.</w:t>
      </w:r>
    </w:p>
    <w:p>
      <w:pPr>
        <w:pStyle w:val="BodyText"/>
        <w:spacing w:before="10"/>
      </w:pPr>
    </w:p>
    <w:p>
      <w:pPr>
        <w:pStyle w:val="Heading1"/>
        <w:spacing w:before="1"/>
      </w:pPr>
      <w:r>
        <w:rPr/>
        <w:t>Background</w:t>
      </w:r>
    </w:p>
    <w:p>
      <w:pPr>
        <w:pStyle w:val="BodyText"/>
        <w:spacing w:before="10"/>
        <w:rPr>
          <w:b/>
        </w:rPr>
      </w:pPr>
    </w:p>
    <w:p>
      <w:pPr>
        <w:pStyle w:val="BodyText"/>
        <w:ind w:left="179" w:right="418"/>
        <w:jc w:val="both"/>
      </w:pPr>
      <w:r>
        <w:rPr/>
        <w:t>The</w:t>
      </w:r>
      <w:r>
        <w:rPr>
          <w:spacing w:val="-4"/>
        </w:rPr>
        <w:t> </w:t>
      </w:r>
      <w:r>
        <w:rPr/>
        <w:t>Committee</w:t>
      </w:r>
      <w:r>
        <w:rPr>
          <w:spacing w:val="-4"/>
        </w:rPr>
        <w:t> </w:t>
      </w:r>
      <w:r>
        <w:rPr/>
        <w:t>received</w:t>
      </w:r>
      <w:r>
        <w:rPr>
          <w:spacing w:val="-2"/>
        </w:rPr>
        <w:t> </w:t>
      </w:r>
      <w:r>
        <w:rPr/>
        <w:t>a</w:t>
      </w:r>
      <w:r>
        <w:rPr>
          <w:spacing w:val="-4"/>
        </w:rPr>
        <w:t> </w:t>
      </w:r>
      <w:r>
        <w:rPr/>
        <w:t>request</w:t>
      </w:r>
      <w:r>
        <w:rPr>
          <w:spacing w:val="-1"/>
        </w:rPr>
        <w:t> </w:t>
      </w:r>
      <w:r>
        <w:rPr/>
        <w:t>from</w:t>
      </w:r>
      <w:r>
        <w:rPr>
          <w:spacing w:val="-8"/>
        </w:rPr>
        <w:t> </w:t>
      </w:r>
      <w:r>
        <w:rPr/>
        <w:t>a</w:t>
      </w:r>
      <w:r>
        <w:rPr>
          <w:spacing w:val="-1"/>
        </w:rPr>
        <w:t> </w:t>
      </w:r>
      <w:r>
        <w:rPr/>
        <w:t>manufacturer</w:t>
      </w:r>
      <w:r>
        <w:rPr>
          <w:spacing w:val="-2"/>
        </w:rPr>
        <w:t> </w:t>
      </w:r>
      <w:r>
        <w:rPr/>
        <w:t>of</w:t>
      </w:r>
      <w:r>
        <w:rPr>
          <w:spacing w:val="-6"/>
        </w:rPr>
        <w:t> </w:t>
      </w:r>
      <w:r>
        <w:rPr/>
        <w:t>automobile wiper</w:t>
      </w:r>
      <w:r>
        <w:rPr>
          <w:spacing w:val="-3"/>
        </w:rPr>
        <w:t> </w:t>
      </w:r>
      <w:r>
        <w:rPr/>
        <w:t>blades</w:t>
      </w:r>
      <w:r>
        <w:rPr>
          <w:spacing w:val="-4"/>
        </w:rPr>
        <w:t> </w:t>
      </w:r>
      <w:r>
        <w:rPr/>
        <w:t>that</w:t>
      </w:r>
      <w:r>
        <w:rPr>
          <w:spacing w:val="-4"/>
        </w:rPr>
        <w:t> </w:t>
      </w:r>
      <w:r>
        <w:rPr/>
        <w:t>had</w:t>
      </w:r>
      <w:r>
        <w:rPr>
          <w:spacing w:val="-3"/>
        </w:rPr>
        <w:t> </w:t>
      </w:r>
      <w:r>
        <w:rPr/>
        <w:t>a</w:t>
      </w:r>
      <w:r>
        <w:rPr>
          <w:spacing w:val="-5"/>
        </w:rPr>
        <w:t> </w:t>
      </w:r>
      <w:r>
        <w:rPr/>
        <w:t>problem</w:t>
      </w:r>
      <w:r>
        <w:rPr>
          <w:spacing w:val="-5"/>
        </w:rPr>
        <w:t> </w:t>
      </w:r>
      <w:r>
        <w:rPr/>
        <w:t>with</w:t>
      </w:r>
      <w:r>
        <w:rPr>
          <w:spacing w:val="-4"/>
        </w:rPr>
        <w:t> </w:t>
      </w:r>
      <w:r>
        <w:rPr/>
        <w:t>one</w:t>
      </w:r>
      <w:r>
        <w:rPr>
          <w:spacing w:val="-4"/>
        </w:rPr>
        <w:t> </w:t>
      </w:r>
      <w:r>
        <w:rPr/>
        <w:t>state concerning the measurement of length as labeled on their packages. The state felt that the proper designation should be the length of the blade itself; the manufacturer said that traditionally the industry measured the length of the metal backing or</w:t>
      </w:r>
      <w:r>
        <w:rPr>
          <w:spacing w:val="-1"/>
        </w:rPr>
        <w:t> </w:t>
      </w:r>
      <w:r>
        <w:rPr/>
        <w:t>vertebra.</w:t>
      </w:r>
    </w:p>
    <w:p>
      <w:pPr>
        <w:pStyle w:val="BodyText"/>
        <w:spacing w:before="9"/>
      </w:pPr>
    </w:p>
    <w:p>
      <w:pPr>
        <w:pStyle w:val="BodyText"/>
        <w:ind w:left="179"/>
      </w:pPr>
      <w:r>
        <w:rPr/>
        <w:t>The Committee, after some discussion, determined that since there was no intent to mislead customers, the traditional measurement of the metal backing or vertebra was acceptable.</w:t>
      </w:r>
    </w:p>
    <w:p>
      <w:pPr>
        <w:pStyle w:val="BodyText"/>
        <w:spacing w:before="5"/>
        <w:rPr>
          <w:sz w:val="31"/>
        </w:rPr>
      </w:pPr>
    </w:p>
    <w:p>
      <w:pPr>
        <w:pStyle w:val="Heading1"/>
        <w:jc w:val="both"/>
      </w:pPr>
      <w:bookmarkStart w:name="_bookmark13" w:id="23"/>
      <w:bookmarkEnd w:id="23"/>
      <w:r>
        <w:rPr>
          <w:b w:val="0"/>
        </w:rPr>
      </w:r>
      <w:r>
        <w:rPr/>
        <w:t>2.3.13. Vegetable Oil.</w:t>
      </w:r>
    </w:p>
    <w:p>
      <w:pPr>
        <w:pStyle w:val="BodyText"/>
        <w:ind w:left="179"/>
        <w:jc w:val="both"/>
      </w:pPr>
      <w:r>
        <w:rPr/>
        <w:t>(L&amp;R, 1983, p. 208)</w:t>
      </w:r>
    </w:p>
    <w:p>
      <w:pPr>
        <w:pStyle w:val="BodyText"/>
        <w:spacing w:before="10"/>
      </w:pPr>
    </w:p>
    <w:p>
      <w:pPr>
        <w:pStyle w:val="Heading1"/>
        <w:spacing w:before="1"/>
        <w:jc w:val="both"/>
      </w:pPr>
      <w:r>
        <w:rPr/>
        <w:t>Guideline and Interpretation</w:t>
      </w:r>
    </w:p>
    <w:p>
      <w:pPr>
        <w:pStyle w:val="BodyText"/>
        <w:spacing w:before="7"/>
        <w:rPr>
          <w:b/>
        </w:rPr>
      </w:pPr>
    </w:p>
    <w:p>
      <w:pPr>
        <w:pStyle w:val="BodyText"/>
        <w:spacing w:before="1"/>
        <w:ind w:left="179"/>
        <w:jc w:val="both"/>
      </w:pPr>
      <w:r>
        <w:rPr/>
        <w:t>Packaged liquid vegetable oil must be labeled by liquid volume, although net weight may also be declared.</w:t>
      </w:r>
    </w:p>
    <w:p>
      <w:pPr>
        <w:pStyle w:val="BodyText"/>
        <w:spacing w:before="10"/>
      </w:pPr>
    </w:p>
    <w:p>
      <w:pPr>
        <w:pStyle w:val="Heading1"/>
        <w:jc w:val="both"/>
      </w:pPr>
      <w:r>
        <w:rPr/>
        <w:t>Background</w:t>
      </w:r>
    </w:p>
    <w:p>
      <w:pPr>
        <w:pStyle w:val="BodyText"/>
        <w:spacing w:before="10"/>
        <w:rPr>
          <w:b/>
        </w:rPr>
      </w:pPr>
    </w:p>
    <w:p>
      <w:pPr>
        <w:pStyle w:val="BodyText"/>
        <w:ind w:left="179" w:right="417"/>
        <w:jc w:val="both"/>
      </w:pPr>
      <w:r>
        <w:rPr/>
        <w:t>Packages of liquid vegetable oil are being sold for restaurant and other small food business use labeled by weight. It has</w:t>
      </w:r>
      <w:r>
        <w:rPr>
          <w:spacing w:val="-5"/>
        </w:rPr>
        <w:t> </w:t>
      </w:r>
      <w:r>
        <w:rPr/>
        <w:t>been</w:t>
      </w:r>
      <w:r>
        <w:rPr>
          <w:spacing w:val="-4"/>
        </w:rPr>
        <w:t> </w:t>
      </w:r>
      <w:r>
        <w:rPr/>
        <w:t>brought</w:t>
      </w:r>
      <w:r>
        <w:rPr>
          <w:spacing w:val="-3"/>
        </w:rPr>
        <w:t> </w:t>
      </w:r>
      <w:r>
        <w:rPr/>
        <w:t>to</w:t>
      </w:r>
      <w:r>
        <w:rPr>
          <w:spacing w:val="-3"/>
        </w:rPr>
        <w:t> </w:t>
      </w:r>
      <w:r>
        <w:rPr/>
        <w:t>the</w:t>
      </w:r>
      <w:r>
        <w:rPr>
          <w:spacing w:val="-3"/>
        </w:rPr>
        <w:t> </w:t>
      </w:r>
      <w:r>
        <w:rPr/>
        <w:t>attention</w:t>
      </w:r>
      <w:r>
        <w:rPr>
          <w:spacing w:val="-4"/>
        </w:rPr>
        <w:t> </w:t>
      </w:r>
      <w:r>
        <w:rPr/>
        <w:t>of</w:t>
      </w:r>
      <w:r>
        <w:rPr>
          <w:spacing w:val="-5"/>
        </w:rPr>
        <w:t> </w:t>
      </w:r>
      <w:r>
        <w:rPr/>
        <w:t>the</w:t>
      </w:r>
      <w:r>
        <w:rPr>
          <w:spacing w:val="-4"/>
        </w:rPr>
        <w:t> </w:t>
      </w:r>
      <w:r>
        <w:rPr/>
        <w:t>Committee</w:t>
      </w:r>
      <w:r>
        <w:rPr>
          <w:spacing w:val="-3"/>
        </w:rPr>
        <w:t> </w:t>
      </w:r>
      <w:r>
        <w:rPr/>
        <w:t>that</w:t>
      </w:r>
      <w:r>
        <w:rPr>
          <w:spacing w:val="-3"/>
        </w:rPr>
        <w:t> </w:t>
      </w:r>
      <w:r>
        <w:rPr/>
        <w:t>containers</w:t>
      </w:r>
      <w:r>
        <w:rPr>
          <w:spacing w:val="-3"/>
        </w:rPr>
        <w:t> </w:t>
      </w:r>
      <w:r>
        <w:rPr/>
        <w:t>of</w:t>
      </w:r>
      <w:r>
        <w:rPr>
          <w:spacing w:val="-6"/>
        </w:rPr>
        <w:t> </w:t>
      </w:r>
      <w:r>
        <w:rPr/>
        <w:t>product</w:t>
      </w:r>
      <w:r>
        <w:rPr>
          <w:spacing w:val="-3"/>
        </w:rPr>
        <w:t> </w:t>
      </w:r>
      <w:r>
        <w:rPr/>
        <w:t>labeled</w:t>
      </w:r>
      <w:r>
        <w:rPr>
          <w:spacing w:val="-4"/>
        </w:rPr>
        <w:t> </w:t>
      </w:r>
      <w:r>
        <w:rPr/>
        <w:t>“5</w:t>
      </w:r>
      <w:r>
        <w:rPr>
          <w:spacing w:val="-2"/>
        </w:rPr>
        <w:t> </w:t>
      </w:r>
      <w:r>
        <w:rPr/>
        <w:t>gal”</w:t>
      </w:r>
      <w:r>
        <w:rPr>
          <w:spacing w:val="-4"/>
        </w:rPr>
        <w:t> </w:t>
      </w:r>
      <w:r>
        <w:rPr/>
        <w:t>look</w:t>
      </w:r>
      <w:r>
        <w:rPr>
          <w:spacing w:val="-4"/>
        </w:rPr>
        <w:t> </w:t>
      </w:r>
      <w:r>
        <w:rPr/>
        <w:t>identical</w:t>
      </w:r>
      <w:r>
        <w:rPr>
          <w:spacing w:val="-3"/>
        </w:rPr>
        <w:t> </w:t>
      </w:r>
      <w:r>
        <w:rPr/>
        <w:t>in</w:t>
      </w:r>
      <w:r>
        <w:rPr>
          <w:spacing w:val="-5"/>
        </w:rPr>
        <w:t> </w:t>
      </w:r>
      <w:r>
        <w:rPr/>
        <w:t>dimen- sions</w:t>
      </w:r>
      <w:r>
        <w:rPr>
          <w:spacing w:val="-8"/>
        </w:rPr>
        <w:t> </w:t>
      </w:r>
      <w:r>
        <w:rPr/>
        <w:t>to</w:t>
      </w:r>
      <w:r>
        <w:rPr>
          <w:spacing w:val="-6"/>
        </w:rPr>
        <w:t> </w:t>
      </w:r>
      <w:r>
        <w:rPr/>
        <w:t>those</w:t>
      </w:r>
      <w:r>
        <w:rPr>
          <w:spacing w:val="-6"/>
        </w:rPr>
        <w:t> </w:t>
      </w:r>
      <w:r>
        <w:rPr/>
        <w:t>labeled</w:t>
      </w:r>
      <w:r>
        <w:rPr>
          <w:spacing w:val="-4"/>
        </w:rPr>
        <w:t> </w:t>
      </w:r>
      <w:r>
        <w:rPr/>
        <w:t>“35</w:t>
      </w:r>
      <w:r>
        <w:rPr>
          <w:spacing w:val="-1"/>
        </w:rPr>
        <w:t> </w:t>
      </w:r>
      <w:r>
        <w:rPr/>
        <w:t>lb”</w:t>
      </w:r>
      <w:r>
        <w:rPr>
          <w:spacing w:val="-6"/>
        </w:rPr>
        <w:t> </w:t>
      </w:r>
      <w:r>
        <w:rPr/>
        <w:t>but</w:t>
      </w:r>
      <w:r>
        <w:rPr>
          <w:spacing w:val="-7"/>
        </w:rPr>
        <w:t> </w:t>
      </w:r>
      <w:r>
        <w:rPr/>
        <w:t>the</w:t>
      </w:r>
      <w:r>
        <w:rPr>
          <w:spacing w:val="-7"/>
        </w:rPr>
        <w:t> </w:t>
      </w:r>
      <w:r>
        <w:rPr/>
        <w:t>density</w:t>
      </w:r>
      <w:r>
        <w:rPr>
          <w:spacing w:val="-8"/>
        </w:rPr>
        <w:t> </w:t>
      </w:r>
      <w:r>
        <w:rPr/>
        <w:t>of</w:t>
      </w:r>
      <w:r>
        <w:rPr>
          <w:spacing w:val="-6"/>
        </w:rPr>
        <w:t> </w:t>
      </w:r>
      <w:r>
        <w:rPr/>
        <w:t>the</w:t>
      </w:r>
      <w:r>
        <w:rPr>
          <w:spacing w:val="-4"/>
        </w:rPr>
        <w:t> </w:t>
      </w:r>
      <w:r>
        <w:rPr/>
        <w:t>vegetable</w:t>
      </w:r>
      <w:r>
        <w:rPr>
          <w:spacing w:val="-7"/>
        </w:rPr>
        <w:t> </w:t>
      </w:r>
      <w:r>
        <w:rPr/>
        <w:t>oil</w:t>
      </w:r>
      <w:r>
        <w:rPr>
          <w:spacing w:val="-7"/>
        </w:rPr>
        <w:t> </w:t>
      </w:r>
      <w:r>
        <w:rPr/>
        <w:t>is</w:t>
      </w:r>
      <w:r>
        <w:rPr>
          <w:spacing w:val="-8"/>
        </w:rPr>
        <w:t> </w:t>
      </w:r>
      <w:r>
        <w:rPr/>
        <w:t>such</w:t>
      </w:r>
      <w:r>
        <w:rPr>
          <w:spacing w:val="-8"/>
        </w:rPr>
        <w:t> </w:t>
      </w:r>
      <w:r>
        <w:rPr/>
        <w:t>that</w:t>
      </w:r>
      <w:r>
        <w:rPr>
          <w:spacing w:val="-7"/>
        </w:rPr>
        <w:t> </w:t>
      </w:r>
      <w:r>
        <w:rPr/>
        <w:t>the</w:t>
      </w:r>
      <w:r>
        <w:rPr>
          <w:spacing w:val="-7"/>
        </w:rPr>
        <w:t> </w:t>
      </w:r>
      <w:r>
        <w:rPr/>
        <w:t>35</w:t>
      </w:r>
      <w:r>
        <w:rPr>
          <w:spacing w:val="-1"/>
        </w:rPr>
        <w:t> </w:t>
      </w:r>
      <w:r>
        <w:rPr/>
        <w:t>lb</w:t>
      </w:r>
      <w:r>
        <w:rPr>
          <w:spacing w:val="-6"/>
        </w:rPr>
        <w:t> </w:t>
      </w:r>
      <w:r>
        <w:rPr/>
        <w:t>cans</w:t>
      </w:r>
      <w:r>
        <w:rPr>
          <w:spacing w:val="-5"/>
        </w:rPr>
        <w:t> </w:t>
      </w:r>
      <w:r>
        <w:rPr/>
        <w:t>contain</w:t>
      </w:r>
      <w:r>
        <w:rPr>
          <w:spacing w:val="-8"/>
        </w:rPr>
        <w:t> </w:t>
      </w:r>
      <w:r>
        <w:rPr/>
        <w:t>only</w:t>
      </w:r>
      <w:r>
        <w:rPr>
          <w:spacing w:val="-10"/>
        </w:rPr>
        <w:t> </w:t>
      </w:r>
      <w:r>
        <w:rPr/>
        <w:t>about</w:t>
      </w:r>
      <w:r>
        <w:rPr>
          <w:spacing w:val="-7"/>
        </w:rPr>
        <w:t> </w:t>
      </w:r>
      <w:r>
        <w:rPr/>
        <w:t>4½</w:t>
      </w:r>
      <w:r>
        <w:rPr>
          <w:spacing w:val="-3"/>
        </w:rPr>
        <w:t> </w:t>
      </w:r>
      <w:r>
        <w:rPr/>
        <w:t>gal. The Institute of Shortening and Edible Oils indicated that companies selling liquid vegetable oils often compete with those</w:t>
      </w:r>
      <w:r>
        <w:rPr>
          <w:spacing w:val="-13"/>
        </w:rPr>
        <w:t> </w:t>
      </w:r>
      <w:r>
        <w:rPr/>
        <w:t>selling</w:t>
      </w:r>
      <w:r>
        <w:rPr>
          <w:spacing w:val="-14"/>
        </w:rPr>
        <w:t> </w:t>
      </w:r>
      <w:r>
        <w:rPr/>
        <w:t>solid</w:t>
      </w:r>
      <w:r>
        <w:rPr>
          <w:spacing w:val="-9"/>
        </w:rPr>
        <w:t> </w:t>
      </w:r>
      <w:r>
        <w:rPr/>
        <w:t>shortening,</w:t>
      </w:r>
      <w:r>
        <w:rPr>
          <w:spacing w:val="-10"/>
        </w:rPr>
        <w:t> </w:t>
      </w:r>
      <w:r>
        <w:rPr/>
        <w:t>and</w:t>
      </w:r>
      <w:r>
        <w:rPr>
          <w:spacing w:val="-11"/>
        </w:rPr>
        <w:t> </w:t>
      </w:r>
      <w:r>
        <w:rPr/>
        <w:t>that</w:t>
      </w:r>
      <w:r>
        <w:rPr>
          <w:spacing w:val="-13"/>
        </w:rPr>
        <w:t> </w:t>
      </w:r>
      <w:r>
        <w:rPr/>
        <w:t>a</w:t>
      </w:r>
      <w:r>
        <w:rPr>
          <w:spacing w:val="-11"/>
        </w:rPr>
        <w:t> </w:t>
      </w:r>
      <w:r>
        <w:rPr/>
        <w:t>net</w:t>
      </w:r>
      <w:r>
        <w:rPr>
          <w:spacing w:val="-10"/>
        </w:rPr>
        <w:t> </w:t>
      </w:r>
      <w:r>
        <w:rPr/>
        <w:t>weight</w:t>
      </w:r>
      <w:r>
        <w:rPr>
          <w:spacing w:val="-13"/>
        </w:rPr>
        <w:t> </w:t>
      </w:r>
      <w:r>
        <w:rPr/>
        <w:t>comparison</w:t>
      </w:r>
      <w:r>
        <w:rPr>
          <w:spacing w:val="-14"/>
        </w:rPr>
        <w:t> </w:t>
      </w:r>
      <w:r>
        <w:rPr/>
        <w:t>is</w:t>
      </w:r>
      <w:r>
        <w:rPr>
          <w:spacing w:val="-11"/>
        </w:rPr>
        <w:t> </w:t>
      </w:r>
      <w:r>
        <w:rPr/>
        <w:t>useful</w:t>
      </w:r>
      <w:r>
        <w:rPr>
          <w:spacing w:val="-13"/>
        </w:rPr>
        <w:t> </w:t>
      </w:r>
      <w:r>
        <w:rPr/>
        <w:t>for</w:t>
      </w:r>
      <w:r>
        <w:rPr>
          <w:spacing w:val="-12"/>
        </w:rPr>
        <w:t> </w:t>
      </w:r>
      <w:r>
        <w:rPr/>
        <w:t>these</w:t>
      </w:r>
      <w:r>
        <w:rPr>
          <w:spacing w:val="-12"/>
        </w:rPr>
        <w:t> </w:t>
      </w:r>
      <w:r>
        <w:rPr/>
        <w:t>purposes.</w:t>
      </w:r>
      <w:r>
        <w:rPr>
          <w:spacing w:val="27"/>
        </w:rPr>
        <w:t> </w:t>
      </w:r>
      <w:r>
        <w:rPr/>
        <w:t>Recipes</w:t>
      </w:r>
      <w:r>
        <w:rPr>
          <w:spacing w:val="-13"/>
        </w:rPr>
        <w:t> </w:t>
      </w:r>
      <w:r>
        <w:rPr/>
        <w:t>for</w:t>
      </w:r>
      <w:r>
        <w:rPr>
          <w:spacing w:val="-9"/>
        </w:rPr>
        <w:t> </w:t>
      </w:r>
      <w:r>
        <w:rPr/>
        <w:t>food</w:t>
      </w:r>
      <w:r>
        <w:rPr>
          <w:spacing w:val="-11"/>
        </w:rPr>
        <w:t> </w:t>
      </w:r>
      <w:r>
        <w:rPr/>
        <w:t>products in large sizes sometimes provide ingredient quantities by weight or</w:t>
      </w:r>
      <w:r>
        <w:rPr>
          <w:spacing w:val="-9"/>
        </w:rPr>
        <w:t> </w:t>
      </w:r>
      <w:r>
        <w:rPr/>
        <w:t>volume.</w:t>
      </w:r>
    </w:p>
    <w:p>
      <w:pPr>
        <w:pStyle w:val="BodyText"/>
        <w:spacing w:before="11"/>
      </w:pPr>
    </w:p>
    <w:p>
      <w:pPr>
        <w:pStyle w:val="BodyText"/>
        <w:ind w:left="180"/>
      </w:pPr>
      <w:r>
        <w:rPr/>
        <w:t>It</w:t>
      </w:r>
      <w:r>
        <w:rPr>
          <w:spacing w:val="-9"/>
        </w:rPr>
        <w:t> </w:t>
      </w:r>
      <w:r>
        <w:rPr/>
        <w:t>is</w:t>
      </w:r>
      <w:r>
        <w:rPr>
          <w:spacing w:val="-9"/>
        </w:rPr>
        <w:t> </w:t>
      </w:r>
      <w:r>
        <w:rPr/>
        <w:t>the</w:t>
      </w:r>
      <w:r>
        <w:rPr>
          <w:spacing w:val="-8"/>
        </w:rPr>
        <w:t> </w:t>
      </w:r>
      <w:r>
        <w:rPr/>
        <w:t>opinion</w:t>
      </w:r>
      <w:r>
        <w:rPr>
          <w:spacing w:val="-9"/>
        </w:rPr>
        <w:t> </w:t>
      </w:r>
      <w:r>
        <w:rPr/>
        <w:t>of</w:t>
      </w:r>
      <w:r>
        <w:rPr>
          <w:spacing w:val="-9"/>
        </w:rPr>
        <w:t> </w:t>
      </w:r>
      <w:r>
        <w:rPr/>
        <w:t>the</w:t>
      </w:r>
      <w:r>
        <w:rPr>
          <w:spacing w:val="-6"/>
        </w:rPr>
        <w:t> </w:t>
      </w:r>
      <w:r>
        <w:rPr/>
        <w:t>members</w:t>
      </w:r>
      <w:r>
        <w:rPr>
          <w:spacing w:val="-9"/>
        </w:rPr>
        <w:t> </w:t>
      </w:r>
      <w:r>
        <w:rPr/>
        <w:t>of</w:t>
      </w:r>
      <w:r>
        <w:rPr>
          <w:spacing w:val="-10"/>
        </w:rPr>
        <w:t> </w:t>
      </w:r>
      <w:r>
        <w:rPr/>
        <w:t>the</w:t>
      </w:r>
      <w:r>
        <w:rPr>
          <w:spacing w:val="-7"/>
        </w:rPr>
        <w:t> </w:t>
      </w:r>
      <w:r>
        <w:rPr/>
        <w:t>Committee</w:t>
      </w:r>
      <w:r>
        <w:rPr>
          <w:spacing w:val="-7"/>
        </w:rPr>
        <w:t> </w:t>
      </w:r>
      <w:r>
        <w:rPr/>
        <w:t>that</w:t>
      </w:r>
      <w:r>
        <w:rPr>
          <w:spacing w:val="-9"/>
        </w:rPr>
        <w:t> </w:t>
      </w:r>
      <w:r>
        <w:rPr/>
        <w:t>packaged</w:t>
      </w:r>
      <w:r>
        <w:rPr>
          <w:spacing w:val="-7"/>
        </w:rPr>
        <w:t> </w:t>
      </w:r>
      <w:r>
        <w:rPr/>
        <w:t>liquid</w:t>
      </w:r>
      <w:r>
        <w:rPr>
          <w:spacing w:val="-8"/>
        </w:rPr>
        <w:t> </w:t>
      </w:r>
      <w:r>
        <w:rPr/>
        <w:t>vegetable</w:t>
      </w:r>
      <w:r>
        <w:rPr>
          <w:spacing w:val="-7"/>
        </w:rPr>
        <w:t> </w:t>
      </w:r>
      <w:r>
        <w:rPr/>
        <w:t>oil</w:t>
      </w:r>
      <w:r>
        <w:rPr>
          <w:spacing w:val="-7"/>
        </w:rPr>
        <w:t> </w:t>
      </w:r>
      <w:r>
        <w:rPr/>
        <w:t>must</w:t>
      </w:r>
      <w:r>
        <w:rPr>
          <w:spacing w:val="-8"/>
        </w:rPr>
        <w:t> </w:t>
      </w:r>
      <w:r>
        <w:rPr/>
        <w:t>be</w:t>
      </w:r>
      <w:r>
        <w:rPr>
          <w:spacing w:val="-9"/>
        </w:rPr>
        <w:t> </w:t>
      </w:r>
      <w:r>
        <w:rPr/>
        <w:t>labeled</w:t>
      </w:r>
      <w:r>
        <w:rPr>
          <w:spacing w:val="-9"/>
        </w:rPr>
        <w:t> </w:t>
      </w:r>
      <w:r>
        <w:rPr/>
        <w:t>by</w:t>
      </w:r>
      <w:r>
        <w:rPr>
          <w:spacing w:val="-11"/>
        </w:rPr>
        <w:t> </w:t>
      </w:r>
      <w:r>
        <w:rPr/>
        <w:t>liquid</w:t>
      </w:r>
      <w:r>
        <w:rPr>
          <w:spacing w:val="-8"/>
        </w:rPr>
        <w:t> </w:t>
      </w:r>
      <w:r>
        <w:rPr/>
        <w:t>volume although a net weight may be declared in addition to the net volume</w:t>
      </w:r>
      <w:r>
        <w:rPr>
          <w:spacing w:val="-4"/>
        </w:rPr>
        <w:t> </w:t>
      </w:r>
      <w:r>
        <w:rPr/>
        <w:t>statement.</w:t>
      </w:r>
    </w:p>
    <w:p>
      <w:pPr>
        <w:pStyle w:val="BodyText"/>
        <w:spacing w:before="8"/>
      </w:pPr>
    </w:p>
    <w:p>
      <w:pPr>
        <w:pStyle w:val="BodyText"/>
        <w:ind w:left="180" w:right="418"/>
        <w:jc w:val="both"/>
      </w:pPr>
      <w:r>
        <w:rPr/>
        <w:t>When a single manufacturer of vegetable oil packages the same oil in the same size container with two such widely different</w:t>
      </w:r>
      <w:r>
        <w:rPr>
          <w:spacing w:val="-4"/>
        </w:rPr>
        <w:t> </w:t>
      </w:r>
      <w:r>
        <w:rPr/>
        <w:t>net</w:t>
      </w:r>
      <w:r>
        <w:rPr>
          <w:spacing w:val="-6"/>
        </w:rPr>
        <w:t> </w:t>
      </w:r>
      <w:r>
        <w:rPr/>
        <w:t>quantity</w:t>
      </w:r>
      <w:r>
        <w:rPr>
          <w:spacing w:val="-7"/>
        </w:rPr>
        <w:t> </w:t>
      </w:r>
      <w:r>
        <w:rPr/>
        <w:t>statements,</w:t>
      </w:r>
      <w:r>
        <w:rPr>
          <w:spacing w:val="-5"/>
        </w:rPr>
        <w:t> </w:t>
      </w:r>
      <w:r>
        <w:rPr/>
        <w:t>this</w:t>
      </w:r>
      <w:r>
        <w:rPr>
          <w:spacing w:val="-6"/>
        </w:rPr>
        <w:t> </w:t>
      </w:r>
      <w:r>
        <w:rPr/>
        <w:t>practice</w:t>
      </w:r>
      <w:r>
        <w:rPr>
          <w:spacing w:val="-5"/>
        </w:rPr>
        <w:t> </w:t>
      </w:r>
      <w:r>
        <w:rPr/>
        <w:t>could</w:t>
      </w:r>
      <w:r>
        <w:rPr>
          <w:spacing w:val="-5"/>
        </w:rPr>
        <w:t> </w:t>
      </w:r>
      <w:r>
        <w:rPr/>
        <w:t>easily</w:t>
      </w:r>
      <w:r>
        <w:rPr>
          <w:spacing w:val="-7"/>
        </w:rPr>
        <w:t> </w:t>
      </w:r>
      <w:r>
        <w:rPr/>
        <w:t>be</w:t>
      </w:r>
      <w:r>
        <w:rPr>
          <w:spacing w:val="-3"/>
        </w:rPr>
        <w:t> </w:t>
      </w:r>
      <w:r>
        <w:rPr/>
        <w:t>considered</w:t>
      </w:r>
      <w:r>
        <w:rPr>
          <w:spacing w:val="-4"/>
        </w:rPr>
        <w:t> </w:t>
      </w:r>
      <w:r>
        <w:rPr/>
        <w:t>(a)</w:t>
      </w:r>
      <w:r>
        <w:rPr>
          <w:spacing w:val="-3"/>
        </w:rPr>
        <w:t> </w:t>
      </w:r>
      <w:r>
        <w:rPr/>
        <w:t>misleading</w:t>
      </w:r>
      <w:r>
        <w:rPr>
          <w:spacing w:val="-7"/>
        </w:rPr>
        <w:t> </w:t>
      </w:r>
      <w:r>
        <w:rPr/>
        <w:t>to</w:t>
      </w:r>
      <w:r>
        <w:rPr>
          <w:spacing w:val="-4"/>
        </w:rPr>
        <w:t> </w:t>
      </w:r>
      <w:r>
        <w:rPr/>
        <w:t>the</w:t>
      </w:r>
      <w:r>
        <w:rPr>
          <w:spacing w:val="-5"/>
        </w:rPr>
        <w:t> </w:t>
      </w:r>
      <w:r>
        <w:rPr/>
        <w:t>customer,</w:t>
      </w:r>
      <w:r>
        <w:rPr>
          <w:spacing w:val="-5"/>
        </w:rPr>
        <w:t> </w:t>
      </w:r>
      <w:r>
        <w:rPr/>
        <w:t>and</w:t>
      </w:r>
      <w:r>
        <w:rPr>
          <w:spacing w:val="-5"/>
        </w:rPr>
        <w:t> </w:t>
      </w:r>
      <w:r>
        <w:rPr/>
        <w:t>(b)</w:t>
      </w:r>
      <w:r>
        <w:rPr>
          <w:spacing w:val="-2"/>
        </w:rPr>
        <w:t> </w:t>
      </w:r>
      <w:r>
        <w:rPr/>
        <w:t>non- functional slack fill. Weights and measures enforcement action should be</w:t>
      </w:r>
      <w:r>
        <w:rPr>
          <w:spacing w:val="-1"/>
        </w:rPr>
        <w:t> </w:t>
      </w:r>
      <w:r>
        <w:rPr/>
        <w:t>taken.</w:t>
      </w:r>
    </w:p>
    <w:p>
      <w:pPr>
        <w:spacing w:after="0"/>
        <w:jc w:val="both"/>
        <w:sectPr>
          <w:pgSz w:w="12240" w:h="15840"/>
          <w:pgMar w:header="730" w:footer="740" w:top="1340" w:bottom="940" w:left="1260" w:right="1020"/>
        </w:sectPr>
      </w:pPr>
    </w:p>
    <w:p>
      <w:pPr>
        <w:pStyle w:val="Heading1"/>
        <w:spacing w:before="88"/>
      </w:pPr>
      <w:r>
        <w:rPr/>
        <w:t>2.3.15. Bulk Sales.</w:t>
      </w:r>
    </w:p>
    <w:p>
      <w:pPr>
        <w:pStyle w:val="BodyText"/>
        <w:spacing w:before="1"/>
        <w:ind w:left="179"/>
      </w:pPr>
      <w:r>
        <w:rPr/>
        <w:t>(L&amp;R Committee, 1986, p. 140)</w:t>
      </w:r>
    </w:p>
    <w:p>
      <w:pPr>
        <w:pStyle w:val="BodyText"/>
        <w:spacing w:before="7"/>
      </w:pPr>
    </w:p>
    <w:p>
      <w:pPr>
        <w:pStyle w:val="BodyText"/>
        <w:spacing w:before="1"/>
        <w:ind w:left="179" w:right="420"/>
        <w:jc w:val="both"/>
      </w:pPr>
      <w:r>
        <w:rPr/>
        <w:t>When packaged or wrapped items (such as individually wrapped candies) are sold from bulk displays by weight, the price must be based on the net weight, not the weight including the individual piece wrappings. This will require</w:t>
      </w:r>
    </w:p>
    <w:p>
      <w:pPr>
        <w:pStyle w:val="ListParagraph"/>
        <w:numPr>
          <w:ilvl w:val="0"/>
          <w:numId w:val="8"/>
        </w:numPr>
        <w:tabs>
          <w:tab w:pos="466" w:val="left" w:leader="none"/>
        </w:tabs>
        <w:spacing w:line="240" w:lineRule="auto" w:before="1" w:after="0"/>
        <w:ind w:left="180" w:right="418" w:firstLine="0"/>
        <w:jc w:val="both"/>
        <w:rPr>
          <w:sz w:val="20"/>
        </w:rPr>
      </w:pPr>
      <w:r>
        <w:rPr>
          <w:sz w:val="20"/>
        </w:rPr>
        <w:t>subtracting the weight of the bag into which the customer puts the pieces plus (2) subtracting the weight of the piece</w:t>
      </w:r>
      <w:r>
        <w:rPr>
          <w:spacing w:val="-5"/>
          <w:sz w:val="20"/>
        </w:rPr>
        <w:t> </w:t>
      </w:r>
      <w:r>
        <w:rPr>
          <w:sz w:val="20"/>
        </w:rPr>
        <w:t>wrappings</w:t>
      </w:r>
      <w:r>
        <w:rPr>
          <w:spacing w:val="-8"/>
          <w:sz w:val="20"/>
        </w:rPr>
        <w:t> </w:t>
      </w:r>
      <w:r>
        <w:rPr>
          <w:sz w:val="20"/>
        </w:rPr>
        <w:t>(the</w:t>
      </w:r>
      <w:r>
        <w:rPr>
          <w:spacing w:val="-7"/>
          <w:sz w:val="20"/>
        </w:rPr>
        <w:t> </w:t>
      </w:r>
      <w:r>
        <w:rPr>
          <w:sz w:val="20"/>
        </w:rPr>
        <w:t>latter</w:t>
      </w:r>
      <w:r>
        <w:rPr>
          <w:spacing w:val="-6"/>
          <w:sz w:val="20"/>
        </w:rPr>
        <w:t> </w:t>
      </w:r>
      <w:r>
        <w:rPr>
          <w:sz w:val="20"/>
        </w:rPr>
        <w:t>is</w:t>
      </w:r>
      <w:r>
        <w:rPr>
          <w:spacing w:val="-9"/>
          <w:sz w:val="20"/>
        </w:rPr>
        <w:t> </w:t>
      </w:r>
      <w:r>
        <w:rPr>
          <w:sz w:val="20"/>
        </w:rPr>
        <w:t>a</w:t>
      </w:r>
      <w:r>
        <w:rPr>
          <w:spacing w:val="-4"/>
          <w:sz w:val="20"/>
        </w:rPr>
        <w:t> </w:t>
      </w:r>
      <w:r>
        <w:rPr>
          <w:sz w:val="20"/>
        </w:rPr>
        <w:t>percentage</w:t>
      </w:r>
      <w:r>
        <w:rPr>
          <w:spacing w:val="-6"/>
          <w:sz w:val="20"/>
        </w:rPr>
        <w:t> </w:t>
      </w:r>
      <w:r>
        <w:rPr>
          <w:sz w:val="20"/>
        </w:rPr>
        <w:t>of</w:t>
      </w:r>
      <w:r>
        <w:rPr>
          <w:spacing w:val="-9"/>
          <w:sz w:val="20"/>
        </w:rPr>
        <w:t> </w:t>
      </w:r>
      <w:r>
        <w:rPr>
          <w:sz w:val="20"/>
        </w:rPr>
        <w:t>the</w:t>
      </w:r>
      <w:r>
        <w:rPr>
          <w:spacing w:val="-4"/>
          <w:sz w:val="20"/>
        </w:rPr>
        <w:t> </w:t>
      </w:r>
      <w:r>
        <w:rPr>
          <w:sz w:val="20"/>
        </w:rPr>
        <w:t>gross</w:t>
      </w:r>
      <w:r>
        <w:rPr>
          <w:spacing w:val="-6"/>
          <w:sz w:val="20"/>
        </w:rPr>
        <w:t> </w:t>
      </w:r>
      <w:r>
        <w:rPr>
          <w:sz w:val="20"/>
        </w:rPr>
        <w:t>weight</w:t>
      </w:r>
      <w:r>
        <w:rPr>
          <w:spacing w:val="-7"/>
          <w:sz w:val="20"/>
        </w:rPr>
        <w:t> </w:t>
      </w:r>
      <w:r>
        <w:rPr>
          <w:sz w:val="20"/>
        </w:rPr>
        <w:t>–</w:t>
      </w:r>
      <w:r>
        <w:rPr>
          <w:spacing w:val="-7"/>
          <w:sz w:val="20"/>
        </w:rPr>
        <w:t> </w:t>
      </w:r>
      <w:r>
        <w:rPr>
          <w:sz w:val="20"/>
        </w:rPr>
        <w:t>that</w:t>
      </w:r>
      <w:r>
        <w:rPr>
          <w:spacing w:val="-5"/>
          <w:sz w:val="20"/>
        </w:rPr>
        <w:t> </w:t>
      </w:r>
      <w:r>
        <w:rPr>
          <w:sz w:val="20"/>
        </w:rPr>
        <w:t>is,</w:t>
      </w:r>
      <w:r>
        <w:rPr>
          <w:spacing w:val="-6"/>
          <w:sz w:val="20"/>
        </w:rPr>
        <w:t> </w:t>
      </w:r>
      <w:r>
        <w:rPr>
          <w:sz w:val="20"/>
        </w:rPr>
        <w:t>the</w:t>
      </w:r>
      <w:r>
        <w:rPr>
          <w:spacing w:val="-7"/>
          <w:sz w:val="20"/>
        </w:rPr>
        <w:t> </w:t>
      </w:r>
      <w:r>
        <w:rPr>
          <w:sz w:val="20"/>
        </w:rPr>
        <w:t>tare</w:t>
      </w:r>
      <w:r>
        <w:rPr>
          <w:spacing w:val="-6"/>
          <w:sz w:val="20"/>
        </w:rPr>
        <w:t> </w:t>
      </w:r>
      <w:r>
        <w:rPr>
          <w:sz w:val="20"/>
        </w:rPr>
        <w:t>increases</w:t>
      </w:r>
      <w:r>
        <w:rPr>
          <w:spacing w:val="-9"/>
          <w:sz w:val="20"/>
        </w:rPr>
        <w:t> </w:t>
      </w:r>
      <w:r>
        <w:rPr>
          <w:sz w:val="20"/>
        </w:rPr>
        <w:t>as</w:t>
      </w:r>
      <w:r>
        <w:rPr>
          <w:spacing w:val="-3"/>
          <w:sz w:val="20"/>
        </w:rPr>
        <w:t> </w:t>
      </w:r>
      <w:r>
        <w:rPr>
          <w:sz w:val="20"/>
        </w:rPr>
        <w:t>the</w:t>
      </w:r>
      <w:r>
        <w:rPr>
          <w:spacing w:val="-7"/>
          <w:sz w:val="20"/>
        </w:rPr>
        <w:t> </w:t>
      </w:r>
      <w:r>
        <w:rPr>
          <w:sz w:val="20"/>
        </w:rPr>
        <w:t>customer</w:t>
      </w:r>
      <w:r>
        <w:rPr>
          <w:spacing w:val="-6"/>
          <w:sz w:val="20"/>
        </w:rPr>
        <w:t> </w:t>
      </w:r>
      <w:r>
        <w:rPr>
          <w:sz w:val="20"/>
        </w:rPr>
        <w:t>selects</w:t>
      </w:r>
      <w:r>
        <w:rPr>
          <w:spacing w:val="-6"/>
          <w:sz w:val="20"/>
        </w:rPr>
        <w:t> </w:t>
      </w:r>
      <w:r>
        <w:rPr>
          <w:sz w:val="20"/>
        </w:rPr>
        <w:t>more of the</w:t>
      </w:r>
      <w:r>
        <w:rPr>
          <w:spacing w:val="-3"/>
          <w:sz w:val="20"/>
        </w:rPr>
        <w:t> </w:t>
      </w:r>
      <w:r>
        <w:rPr>
          <w:sz w:val="20"/>
        </w:rPr>
        <w:t>commodity).</w:t>
      </w:r>
    </w:p>
    <w:p>
      <w:pPr>
        <w:pStyle w:val="BodyText"/>
        <w:spacing w:before="11"/>
      </w:pPr>
    </w:p>
    <w:p>
      <w:pPr>
        <w:pStyle w:val="Heading1"/>
      </w:pPr>
      <w:r>
        <w:rPr/>
        <w:t>Background</w:t>
      </w:r>
    </w:p>
    <w:p>
      <w:pPr>
        <w:pStyle w:val="BodyText"/>
        <w:spacing w:before="8"/>
        <w:rPr>
          <w:b/>
        </w:rPr>
      </w:pPr>
    </w:p>
    <w:p>
      <w:pPr>
        <w:pStyle w:val="BodyText"/>
        <w:ind w:left="179" w:right="417"/>
        <w:jc w:val="both"/>
      </w:pPr>
      <w:r>
        <w:rPr/>
        <w:t>Retail food stores are merchandising prepackaged commodities such as candies, pet food, snack bars, and bouillon cubes from bulk displays. Some retailers sell these products by gross weight. Section 1.2. of the Uniform Weights and</w:t>
      </w:r>
      <w:r>
        <w:rPr>
          <w:spacing w:val="-9"/>
        </w:rPr>
        <w:t> </w:t>
      </w:r>
      <w:r>
        <w:rPr/>
        <w:t>Measures</w:t>
      </w:r>
      <w:r>
        <w:rPr>
          <w:spacing w:val="-9"/>
        </w:rPr>
        <w:t> </w:t>
      </w:r>
      <w:r>
        <w:rPr/>
        <w:t>Law</w:t>
      </w:r>
      <w:r>
        <w:rPr>
          <w:spacing w:val="-11"/>
        </w:rPr>
        <w:t> </w:t>
      </w:r>
      <w:r>
        <w:rPr/>
        <w:t>reads</w:t>
      </w:r>
      <w:r>
        <w:rPr>
          <w:spacing w:val="-10"/>
        </w:rPr>
        <w:t> </w:t>
      </w:r>
      <w:r>
        <w:rPr/>
        <w:t>in</w:t>
      </w:r>
      <w:r>
        <w:rPr>
          <w:spacing w:val="-11"/>
        </w:rPr>
        <w:t> </w:t>
      </w:r>
      <w:r>
        <w:rPr/>
        <w:t>part:</w:t>
      </w:r>
      <w:r>
        <w:rPr>
          <w:spacing w:val="31"/>
        </w:rPr>
        <w:t> </w:t>
      </w:r>
      <w:r>
        <w:rPr/>
        <w:t>“The</w:t>
      </w:r>
      <w:r>
        <w:rPr>
          <w:spacing w:val="-9"/>
        </w:rPr>
        <w:t> </w:t>
      </w:r>
      <w:r>
        <w:rPr/>
        <w:t>term</w:t>
      </w:r>
      <w:r>
        <w:rPr>
          <w:spacing w:val="-12"/>
        </w:rPr>
        <w:t> </w:t>
      </w:r>
      <w:r>
        <w:rPr/>
        <w:t>‘weight’</w:t>
      </w:r>
      <w:r>
        <w:rPr>
          <w:spacing w:val="-11"/>
        </w:rPr>
        <w:t> </w:t>
      </w:r>
      <w:r>
        <w:rPr/>
        <w:t>as</w:t>
      </w:r>
      <w:r>
        <w:rPr>
          <w:spacing w:val="-9"/>
        </w:rPr>
        <w:t> </w:t>
      </w:r>
      <w:r>
        <w:rPr/>
        <w:t>used</w:t>
      </w:r>
      <w:r>
        <w:rPr>
          <w:spacing w:val="-8"/>
        </w:rPr>
        <w:t> </w:t>
      </w:r>
      <w:r>
        <w:rPr/>
        <w:t>in</w:t>
      </w:r>
      <w:r>
        <w:rPr>
          <w:spacing w:val="-11"/>
        </w:rPr>
        <w:t> </w:t>
      </w:r>
      <w:r>
        <w:rPr/>
        <w:t>connection</w:t>
      </w:r>
      <w:r>
        <w:rPr>
          <w:spacing w:val="-8"/>
        </w:rPr>
        <w:t> </w:t>
      </w:r>
      <w:r>
        <w:rPr/>
        <w:t>with</w:t>
      </w:r>
      <w:r>
        <w:rPr>
          <w:spacing w:val="-11"/>
        </w:rPr>
        <w:t> </w:t>
      </w:r>
      <w:r>
        <w:rPr/>
        <w:t>any</w:t>
      </w:r>
      <w:r>
        <w:rPr>
          <w:spacing w:val="-13"/>
        </w:rPr>
        <w:t> </w:t>
      </w:r>
      <w:r>
        <w:rPr/>
        <w:t>commodity</w:t>
      </w:r>
      <w:r>
        <w:rPr>
          <w:spacing w:val="-11"/>
        </w:rPr>
        <w:t> </w:t>
      </w:r>
      <w:r>
        <w:rPr/>
        <w:t>means</w:t>
      </w:r>
      <w:r>
        <w:rPr>
          <w:spacing w:val="-10"/>
        </w:rPr>
        <w:t> </w:t>
      </w:r>
      <w:r>
        <w:rPr/>
        <w:t>net</w:t>
      </w:r>
      <w:r>
        <w:rPr>
          <w:spacing w:val="-8"/>
        </w:rPr>
        <w:t> </w:t>
      </w:r>
      <w:r>
        <w:rPr/>
        <w:t>weight.</w:t>
      </w:r>
      <w:r>
        <w:rPr>
          <w:spacing w:val="-3"/>
        </w:rPr>
        <w:t> </w:t>
      </w:r>
      <w:r>
        <w:rPr/>
        <w:t>.</w:t>
      </w:r>
      <w:r>
        <w:rPr>
          <w:spacing w:val="-2"/>
        </w:rPr>
        <w:t> </w:t>
      </w:r>
      <w:r>
        <w:rPr/>
        <w:t>.”</w:t>
      </w:r>
    </w:p>
    <w:p>
      <w:pPr>
        <w:pStyle w:val="BodyText"/>
        <w:rPr>
          <w:sz w:val="21"/>
        </w:rPr>
      </w:pPr>
    </w:p>
    <w:p>
      <w:pPr>
        <w:pStyle w:val="BodyText"/>
        <w:ind w:left="179" w:right="416"/>
        <w:jc w:val="both"/>
      </w:pPr>
      <w:r>
        <w:rPr/>
        <w:t>A</w:t>
      </w:r>
      <w:r>
        <w:rPr>
          <w:spacing w:val="-10"/>
        </w:rPr>
        <w:t> </w:t>
      </w:r>
      <w:r>
        <w:rPr/>
        <w:t>workshop</w:t>
      </w:r>
      <w:r>
        <w:rPr>
          <w:spacing w:val="-9"/>
        </w:rPr>
        <w:t> </w:t>
      </w:r>
      <w:r>
        <w:rPr/>
        <w:t>was</w:t>
      </w:r>
      <w:r>
        <w:rPr>
          <w:spacing w:val="-11"/>
        </w:rPr>
        <w:t> </w:t>
      </w:r>
      <w:r>
        <w:rPr/>
        <w:t>held</w:t>
      </w:r>
      <w:r>
        <w:rPr>
          <w:spacing w:val="-10"/>
        </w:rPr>
        <w:t> </w:t>
      </w:r>
      <w:r>
        <w:rPr/>
        <w:t>on</w:t>
      </w:r>
      <w:r>
        <w:rPr>
          <w:spacing w:val="-14"/>
        </w:rPr>
        <w:t> </w:t>
      </w:r>
      <w:r>
        <w:rPr/>
        <w:t>June 20,</w:t>
      </w:r>
      <w:r>
        <w:rPr>
          <w:spacing w:val="-2"/>
        </w:rPr>
        <w:t> </w:t>
      </w:r>
      <w:r>
        <w:rPr/>
        <w:t>1986,</w:t>
      </w:r>
      <w:r>
        <w:rPr>
          <w:spacing w:val="-12"/>
        </w:rPr>
        <w:t> </w:t>
      </w:r>
      <w:r>
        <w:rPr/>
        <w:t>at</w:t>
      </w:r>
      <w:r>
        <w:rPr>
          <w:spacing w:val="-12"/>
        </w:rPr>
        <w:t> </w:t>
      </w:r>
      <w:r>
        <w:rPr/>
        <w:t>the</w:t>
      </w:r>
      <w:r>
        <w:rPr>
          <w:spacing w:val="-12"/>
        </w:rPr>
        <w:t> </w:t>
      </w:r>
      <w:r>
        <w:rPr/>
        <w:t>U.S.</w:t>
      </w:r>
      <w:r>
        <w:rPr>
          <w:spacing w:val="-11"/>
        </w:rPr>
        <w:t> </w:t>
      </w:r>
      <w:r>
        <w:rPr/>
        <w:t>Department</w:t>
      </w:r>
      <w:r>
        <w:rPr>
          <w:spacing w:val="-13"/>
        </w:rPr>
        <w:t> </w:t>
      </w:r>
      <w:r>
        <w:rPr/>
        <w:t>of</w:t>
      </w:r>
      <w:r>
        <w:rPr>
          <w:spacing w:val="-11"/>
        </w:rPr>
        <w:t> </w:t>
      </w:r>
      <w:r>
        <w:rPr/>
        <w:t>Commerce,</w:t>
      </w:r>
      <w:r>
        <w:rPr>
          <w:spacing w:val="-12"/>
        </w:rPr>
        <w:t> </w:t>
      </w:r>
      <w:r>
        <w:rPr/>
        <w:t>Washington,</w:t>
      </w:r>
      <w:r>
        <w:rPr>
          <w:spacing w:val="-10"/>
        </w:rPr>
        <w:t> </w:t>
      </w:r>
      <w:r>
        <w:rPr/>
        <w:t>D.C.,</w:t>
      </w:r>
      <w:r>
        <w:rPr>
          <w:spacing w:val="-11"/>
        </w:rPr>
        <w:t> </w:t>
      </w:r>
      <w:r>
        <w:rPr/>
        <w:t>to</w:t>
      </w:r>
      <w:r>
        <w:rPr>
          <w:spacing w:val="-11"/>
        </w:rPr>
        <w:t> </w:t>
      </w:r>
      <w:r>
        <w:rPr/>
        <w:t>explore</w:t>
      </w:r>
      <w:r>
        <w:rPr>
          <w:spacing w:val="-11"/>
        </w:rPr>
        <w:t> </w:t>
      </w:r>
      <w:r>
        <w:rPr/>
        <w:t>the</w:t>
      </w:r>
      <w:r>
        <w:rPr>
          <w:spacing w:val="-10"/>
        </w:rPr>
        <w:t> </w:t>
      </w:r>
      <w:r>
        <w:rPr/>
        <w:t>issues and alternatives involved in the sale of prepackaged goods from the bulk food sales areas of supermarkets. Repre- sentatives of the packaging, supermarket, and small grocery industries, scale and point-of-sale (POS) systems manu- facturers,</w:t>
      </w:r>
      <w:r>
        <w:rPr>
          <w:spacing w:val="-12"/>
        </w:rPr>
        <w:t> </w:t>
      </w:r>
      <w:r>
        <w:rPr/>
        <w:t>the</w:t>
      </w:r>
      <w:r>
        <w:rPr>
          <w:spacing w:val="-11"/>
        </w:rPr>
        <w:t> </w:t>
      </w:r>
      <w:r>
        <w:rPr/>
        <w:t>U.S.</w:t>
      </w:r>
      <w:r>
        <w:rPr>
          <w:spacing w:val="-11"/>
        </w:rPr>
        <w:t> </w:t>
      </w:r>
      <w:r>
        <w:rPr/>
        <w:t>Food</w:t>
      </w:r>
      <w:r>
        <w:rPr>
          <w:spacing w:val="-10"/>
        </w:rPr>
        <w:t> </w:t>
      </w:r>
      <w:r>
        <w:rPr/>
        <w:t>and</w:t>
      </w:r>
      <w:r>
        <w:rPr>
          <w:spacing w:val="-11"/>
        </w:rPr>
        <w:t> </w:t>
      </w:r>
      <w:r>
        <w:rPr/>
        <w:t>Drug</w:t>
      </w:r>
      <w:r>
        <w:rPr>
          <w:spacing w:val="-10"/>
        </w:rPr>
        <w:t> </w:t>
      </w:r>
      <w:r>
        <w:rPr/>
        <w:t>Administration,</w:t>
      </w:r>
      <w:r>
        <w:rPr>
          <w:spacing w:val="-9"/>
        </w:rPr>
        <w:t> </w:t>
      </w:r>
      <w:r>
        <w:rPr/>
        <w:t>weights</w:t>
      </w:r>
      <w:r>
        <w:rPr>
          <w:spacing w:val="-12"/>
        </w:rPr>
        <w:t> </w:t>
      </w:r>
      <w:r>
        <w:rPr/>
        <w:t>and</w:t>
      </w:r>
      <w:r>
        <w:rPr>
          <w:spacing w:val="-8"/>
        </w:rPr>
        <w:t> </w:t>
      </w:r>
      <w:r>
        <w:rPr/>
        <w:t>measures</w:t>
      </w:r>
      <w:r>
        <w:rPr>
          <w:spacing w:val="-12"/>
        </w:rPr>
        <w:t> </w:t>
      </w:r>
      <w:r>
        <w:rPr/>
        <w:t>agencies,</w:t>
      </w:r>
      <w:r>
        <w:rPr>
          <w:spacing w:val="-11"/>
        </w:rPr>
        <w:t> </w:t>
      </w:r>
      <w:r>
        <w:rPr/>
        <w:t>and</w:t>
      </w:r>
      <w:r>
        <w:rPr>
          <w:spacing w:val="-11"/>
        </w:rPr>
        <w:t> </w:t>
      </w:r>
      <w:r>
        <w:rPr/>
        <w:t>the</w:t>
      </w:r>
      <w:r>
        <w:rPr>
          <w:spacing w:val="-8"/>
        </w:rPr>
        <w:t> </w:t>
      </w:r>
      <w:r>
        <w:rPr/>
        <w:t>National</w:t>
      </w:r>
      <w:r>
        <w:rPr>
          <w:spacing w:val="-12"/>
        </w:rPr>
        <w:t> </w:t>
      </w:r>
      <w:r>
        <w:rPr/>
        <w:t>Institute</w:t>
      </w:r>
      <w:r>
        <w:rPr>
          <w:spacing w:val="-11"/>
        </w:rPr>
        <w:t> </w:t>
      </w:r>
      <w:r>
        <w:rPr/>
        <w:t>of</w:t>
      </w:r>
      <w:r>
        <w:rPr>
          <w:spacing w:val="-13"/>
        </w:rPr>
        <w:t> </w:t>
      </w:r>
      <w:r>
        <w:rPr/>
        <w:t>Stand- ards and Technology attended. No final recommendations came from this meeting; however, the participants ex- pressed</w:t>
      </w:r>
      <w:r>
        <w:rPr>
          <w:spacing w:val="-9"/>
        </w:rPr>
        <w:t> </w:t>
      </w:r>
      <w:r>
        <w:rPr/>
        <w:t>an</w:t>
      </w:r>
      <w:r>
        <w:rPr>
          <w:spacing w:val="-11"/>
        </w:rPr>
        <w:t> </w:t>
      </w:r>
      <w:r>
        <w:rPr/>
        <w:t>interest</w:t>
      </w:r>
      <w:r>
        <w:rPr>
          <w:spacing w:val="-10"/>
        </w:rPr>
        <w:t> </w:t>
      </w:r>
      <w:r>
        <w:rPr/>
        <w:t>in</w:t>
      </w:r>
      <w:r>
        <w:rPr>
          <w:spacing w:val="-9"/>
        </w:rPr>
        <w:t> </w:t>
      </w:r>
      <w:r>
        <w:rPr/>
        <w:t>meeting</w:t>
      </w:r>
      <w:r>
        <w:rPr>
          <w:spacing w:val="-9"/>
        </w:rPr>
        <w:t> </w:t>
      </w:r>
      <w:r>
        <w:rPr/>
        <w:t>again</w:t>
      </w:r>
      <w:r>
        <w:rPr>
          <w:spacing w:val="-11"/>
        </w:rPr>
        <w:t> </w:t>
      </w:r>
      <w:r>
        <w:rPr/>
        <w:t>after</w:t>
      </w:r>
      <w:r>
        <w:rPr>
          <w:spacing w:val="-8"/>
        </w:rPr>
        <w:t> </w:t>
      </w:r>
      <w:r>
        <w:rPr/>
        <w:t>a</w:t>
      </w:r>
      <w:r>
        <w:rPr>
          <w:spacing w:val="-7"/>
        </w:rPr>
        <w:t> </w:t>
      </w:r>
      <w:r>
        <w:rPr/>
        <w:t>written</w:t>
      </w:r>
      <w:r>
        <w:rPr>
          <w:spacing w:val="-11"/>
        </w:rPr>
        <w:t> </w:t>
      </w:r>
      <w:r>
        <w:rPr/>
        <w:t>report</w:t>
      </w:r>
      <w:r>
        <w:rPr>
          <w:spacing w:val="-10"/>
        </w:rPr>
        <w:t> </w:t>
      </w:r>
      <w:r>
        <w:rPr/>
        <w:t>of</w:t>
      </w:r>
      <w:r>
        <w:rPr>
          <w:spacing w:val="-12"/>
        </w:rPr>
        <w:t> </w:t>
      </w:r>
      <w:r>
        <w:rPr/>
        <w:t>the</w:t>
      </w:r>
      <w:r>
        <w:rPr>
          <w:spacing w:val="-10"/>
        </w:rPr>
        <w:t> </w:t>
      </w:r>
      <w:r>
        <w:rPr/>
        <w:t>June</w:t>
      </w:r>
      <w:r>
        <w:rPr>
          <w:spacing w:val="-3"/>
        </w:rPr>
        <w:t> </w:t>
      </w:r>
      <w:r>
        <w:rPr/>
        <w:t>20,</w:t>
      </w:r>
      <w:r>
        <w:rPr>
          <w:spacing w:val="-2"/>
        </w:rPr>
        <w:t> </w:t>
      </w:r>
      <w:r>
        <w:rPr/>
        <w:t>1986,</w:t>
      </w:r>
      <w:r>
        <w:rPr>
          <w:spacing w:val="-10"/>
        </w:rPr>
        <w:t> </w:t>
      </w:r>
      <w:r>
        <w:rPr/>
        <w:t>meeting</w:t>
      </w:r>
      <w:r>
        <w:rPr>
          <w:spacing w:val="-9"/>
        </w:rPr>
        <w:t> </w:t>
      </w:r>
      <w:r>
        <w:rPr/>
        <w:t>was</w:t>
      </w:r>
      <w:r>
        <w:rPr>
          <w:spacing w:val="-9"/>
        </w:rPr>
        <w:t> </w:t>
      </w:r>
      <w:r>
        <w:rPr/>
        <w:t>made</w:t>
      </w:r>
      <w:r>
        <w:rPr>
          <w:spacing w:val="-10"/>
        </w:rPr>
        <w:t> </w:t>
      </w:r>
      <w:r>
        <w:rPr/>
        <w:t>available</w:t>
      </w:r>
      <w:r>
        <w:rPr>
          <w:spacing w:val="-10"/>
        </w:rPr>
        <w:t> </w:t>
      </w:r>
      <w:r>
        <w:rPr/>
        <w:t>and</w:t>
      </w:r>
      <w:r>
        <w:rPr>
          <w:spacing w:val="-8"/>
        </w:rPr>
        <w:t> </w:t>
      </w:r>
      <w:r>
        <w:rPr/>
        <w:t>before the Interim Meetings of the NCWM in January 1987. The following issues were</w:t>
      </w:r>
      <w:r>
        <w:rPr>
          <w:spacing w:val="-17"/>
        </w:rPr>
        <w:t> </w:t>
      </w:r>
      <w:r>
        <w:rPr/>
        <w:t>discussed:</w:t>
      </w:r>
    </w:p>
    <w:p>
      <w:pPr>
        <w:pStyle w:val="BodyText"/>
        <w:spacing w:before="10"/>
      </w:pPr>
    </w:p>
    <w:p>
      <w:pPr>
        <w:pStyle w:val="ListParagraph"/>
        <w:numPr>
          <w:ilvl w:val="1"/>
          <w:numId w:val="8"/>
        </w:numPr>
        <w:tabs>
          <w:tab w:pos="899" w:val="left" w:leader="none"/>
          <w:tab w:pos="900" w:val="left" w:leader="none"/>
        </w:tabs>
        <w:spacing w:line="240" w:lineRule="auto" w:before="1" w:after="0"/>
        <w:ind w:left="899" w:right="0" w:hanging="360"/>
        <w:jc w:val="left"/>
        <w:rPr>
          <w:sz w:val="20"/>
        </w:rPr>
      </w:pPr>
      <w:r>
        <w:rPr>
          <w:sz w:val="20"/>
        </w:rPr>
        <w:t>Prepackaged commodities in bulk displays are being sold on a gross weight</w:t>
      </w:r>
      <w:r>
        <w:rPr>
          <w:spacing w:val="-7"/>
          <w:sz w:val="20"/>
        </w:rPr>
        <w:t> </w:t>
      </w:r>
      <w:r>
        <w:rPr>
          <w:sz w:val="20"/>
        </w:rPr>
        <w:t>basis.</w:t>
      </w:r>
    </w:p>
    <w:p>
      <w:pPr>
        <w:pStyle w:val="BodyText"/>
        <w:spacing w:before="7"/>
      </w:pPr>
    </w:p>
    <w:p>
      <w:pPr>
        <w:pStyle w:val="BodyText"/>
        <w:spacing w:before="1"/>
        <w:ind w:left="899" w:right="417"/>
        <w:jc w:val="both"/>
      </w:pPr>
      <w:r>
        <w:rPr/>
        <w:t>Federal</w:t>
      </w:r>
      <w:r>
        <w:rPr>
          <w:spacing w:val="-8"/>
        </w:rPr>
        <w:t> </w:t>
      </w:r>
      <w:r>
        <w:rPr/>
        <w:t>regulations</w:t>
      </w:r>
      <w:r>
        <w:rPr>
          <w:spacing w:val="-9"/>
        </w:rPr>
        <w:t> </w:t>
      </w:r>
      <w:r>
        <w:rPr/>
        <w:t>covering</w:t>
      </w:r>
      <w:r>
        <w:rPr>
          <w:spacing w:val="-9"/>
        </w:rPr>
        <w:t> </w:t>
      </w:r>
      <w:r>
        <w:rPr/>
        <w:t>packaged</w:t>
      </w:r>
      <w:r>
        <w:rPr>
          <w:spacing w:val="-7"/>
        </w:rPr>
        <w:t> </w:t>
      </w:r>
      <w:r>
        <w:rPr/>
        <w:t>goods</w:t>
      </w:r>
      <w:r>
        <w:rPr>
          <w:spacing w:val="-8"/>
        </w:rPr>
        <w:t> </w:t>
      </w:r>
      <w:r>
        <w:rPr/>
        <w:t>and</w:t>
      </w:r>
      <w:r>
        <w:rPr>
          <w:spacing w:val="-7"/>
        </w:rPr>
        <w:t> </w:t>
      </w:r>
      <w:r>
        <w:rPr/>
        <w:t>every</w:t>
      </w:r>
      <w:r>
        <w:rPr>
          <w:spacing w:val="-10"/>
        </w:rPr>
        <w:t> </w:t>
      </w:r>
      <w:r>
        <w:rPr/>
        <w:t>state</w:t>
      </w:r>
      <w:r>
        <w:rPr>
          <w:spacing w:val="-5"/>
        </w:rPr>
        <w:t> </w:t>
      </w:r>
      <w:r>
        <w:rPr/>
        <w:t>Weights</w:t>
      </w:r>
      <w:r>
        <w:rPr>
          <w:spacing w:val="-9"/>
        </w:rPr>
        <w:t> </w:t>
      </w:r>
      <w:r>
        <w:rPr/>
        <w:t>and</w:t>
      </w:r>
      <w:r>
        <w:rPr>
          <w:spacing w:val="-7"/>
        </w:rPr>
        <w:t> </w:t>
      </w:r>
      <w:r>
        <w:rPr/>
        <w:t>Measures</w:t>
      </w:r>
      <w:r>
        <w:rPr>
          <w:spacing w:val="-5"/>
        </w:rPr>
        <w:t> </w:t>
      </w:r>
      <w:r>
        <w:rPr/>
        <w:t>Law</w:t>
      </w:r>
      <w:r>
        <w:rPr>
          <w:spacing w:val="-12"/>
        </w:rPr>
        <w:t> </w:t>
      </w:r>
      <w:r>
        <w:rPr/>
        <w:t>require</w:t>
      </w:r>
      <w:r>
        <w:rPr>
          <w:spacing w:val="-7"/>
        </w:rPr>
        <w:t> </w:t>
      </w:r>
      <w:r>
        <w:rPr/>
        <w:t>any</w:t>
      </w:r>
      <w:r>
        <w:rPr>
          <w:spacing w:val="-9"/>
        </w:rPr>
        <w:t> </w:t>
      </w:r>
      <w:r>
        <w:rPr/>
        <w:t>sale</w:t>
      </w:r>
      <w:r>
        <w:rPr>
          <w:spacing w:val="-6"/>
        </w:rPr>
        <w:t> </w:t>
      </w:r>
      <w:r>
        <w:rPr/>
        <w:t>by weight to be “net weight” (not including the weight of the wrapping materials). In some areas of the nation, many</w:t>
      </w:r>
      <w:r>
        <w:rPr>
          <w:spacing w:val="-14"/>
        </w:rPr>
        <w:t> </w:t>
      </w:r>
      <w:r>
        <w:rPr/>
        <w:t>items</w:t>
      </w:r>
      <w:r>
        <w:rPr>
          <w:spacing w:val="-11"/>
        </w:rPr>
        <w:t> </w:t>
      </w:r>
      <w:r>
        <w:rPr/>
        <w:t>are</w:t>
      </w:r>
      <w:r>
        <w:rPr>
          <w:spacing w:val="-12"/>
        </w:rPr>
        <w:t> </w:t>
      </w:r>
      <w:r>
        <w:rPr/>
        <w:t>being</w:t>
      </w:r>
      <w:r>
        <w:rPr>
          <w:spacing w:val="-10"/>
        </w:rPr>
        <w:t> </w:t>
      </w:r>
      <w:r>
        <w:rPr/>
        <w:t>sold</w:t>
      </w:r>
      <w:r>
        <w:rPr>
          <w:spacing w:val="-11"/>
        </w:rPr>
        <w:t> </w:t>
      </w:r>
      <w:r>
        <w:rPr/>
        <w:t>on</w:t>
      </w:r>
      <w:r>
        <w:rPr>
          <w:spacing w:val="-14"/>
        </w:rPr>
        <w:t> </w:t>
      </w:r>
      <w:r>
        <w:rPr/>
        <w:t>a</w:t>
      </w:r>
      <w:r>
        <w:rPr>
          <w:spacing w:val="-11"/>
        </w:rPr>
        <w:t> </w:t>
      </w:r>
      <w:r>
        <w:rPr/>
        <w:t>gross</w:t>
      </w:r>
      <w:r>
        <w:rPr>
          <w:spacing w:val="-11"/>
        </w:rPr>
        <w:t> </w:t>
      </w:r>
      <w:r>
        <w:rPr/>
        <w:t>weight</w:t>
      </w:r>
      <w:r>
        <w:rPr>
          <w:spacing w:val="-13"/>
        </w:rPr>
        <w:t> </w:t>
      </w:r>
      <w:r>
        <w:rPr/>
        <w:t>basis</w:t>
      </w:r>
      <w:r>
        <w:rPr>
          <w:spacing w:val="-12"/>
        </w:rPr>
        <w:t> </w:t>
      </w:r>
      <w:r>
        <w:rPr/>
        <w:t>in</w:t>
      </w:r>
      <w:r>
        <w:rPr>
          <w:spacing w:val="-14"/>
        </w:rPr>
        <w:t> </w:t>
      </w:r>
      <w:r>
        <w:rPr/>
        <w:t>the</w:t>
      </w:r>
      <w:r>
        <w:rPr>
          <w:spacing w:val="-12"/>
        </w:rPr>
        <w:t> </w:t>
      </w:r>
      <w:r>
        <w:rPr/>
        <w:t>supermarkets,</w:t>
      </w:r>
      <w:r>
        <w:rPr>
          <w:spacing w:val="-11"/>
        </w:rPr>
        <w:t> </w:t>
      </w:r>
      <w:r>
        <w:rPr/>
        <w:t>for</w:t>
      </w:r>
      <w:r>
        <w:rPr>
          <w:spacing w:val="-12"/>
        </w:rPr>
        <w:t> </w:t>
      </w:r>
      <w:r>
        <w:rPr/>
        <w:t>example,</w:t>
      </w:r>
      <w:r>
        <w:rPr>
          <w:spacing w:val="-12"/>
        </w:rPr>
        <w:t> </w:t>
      </w:r>
      <w:r>
        <w:rPr/>
        <w:t>fresh</w:t>
      </w:r>
      <w:r>
        <w:rPr>
          <w:spacing w:val="-11"/>
        </w:rPr>
        <w:t> </w:t>
      </w:r>
      <w:r>
        <w:rPr/>
        <w:t>fruit</w:t>
      </w:r>
      <w:r>
        <w:rPr>
          <w:spacing w:val="-12"/>
        </w:rPr>
        <w:t> </w:t>
      </w:r>
      <w:r>
        <w:rPr/>
        <w:t>and</w:t>
      </w:r>
      <w:r>
        <w:rPr>
          <w:spacing w:val="-11"/>
        </w:rPr>
        <w:t> </w:t>
      </w:r>
      <w:r>
        <w:rPr/>
        <w:t>vegetables in poly bags in the produce area. Perhaps because of the light weight of these bags (that is, the minimum size of the scale division on the ordinary supermarket checkout scale is large with respect to the weight of the</w:t>
      </w:r>
      <w:r>
        <w:rPr>
          <w:spacing w:val="-4"/>
        </w:rPr>
        <w:t> </w:t>
      </w:r>
      <w:r>
        <w:rPr/>
        <w:t>poly</w:t>
      </w:r>
      <w:r>
        <w:rPr>
          <w:spacing w:val="-8"/>
        </w:rPr>
        <w:t> </w:t>
      </w:r>
      <w:r>
        <w:rPr/>
        <w:t>bags),</w:t>
      </w:r>
      <w:r>
        <w:rPr>
          <w:spacing w:val="-4"/>
        </w:rPr>
        <w:t> </w:t>
      </w:r>
      <w:r>
        <w:rPr/>
        <w:t>low</w:t>
      </w:r>
      <w:r>
        <w:rPr>
          <w:spacing w:val="-8"/>
        </w:rPr>
        <w:t> </w:t>
      </w:r>
      <w:r>
        <w:rPr/>
        <w:t>priority</w:t>
      </w:r>
      <w:r>
        <w:rPr>
          <w:spacing w:val="-6"/>
        </w:rPr>
        <w:t> </w:t>
      </w:r>
      <w:r>
        <w:rPr/>
        <w:t>is</w:t>
      </w:r>
      <w:r>
        <w:rPr>
          <w:spacing w:val="-3"/>
        </w:rPr>
        <w:t> </w:t>
      </w:r>
      <w:r>
        <w:rPr/>
        <w:t>given</w:t>
      </w:r>
      <w:r>
        <w:rPr>
          <w:spacing w:val="-6"/>
        </w:rPr>
        <w:t> </w:t>
      </w:r>
      <w:r>
        <w:rPr/>
        <w:t>to</w:t>
      </w:r>
      <w:r>
        <w:rPr>
          <w:spacing w:val="-3"/>
        </w:rPr>
        <w:t> </w:t>
      </w:r>
      <w:r>
        <w:rPr/>
        <w:t>correcting</w:t>
      </w:r>
      <w:r>
        <w:rPr>
          <w:spacing w:val="-5"/>
        </w:rPr>
        <w:t> </w:t>
      </w:r>
      <w:r>
        <w:rPr/>
        <w:t>this</w:t>
      </w:r>
      <w:r>
        <w:rPr>
          <w:spacing w:val="-3"/>
        </w:rPr>
        <w:t> </w:t>
      </w:r>
      <w:r>
        <w:rPr/>
        <w:t>sales</w:t>
      </w:r>
      <w:r>
        <w:rPr>
          <w:spacing w:val="-5"/>
        </w:rPr>
        <w:t> </w:t>
      </w:r>
      <w:r>
        <w:rPr/>
        <w:t>practice,</w:t>
      </w:r>
      <w:r>
        <w:rPr>
          <w:spacing w:val="-4"/>
        </w:rPr>
        <w:t> </w:t>
      </w:r>
      <w:r>
        <w:rPr/>
        <w:t>and</w:t>
      </w:r>
      <w:r>
        <w:rPr>
          <w:spacing w:val="-3"/>
        </w:rPr>
        <w:t> </w:t>
      </w:r>
      <w:r>
        <w:rPr/>
        <w:t>a</w:t>
      </w:r>
      <w:r>
        <w:rPr>
          <w:spacing w:val="-4"/>
        </w:rPr>
        <w:t> </w:t>
      </w:r>
      <w:r>
        <w:rPr/>
        <w:t>lack</w:t>
      </w:r>
      <w:r>
        <w:rPr>
          <w:spacing w:val="-5"/>
        </w:rPr>
        <w:t> </w:t>
      </w:r>
      <w:r>
        <w:rPr/>
        <w:t>of</w:t>
      </w:r>
      <w:r>
        <w:rPr>
          <w:spacing w:val="-4"/>
        </w:rPr>
        <w:t> </w:t>
      </w:r>
      <w:r>
        <w:rPr/>
        <w:t>uniformity</w:t>
      </w:r>
      <w:r>
        <w:rPr>
          <w:spacing w:val="-6"/>
        </w:rPr>
        <w:t> </w:t>
      </w:r>
      <w:r>
        <w:rPr/>
        <w:t>in</w:t>
      </w:r>
      <w:r>
        <w:rPr>
          <w:spacing w:val="-6"/>
        </w:rPr>
        <w:t> </w:t>
      </w:r>
      <w:r>
        <w:rPr/>
        <w:t>enforcement of the net weight requirements results. Weights and measures officials have found tare amounting to over 40 % of the gross weight in prepackaged items sold from bulk; the majority of cases seems to range from   3 % to 12 %. Officials see the need to “draw the line” in a sales practice that appears to have evolved from other practices that were not heavily monitored and corrected at their</w:t>
      </w:r>
      <w:r>
        <w:rPr>
          <w:spacing w:val="-3"/>
        </w:rPr>
        <w:t> </w:t>
      </w:r>
      <w:r>
        <w:rPr/>
        <w:t>inception.</w:t>
      </w:r>
    </w:p>
    <w:p>
      <w:pPr>
        <w:pStyle w:val="BodyText"/>
        <w:rPr>
          <w:sz w:val="21"/>
        </w:rPr>
      </w:pPr>
    </w:p>
    <w:p>
      <w:pPr>
        <w:pStyle w:val="ListParagraph"/>
        <w:numPr>
          <w:ilvl w:val="1"/>
          <w:numId w:val="8"/>
        </w:numPr>
        <w:tabs>
          <w:tab w:pos="899" w:val="left" w:leader="none"/>
          <w:tab w:pos="900" w:val="left" w:leader="none"/>
        </w:tabs>
        <w:spacing w:line="240" w:lineRule="auto" w:before="1" w:after="0"/>
        <w:ind w:left="899" w:right="0" w:hanging="360"/>
        <w:jc w:val="left"/>
        <w:rPr>
          <w:sz w:val="20"/>
        </w:rPr>
      </w:pPr>
      <w:r>
        <w:rPr>
          <w:sz w:val="20"/>
        </w:rPr>
        <w:t>Retailers face technical and administrative problems in properly deducting tare from the gross</w:t>
      </w:r>
      <w:r>
        <w:rPr>
          <w:spacing w:val="-21"/>
          <w:sz w:val="20"/>
        </w:rPr>
        <w:t> </w:t>
      </w:r>
      <w:r>
        <w:rPr>
          <w:sz w:val="20"/>
        </w:rPr>
        <w:t>weight.</w:t>
      </w:r>
    </w:p>
    <w:p>
      <w:pPr>
        <w:pStyle w:val="BodyText"/>
        <w:spacing w:before="10"/>
      </w:pPr>
    </w:p>
    <w:p>
      <w:pPr>
        <w:pStyle w:val="BodyText"/>
        <w:ind w:left="898" w:right="416"/>
        <w:jc w:val="both"/>
      </w:pPr>
      <w:r>
        <w:rPr/>
        <w:t>Automatic deduction of tare is preferable for large-scale retailers because of its speed. No equipment (either stand-alone scale or POS) is available at the present time that can: (1) subtract a percentage of the gross weight to represent the tare weight; or (2) subtract a fixed tare for the bag and a percentage tare for the wrapper on the prepackaged item. [Editor’s Note: There is equipment now available that can deduct a tare that is a percentage of the gross weight.] Two POS system manufacturers said that new systems with per- centage tare capability could be designed, but they could not definitely say whether retrofitting existing sys- tems was possible. They said that the ability to retrofit declined with the age of the system. Supermarket representatives expressed concern that their in-store computer software would need modification above and beyond the retrofitting or software redesign that might be done by the POS manufacturers; their software is designed around current POS software.</w:t>
      </w:r>
    </w:p>
    <w:p>
      <w:pPr>
        <w:pStyle w:val="BodyText"/>
        <w:spacing w:before="10"/>
      </w:pPr>
    </w:p>
    <w:p>
      <w:pPr>
        <w:pStyle w:val="BodyText"/>
        <w:ind w:left="898" w:right="415"/>
        <w:jc w:val="both"/>
      </w:pPr>
      <w:r>
        <w:rPr/>
        <w:t>Deduction of tare in the bulk food area using a scale other than the checkout scale can be done more easily than at checkout if a POS system is being used. A tare look-up table used in conjunction with the scale appears</w:t>
      </w:r>
      <w:r>
        <w:rPr>
          <w:spacing w:val="-12"/>
        </w:rPr>
        <w:t> </w:t>
      </w:r>
      <w:r>
        <w:rPr/>
        <w:t>to</w:t>
      </w:r>
      <w:r>
        <w:rPr>
          <w:spacing w:val="-11"/>
        </w:rPr>
        <w:t> </w:t>
      </w:r>
      <w:r>
        <w:rPr/>
        <w:t>be</w:t>
      </w:r>
      <w:r>
        <w:rPr>
          <w:spacing w:val="-11"/>
        </w:rPr>
        <w:t> </w:t>
      </w:r>
      <w:r>
        <w:rPr/>
        <w:t>the</w:t>
      </w:r>
      <w:r>
        <w:rPr>
          <w:spacing w:val="-10"/>
        </w:rPr>
        <w:t> </w:t>
      </w:r>
      <w:r>
        <w:rPr/>
        <w:t>only</w:t>
      </w:r>
      <w:r>
        <w:rPr>
          <w:spacing w:val="-14"/>
        </w:rPr>
        <w:t> </w:t>
      </w:r>
      <w:r>
        <w:rPr/>
        <w:t>currently</w:t>
      </w:r>
      <w:r>
        <w:rPr>
          <w:spacing w:val="-12"/>
        </w:rPr>
        <w:t> </w:t>
      </w:r>
      <w:r>
        <w:rPr/>
        <w:t>used</w:t>
      </w:r>
      <w:r>
        <w:rPr>
          <w:spacing w:val="-8"/>
        </w:rPr>
        <w:t> </w:t>
      </w:r>
      <w:r>
        <w:rPr/>
        <w:t>method</w:t>
      </w:r>
      <w:r>
        <w:rPr>
          <w:spacing w:val="-9"/>
        </w:rPr>
        <w:t> </w:t>
      </w:r>
      <w:r>
        <w:rPr/>
        <w:t>that</w:t>
      </w:r>
      <w:r>
        <w:rPr>
          <w:spacing w:val="-9"/>
        </w:rPr>
        <w:t> </w:t>
      </w:r>
      <w:r>
        <w:rPr/>
        <w:t>meets</w:t>
      </w:r>
      <w:r>
        <w:rPr>
          <w:spacing w:val="-11"/>
        </w:rPr>
        <w:t> </w:t>
      </w:r>
      <w:r>
        <w:rPr/>
        <w:t>the</w:t>
      </w:r>
      <w:r>
        <w:rPr>
          <w:spacing w:val="-11"/>
        </w:rPr>
        <w:t> </w:t>
      </w:r>
      <w:r>
        <w:rPr/>
        <w:t>net</w:t>
      </w:r>
      <w:r>
        <w:rPr>
          <w:spacing w:val="-8"/>
        </w:rPr>
        <w:t> </w:t>
      </w:r>
      <w:r>
        <w:rPr/>
        <w:t>weight</w:t>
      </w:r>
      <w:r>
        <w:rPr>
          <w:spacing w:val="-11"/>
        </w:rPr>
        <w:t> </w:t>
      </w:r>
      <w:r>
        <w:rPr/>
        <w:t>requirements</w:t>
      </w:r>
      <w:r>
        <w:rPr>
          <w:spacing w:val="-9"/>
        </w:rPr>
        <w:t> </w:t>
      </w:r>
      <w:r>
        <w:rPr/>
        <w:t>when</w:t>
      </w:r>
      <w:r>
        <w:rPr>
          <w:spacing w:val="-12"/>
        </w:rPr>
        <w:t> </w:t>
      </w:r>
      <w:r>
        <w:rPr/>
        <w:t>packaged</w:t>
      </w:r>
      <w:r>
        <w:rPr>
          <w:spacing w:val="-9"/>
        </w:rPr>
        <w:t> </w:t>
      </w:r>
      <w:r>
        <w:rPr/>
        <w:t>products are sold from bulk. (The procedure is to gross weigh the product, look up the tare, subtract it from the gross weight, and then determine a final net weight and total</w:t>
      </w:r>
      <w:r>
        <w:rPr>
          <w:spacing w:val="2"/>
        </w:rPr>
        <w:t> </w:t>
      </w:r>
      <w:r>
        <w:rPr/>
        <w:t>price.)</w:t>
      </w:r>
    </w:p>
    <w:p>
      <w:pPr>
        <w:spacing w:after="0"/>
        <w:jc w:val="both"/>
        <w:sectPr>
          <w:pgSz w:w="12240" w:h="15840"/>
          <w:pgMar w:header="730" w:footer="741" w:top="1340" w:bottom="940" w:left="1260" w:right="1020"/>
        </w:sectPr>
      </w:pPr>
    </w:p>
    <w:p>
      <w:pPr>
        <w:pStyle w:val="BodyText"/>
        <w:spacing w:before="1"/>
        <w:rPr>
          <w:sz w:val="17"/>
        </w:rPr>
      </w:pPr>
    </w:p>
    <w:p>
      <w:pPr>
        <w:pStyle w:val="BodyText"/>
        <w:spacing w:before="91"/>
        <w:ind w:left="899" w:right="418"/>
        <w:jc w:val="both"/>
      </w:pPr>
      <w:r>
        <w:rPr/>
        <w:t>Each retailer will have to consider the cost of additional manpower (as the weighing and marking of the purchase in the bulk food area might require), new equipment (purchasing scales or POS systems with per- centage tare capability), or retrofit of existing equipment as compared with the value of the market share contributed by the bulk marketing of prepacked commodities. However, two supermarket chain representa- tives</w:t>
      </w:r>
      <w:r>
        <w:rPr>
          <w:spacing w:val="-6"/>
        </w:rPr>
        <w:t> </w:t>
      </w:r>
      <w:r>
        <w:rPr/>
        <w:t>said</w:t>
      </w:r>
      <w:r>
        <w:rPr>
          <w:spacing w:val="-4"/>
        </w:rPr>
        <w:t> </w:t>
      </w:r>
      <w:r>
        <w:rPr/>
        <w:t>that</w:t>
      </w:r>
      <w:r>
        <w:rPr>
          <w:spacing w:val="-6"/>
        </w:rPr>
        <w:t> </w:t>
      </w:r>
      <w:r>
        <w:rPr/>
        <w:t>they</w:t>
      </w:r>
      <w:r>
        <w:rPr>
          <w:spacing w:val="-8"/>
        </w:rPr>
        <w:t> </w:t>
      </w:r>
      <w:r>
        <w:rPr/>
        <w:t>expected</w:t>
      </w:r>
      <w:r>
        <w:rPr>
          <w:spacing w:val="-4"/>
        </w:rPr>
        <w:t> </w:t>
      </w:r>
      <w:r>
        <w:rPr/>
        <w:t>some</w:t>
      </w:r>
      <w:r>
        <w:rPr>
          <w:spacing w:val="-3"/>
        </w:rPr>
        <w:t> </w:t>
      </w:r>
      <w:r>
        <w:rPr/>
        <w:t>growth</w:t>
      </w:r>
      <w:r>
        <w:rPr>
          <w:spacing w:val="-7"/>
        </w:rPr>
        <w:t> </w:t>
      </w:r>
      <w:r>
        <w:rPr/>
        <w:t>in</w:t>
      </w:r>
      <w:r>
        <w:rPr>
          <w:spacing w:val="-7"/>
        </w:rPr>
        <w:t> </w:t>
      </w:r>
      <w:r>
        <w:rPr/>
        <w:t>this</w:t>
      </w:r>
      <w:r>
        <w:rPr>
          <w:spacing w:val="-5"/>
        </w:rPr>
        <w:t> </w:t>
      </w:r>
      <w:r>
        <w:rPr/>
        <w:t>type</w:t>
      </w:r>
      <w:r>
        <w:rPr>
          <w:spacing w:val="-5"/>
        </w:rPr>
        <w:t> </w:t>
      </w:r>
      <w:r>
        <w:rPr/>
        <w:t>of</w:t>
      </w:r>
      <w:r>
        <w:rPr>
          <w:spacing w:val="-7"/>
        </w:rPr>
        <w:t> </w:t>
      </w:r>
      <w:r>
        <w:rPr/>
        <w:t>sale</w:t>
      </w:r>
      <w:r>
        <w:rPr>
          <w:spacing w:val="-5"/>
        </w:rPr>
        <w:t> </w:t>
      </w:r>
      <w:r>
        <w:rPr/>
        <w:t>(because</w:t>
      </w:r>
      <w:r>
        <w:rPr>
          <w:spacing w:val="-4"/>
        </w:rPr>
        <w:t> </w:t>
      </w:r>
      <w:r>
        <w:rPr/>
        <w:t>of</w:t>
      </w:r>
      <w:r>
        <w:rPr>
          <w:spacing w:val="-7"/>
        </w:rPr>
        <w:t> </w:t>
      </w:r>
      <w:r>
        <w:rPr/>
        <w:t>the</w:t>
      </w:r>
      <w:r>
        <w:rPr>
          <w:spacing w:val="-5"/>
        </w:rPr>
        <w:t> </w:t>
      </w:r>
      <w:r>
        <w:rPr/>
        <w:t>customers’</w:t>
      </w:r>
      <w:r>
        <w:rPr>
          <w:spacing w:val="-7"/>
        </w:rPr>
        <w:t> </w:t>
      </w:r>
      <w:r>
        <w:rPr/>
        <w:t>perception</w:t>
      </w:r>
      <w:r>
        <w:rPr>
          <w:spacing w:val="-6"/>
        </w:rPr>
        <w:t> </w:t>
      </w:r>
      <w:r>
        <w:rPr/>
        <w:t>of</w:t>
      </w:r>
      <w:r>
        <w:rPr>
          <w:spacing w:val="-7"/>
        </w:rPr>
        <w:t> </w:t>
      </w:r>
      <w:r>
        <w:rPr/>
        <w:t>clean- liness of the product, for</w:t>
      </w:r>
      <w:r>
        <w:rPr>
          <w:spacing w:val="-2"/>
        </w:rPr>
        <w:t> </w:t>
      </w:r>
      <w:r>
        <w:rPr/>
        <w:t>example).</w:t>
      </w:r>
    </w:p>
    <w:p>
      <w:pPr>
        <w:pStyle w:val="BodyText"/>
        <w:spacing w:before="10"/>
      </w:pPr>
    </w:p>
    <w:p>
      <w:pPr>
        <w:pStyle w:val="ListParagraph"/>
        <w:numPr>
          <w:ilvl w:val="1"/>
          <w:numId w:val="8"/>
        </w:numPr>
        <w:tabs>
          <w:tab w:pos="899" w:val="left" w:leader="none"/>
          <w:tab w:pos="900" w:val="left" w:leader="none"/>
        </w:tabs>
        <w:spacing w:line="240" w:lineRule="auto" w:before="1" w:after="0"/>
        <w:ind w:left="899" w:right="0" w:hanging="360"/>
        <w:jc w:val="left"/>
        <w:rPr>
          <w:sz w:val="20"/>
        </w:rPr>
      </w:pPr>
      <w:r>
        <w:rPr>
          <w:sz w:val="20"/>
        </w:rPr>
        <w:t>Present methods of sale and advertising are often</w:t>
      </w:r>
      <w:r>
        <w:rPr>
          <w:spacing w:val="-3"/>
          <w:sz w:val="20"/>
        </w:rPr>
        <w:t> </w:t>
      </w:r>
      <w:r>
        <w:rPr>
          <w:sz w:val="20"/>
        </w:rPr>
        <w:t>misleading.</w:t>
      </w:r>
    </w:p>
    <w:p>
      <w:pPr>
        <w:pStyle w:val="BodyText"/>
        <w:spacing w:before="10"/>
      </w:pPr>
    </w:p>
    <w:p>
      <w:pPr>
        <w:pStyle w:val="BodyText"/>
        <w:ind w:left="899" w:right="419"/>
        <w:jc w:val="both"/>
      </w:pPr>
      <w:r>
        <w:rPr/>
        <w:t>Suggestions were made that advertising on a “wrapped weight” basis would properly inform the consumer. However, it was pointed out that a typical purchaser does not know what “wrapped weight” is (i.e., gross weight). Moreover, selling packaged goods on a gross weight basis is illegal; it thwarts value comparison with other products sold by net weight.</w:t>
      </w:r>
    </w:p>
    <w:p>
      <w:pPr>
        <w:pStyle w:val="BodyText"/>
        <w:spacing w:before="9"/>
      </w:pPr>
    </w:p>
    <w:p>
      <w:pPr>
        <w:pStyle w:val="BodyText"/>
        <w:ind w:left="899" w:right="418"/>
        <w:jc w:val="both"/>
      </w:pPr>
      <w:r>
        <w:rPr/>
        <w:t>Bulk food sales advertising often includes claims of savings of, for example, 10 % to 20 % over a purchase of the same commodity in standard-pack form. These advertising claims can be exaggerated and misleading if the comparisons referenced are between standard-pack commodities sold net weight and products sold from bulk on a gross weight basis.</w:t>
      </w:r>
    </w:p>
    <w:p>
      <w:pPr>
        <w:pStyle w:val="BodyText"/>
        <w:rPr>
          <w:sz w:val="21"/>
        </w:rPr>
      </w:pPr>
    </w:p>
    <w:p>
      <w:pPr>
        <w:pStyle w:val="BodyText"/>
        <w:spacing w:before="1"/>
        <w:ind w:left="899" w:right="420"/>
        <w:jc w:val="both"/>
      </w:pPr>
      <w:r>
        <w:rPr/>
        <w:t>The</w:t>
      </w:r>
      <w:r>
        <w:rPr>
          <w:spacing w:val="-9"/>
        </w:rPr>
        <w:t> </w:t>
      </w:r>
      <w:r>
        <w:rPr/>
        <w:t>possibility</w:t>
      </w:r>
      <w:r>
        <w:rPr>
          <w:spacing w:val="-11"/>
        </w:rPr>
        <w:t> </w:t>
      </w:r>
      <w:r>
        <w:rPr/>
        <w:t>of</w:t>
      </w:r>
      <w:r>
        <w:rPr>
          <w:spacing w:val="-9"/>
        </w:rPr>
        <w:t> </w:t>
      </w:r>
      <w:r>
        <w:rPr/>
        <w:t>advertising</w:t>
      </w:r>
      <w:r>
        <w:rPr>
          <w:spacing w:val="-7"/>
        </w:rPr>
        <w:t> </w:t>
      </w:r>
      <w:r>
        <w:rPr/>
        <w:t>a</w:t>
      </w:r>
      <w:r>
        <w:rPr>
          <w:spacing w:val="-8"/>
        </w:rPr>
        <w:t> </w:t>
      </w:r>
      <w:r>
        <w:rPr/>
        <w:t>net</w:t>
      </w:r>
      <w:r>
        <w:rPr>
          <w:spacing w:val="-7"/>
        </w:rPr>
        <w:t> </w:t>
      </w:r>
      <w:r>
        <w:rPr/>
        <w:t>weight</w:t>
      </w:r>
      <w:r>
        <w:rPr>
          <w:spacing w:val="-8"/>
        </w:rPr>
        <w:t> </w:t>
      </w:r>
      <w:r>
        <w:rPr/>
        <w:t>unit</w:t>
      </w:r>
      <w:r>
        <w:rPr>
          <w:spacing w:val="-8"/>
        </w:rPr>
        <w:t> </w:t>
      </w:r>
      <w:r>
        <w:rPr/>
        <w:t>price,</w:t>
      </w:r>
      <w:r>
        <w:rPr>
          <w:spacing w:val="-7"/>
        </w:rPr>
        <w:t> </w:t>
      </w:r>
      <w:r>
        <w:rPr/>
        <w:t>but</w:t>
      </w:r>
      <w:r>
        <w:rPr>
          <w:spacing w:val="-9"/>
        </w:rPr>
        <w:t> </w:t>
      </w:r>
      <w:r>
        <w:rPr/>
        <w:t>actually</w:t>
      </w:r>
      <w:r>
        <w:rPr>
          <w:spacing w:val="-9"/>
        </w:rPr>
        <w:t> </w:t>
      </w:r>
      <w:r>
        <w:rPr/>
        <w:t>weighing</w:t>
      </w:r>
      <w:r>
        <w:rPr>
          <w:spacing w:val="-9"/>
        </w:rPr>
        <w:t> </w:t>
      </w:r>
      <w:r>
        <w:rPr/>
        <w:t>at</w:t>
      </w:r>
      <w:r>
        <w:rPr>
          <w:spacing w:val="-8"/>
        </w:rPr>
        <w:t> </w:t>
      </w:r>
      <w:r>
        <w:rPr/>
        <w:t>the</w:t>
      </w:r>
      <w:r>
        <w:rPr>
          <w:spacing w:val="-8"/>
        </w:rPr>
        <w:t> </w:t>
      </w:r>
      <w:r>
        <w:rPr/>
        <w:t>checkout</w:t>
      </w:r>
      <w:r>
        <w:rPr>
          <w:spacing w:val="-7"/>
        </w:rPr>
        <w:t> </w:t>
      </w:r>
      <w:r>
        <w:rPr/>
        <w:t>on</w:t>
      </w:r>
      <w:r>
        <w:rPr>
          <w:spacing w:val="-9"/>
        </w:rPr>
        <w:t> </w:t>
      </w:r>
      <w:r>
        <w:rPr/>
        <w:t>a</w:t>
      </w:r>
      <w:r>
        <w:rPr>
          <w:spacing w:val="-7"/>
        </w:rPr>
        <w:t> </w:t>
      </w:r>
      <w:r>
        <w:rPr/>
        <w:t>gross</w:t>
      </w:r>
      <w:r>
        <w:rPr>
          <w:spacing w:val="-6"/>
        </w:rPr>
        <w:t> </w:t>
      </w:r>
      <w:r>
        <w:rPr/>
        <w:t>weight basis (and charging at a lower gross weight unit price) was discussed. For example, a sign could be posted with the</w:t>
      </w:r>
      <w:r>
        <w:rPr>
          <w:spacing w:val="-2"/>
        </w:rPr>
        <w:t> </w:t>
      </w:r>
      <w:r>
        <w:rPr/>
        <w:t>following:</w:t>
      </w:r>
    </w:p>
    <w:p>
      <w:pPr>
        <w:pStyle w:val="BodyText"/>
        <w:spacing w:before="8"/>
      </w:pPr>
    </w:p>
    <w:p>
      <w:pPr>
        <w:pStyle w:val="BodyText"/>
        <w:spacing w:before="1"/>
        <w:ind w:left="1259" w:right="877"/>
        <w:jc w:val="both"/>
      </w:pPr>
      <w:r>
        <w:rPr/>
        <w:t>“$1.50 per pound, net weight. We are not able to weigh this packaged product on a net weight basis (that is, without the wrapper), and will therefore charge you $1.40 per pound including the wrapper weight at the checkout.”</w:t>
      </w:r>
    </w:p>
    <w:p>
      <w:pPr>
        <w:pStyle w:val="BodyText"/>
        <w:spacing w:before="8"/>
      </w:pPr>
    </w:p>
    <w:p>
      <w:pPr>
        <w:pStyle w:val="BodyText"/>
        <w:spacing w:before="1"/>
        <w:ind w:left="899" w:right="419"/>
        <w:jc w:val="both"/>
      </w:pPr>
      <w:r>
        <w:rPr/>
        <w:t>Everyone agreed that advertising claims and appropriate wording would have to be chosen carefully if this is to be viable. However, those weights and measures officials present were generally opposed to this alter- native</w:t>
      </w:r>
      <w:r>
        <w:rPr>
          <w:spacing w:val="-5"/>
        </w:rPr>
        <w:t> </w:t>
      </w:r>
      <w:r>
        <w:rPr/>
        <w:t>based</w:t>
      </w:r>
      <w:r>
        <w:rPr>
          <w:spacing w:val="-4"/>
        </w:rPr>
        <w:t> </w:t>
      </w:r>
      <w:r>
        <w:rPr/>
        <w:t>on</w:t>
      </w:r>
      <w:r>
        <w:rPr>
          <w:spacing w:val="-4"/>
        </w:rPr>
        <w:t> </w:t>
      </w:r>
      <w:r>
        <w:rPr/>
        <w:t>the</w:t>
      </w:r>
      <w:r>
        <w:rPr>
          <w:spacing w:val="-4"/>
        </w:rPr>
        <w:t> </w:t>
      </w:r>
      <w:r>
        <w:rPr/>
        <w:t>difficulty</w:t>
      </w:r>
      <w:r>
        <w:rPr>
          <w:spacing w:val="-4"/>
        </w:rPr>
        <w:t> </w:t>
      </w:r>
      <w:r>
        <w:rPr/>
        <w:t>of</w:t>
      </w:r>
      <w:r>
        <w:rPr>
          <w:spacing w:val="-6"/>
        </w:rPr>
        <w:t> </w:t>
      </w:r>
      <w:r>
        <w:rPr/>
        <w:t>enforcement</w:t>
      </w:r>
      <w:r>
        <w:rPr>
          <w:spacing w:val="-6"/>
        </w:rPr>
        <w:t> </w:t>
      </w:r>
      <w:r>
        <w:rPr/>
        <w:t>and</w:t>
      </w:r>
      <w:r>
        <w:rPr>
          <w:spacing w:val="-4"/>
        </w:rPr>
        <w:t> </w:t>
      </w:r>
      <w:r>
        <w:rPr/>
        <w:t>lack</w:t>
      </w:r>
      <w:r>
        <w:rPr>
          <w:spacing w:val="-6"/>
        </w:rPr>
        <w:t> </w:t>
      </w:r>
      <w:r>
        <w:rPr/>
        <w:t>of</w:t>
      </w:r>
      <w:r>
        <w:rPr>
          <w:spacing w:val="-5"/>
        </w:rPr>
        <w:t> </w:t>
      </w:r>
      <w:r>
        <w:rPr/>
        <w:t>assurance</w:t>
      </w:r>
      <w:r>
        <w:rPr>
          <w:spacing w:val="-5"/>
        </w:rPr>
        <w:t> </w:t>
      </w:r>
      <w:r>
        <w:rPr/>
        <w:t>that</w:t>
      </w:r>
      <w:r>
        <w:rPr>
          <w:spacing w:val="-5"/>
        </w:rPr>
        <w:t> </w:t>
      </w:r>
      <w:r>
        <w:rPr/>
        <w:t>a</w:t>
      </w:r>
      <w:r>
        <w:rPr>
          <w:spacing w:val="-3"/>
        </w:rPr>
        <w:t> </w:t>
      </w:r>
      <w:r>
        <w:rPr/>
        <w:t>consumer</w:t>
      </w:r>
      <w:r>
        <w:rPr>
          <w:spacing w:val="-2"/>
        </w:rPr>
        <w:t> </w:t>
      </w:r>
      <w:r>
        <w:rPr/>
        <w:t>would</w:t>
      </w:r>
      <w:r>
        <w:rPr>
          <w:spacing w:val="-4"/>
        </w:rPr>
        <w:t> </w:t>
      </w:r>
      <w:r>
        <w:rPr/>
        <w:t>really</w:t>
      </w:r>
      <w:r>
        <w:rPr>
          <w:spacing w:val="-6"/>
        </w:rPr>
        <w:t> </w:t>
      </w:r>
      <w:r>
        <w:rPr/>
        <w:t>understand explanatory</w:t>
      </w:r>
      <w:r>
        <w:rPr>
          <w:spacing w:val="-2"/>
        </w:rPr>
        <w:t> </w:t>
      </w:r>
      <w:r>
        <w:rPr/>
        <w:t>signage.</w:t>
      </w:r>
    </w:p>
    <w:p>
      <w:pPr>
        <w:pStyle w:val="BodyText"/>
        <w:spacing w:before="5"/>
        <w:rPr>
          <w:sz w:val="31"/>
        </w:rPr>
      </w:pPr>
    </w:p>
    <w:p>
      <w:pPr>
        <w:pStyle w:val="Heading1"/>
        <w:numPr>
          <w:ilvl w:val="2"/>
          <w:numId w:val="9"/>
        </w:numPr>
        <w:tabs>
          <w:tab w:pos="780" w:val="left" w:leader="none"/>
        </w:tabs>
        <w:spacing w:line="240" w:lineRule="auto" w:before="0" w:after="0"/>
        <w:ind w:left="179" w:right="420" w:firstLine="0"/>
        <w:jc w:val="left"/>
      </w:pPr>
      <w:bookmarkStart w:name="_bookmark14" w:id="24"/>
      <w:bookmarkEnd w:id="24"/>
      <w:r>
        <w:rPr>
          <w:b w:val="0"/>
        </w:rPr>
      </w:r>
      <w:bookmarkStart w:name="_bookmark14" w:id="25"/>
      <w:bookmarkEnd w:id="25"/>
      <w:r>
        <w:rPr/>
        <w:t>G</w:t>
      </w:r>
      <w:r>
        <w:rPr/>
        <w:t>uidelines for NCWM Resolution of Requests for Recognition of Moisture Loss in Other Packaged Products.</w:t>
      </w:r>
    </w:p>
    <w:p>
      <w:pPr>
        <w:pStyle w:val="BodyText"/>
        <w:spacing w:line="229" w:lineRule="exact"/>
        <w:ind w:left="179"/>
      </w:pPr>
      <w:r>
        <w:rPr/>
        <w:t>(Exec, 1988, p. 94)</w:t>
      </w:r>
    </w:p>
    <w:p>
      <w:pPr>
        <w:pStyle w:val="BodyText"/>
        <w:spacing w:before="10"/>
      </w:pPr>
    </w:p>
    <w:p>
      <w:pPr>
        <w:pStyle w:val="BodyText"/>
        <w:ind w:left="179" w:right="349"/>
      </w:pPr>
      <w:r>
        <w:rPr/>
        <w:t>The</w:t>
      </w:r>
      <w:r>
        <w:rPr>
          <w:spacing w:val="-9"/>
        </w:rPr>
        <w:t> </w:t>
      </w:r>
      <w:r>
        <w:rPr/>
        <w:t>Task</w:t>
      </w:r>
      <w:r>
        <w:rPr>
          <w:spacing w:val="-10"/>
        </w:rPr>
        <w:t> </w:t>
      </w:r>
      <w:r>
        <w:rPr/>
        <w:t>Force</w:t>
      </w:r>
      <w:r>
        <w:rPr>
          <w:spacing w:val="-8"/>
        </w:rPr>
        <w:t> </w:t>
      </w:r>
      <w:r>
        <w:rPr/>
        <w:t>on</w:t>
      </w:r>
      <w:r>
        <w:rPr>
          <w:spacing w:val="-10"/>
        </w:rPr>
        <w:t> </w:t>
      </w:r>
      <w:r>
        <w:rPr/>
        <w:t>Commodity</w:t>
      </w:r>
      <w:r>
        <w:rPr>
          <w:spacing w:val="-8"/>
        </w:rPr>
        <w:t> </w:t>
      </w:r>
      <w:r>
        <w:rPr/>
        <w:t>Requirements</w:t>
      </w:r>
      <w:r>
        <w:rPr>
          <w:spacing w:val="-9"/>
        </w:rPr>
        <w:t> </w:t>
      </w:r>
      <w:r>
        <w:rPr/>
        <w:t>limited</w:t>
      </w:r>
      <w:r>
        <w:rPr>
          <w:spacing w:val="-8"/>
        </w:rPr>
        <w:t> </w:t>
      </w:r>
      <w:r>
        <w:rPr/>
        <w:t>its</w:t>
      </w:r>
      <w:r>
        <w:rPr>
          <w:spacing w:val="-5"/>
        </w:rPr>
        <w:t> </w:t>
      </w:r>
      <w:r>
        <w:rPr/>
        <w:t>work</w:t>
      </w:r>
      <w:r>
        <w:rPr>
          <w:spacing w:val="-9"/>
        </w:rPr>
        <w:t> </w:t>
      </w:r>
      <w:r>
        <w:rPr/>
        <w:t>to</w:t>
      </w:r>
      <w:r>
        <w:rPr>
          <w:spacing w:val="-8"/>
        </w:rPr>
        <w:t> </w:t>
      </w:r>
      <w:r>
        <w:rPr/>
        <w:t>only</w:t>
      </w:r>
      <w:r>
        <w:rPr>
          <w:spacing w:val="-13"/>
        </w:rPr>
        <w:t> </w:t>
      </w:r>
      <w:r>
        <w:rPr/>
        <w:t>a</w:t>
      </w:r>
      <w:r>
        <w:rPr>
          <w:spacing w:val="-5"/>
        </w:rPr>
        <w:t> </w:t>
      </w:r>
      <w:r>
        <w:rPr/>
        <w:t>few</w:t>
      </w:r>
      <w:r>
        <w:rPr>
          <w:spacing w:val="-11"/>
        </w:rPr>
        <w:t> </w:t>
      </w:r>
      <w:r>
        <w:rPr/>
        <w:t>product</w:t>
      </w:r>
      <w:r>
        <w:rPr>
          <w:spacing w:val="-9"/>
        </w:rPr>
        <w:t> </w:t>
      </w:r>
      <w:r>
        <w:rPr/>
        <w:t>categories,</w:t>
      </w:r>
      <w:r>
        <w:rPr>
          <w:spacing w:val="-8"/>
        </w:rPr>
        <w:t> </w:t>
      </w:r>
      <w:r>
        <w:rPr/>
        <w:t>using</w:t>
      </w:r>
      <w:r>
        <w:rPr>
          <w:spacing w:val="-10"/>
        </w:rPr>
        <w:t> </w:t>
      </w:r>
      <w:r>
        <w:rPr/>
        <w:t>these</w:t>
      </w:r>
      <w:r>
        <w:rPr>
          <w:spacing w:val="-9"/>
        </w:rPr>
        <w:t> </w:t>
      </w:r>
      <w:r>
        <w:rPr/>
        <w:t>categories as models for addressing moisture loss. The gray-area concept is the result of this</w:t>
      </w:r>
      <w:r>
        <w:rPr>
          <w:spacing w:val="-6"/>
        </w:rPr>
        <w:t> </w:t>
      </w:r>
      <w:r>
        <w:rPr/>
        <w:t>work.</w:t>
      </w:r>
    </w:p>
    <w:p>
      <w:pPr>
        <w:pStyle w:val="BodyText"/>
        <w:spacing w:before="11"/>
      </w:pPr>
    </w:p>
    <w:p>
      <w:pPr>
        <w:pStyle w:val="BodyText"/>
        <w:ind w:left="179" w:right="349"/>
      </w:pPr>
      <w:r>
        <w:rPr/>
        <w:t>Recognizing</w:t>
      </w:r>
      <w:r>
        <w:rPr>
          <w:spacing w:val="-12"/>
        </w:rPr>
        <w:t> </w:t>
      </w:r>
      <w:r>
        <w:rPr/>
        <w:t>several</w:t>
      </w:r>
      <w:r>
        <w:rPr>
          <w:spacing w:val="-13"/>
        </w:rPr>
        <w:t> </w:t>
      </w:r>
      <w:r>
        <w:rPr/>
        <w:t>candidates</w:t>
      </w:r>
      <w:r>
        <w:rPr>
          <w:spacing w:val="-13"/>
        </w:rPr>
        <w:t> </w:t>
      </w:r>
      <w:r>
        <w:rPr/>
        <w:t>for</w:t>
      </w:r>
      <w:r>
        <w:rPr>
          <w:spacing w:val="-9"/>
        </w:rPr>
        <w:t> </w:t>
      </w:r>
      <w:r>
        <w:rPr/>
        <w:t>future</w:t>
      </w:r>
      <w:r>
        <w:rPr>
          <w:spacing w:val="-10"/>
        </w:rPr>
        <w:t> </w:t>
      </w:r>
      <w:r>
        <w:rPr/>
        <w:t>work</w:t>
      </w:r>
      <w:r>
        <w:rPr>
          <w:spacing w:val="-14"/>
        </w:rPr>
        <w:t> </w:t>
      </w:r>
      <w:r>
        <w:rPr/>
        <w:t>in</w:t>
      </w:r>
      <w:r>
        <w:rPr>
          <w:spacing w:val="-11"/>
        </w:rPr>
        <w:t> </w:t>
      </w:r>
      <w:r>
        <w:rPr/>
        <w:t>moisture</w:t>
      </w:r>
      <w:r>
        <w:rPr>
          <w:spacing w:val="-12"/>
        </w:rPr>
        <w:t> </w:t>
      </w:r>
      <w:r>
        <w:rPr/>
        <w:t>loss,</w:t>
      </w:r>
      <w:r>
        <w:rPr>
          <w:spacing w:val="-12"/>
        </w:rPr>
        <w:t> </w:t>
      </w:r>
      <w:r>
        <w:rPr/>
        <w:t>the</w:t>
      </w:r>
      <w:r>
        <w:rPr>
          <w:spacing w:val="-12"/>
        </w:rPr>
        <w:t> </w:t>
      </w:r>
      <w:r>
        <w:rPr/>
        <w:t>Task</w:t>
      </w:r>
      <w:r>
        <w:rPr>
          <w:spacing w:val="-11"/>
        </w:rPr>
        <w:t> </w:t>
      </w:r>
      <w:r>
        <w:rPr/>
        <w:t>Force</w:t>
      </w:r>
      <w:r>
        <w:rPr>
          <w:spacing w:val="-12"/>
        </w:rPr>
        <w:t> </w:t>
      </w:r>
      <w:r>
        <w:rPr/>
        <w:t>recommends</w:t>
      </w:r>
      <w:r>
        <w:rPr>
          <w:spacing w:val="-13"/>
        </w:rPr>
        <w:t> </w:t>
      </w:r>
      <w:r>
        <w:rPr/>
        <w:t>that</w:t>
      </w:r>
      <w:r>
        <w:rPr>
          <w:spacing w:val="-13"/>
        </w:rPr>
        <w:t> </w:t>
      </w:r>
      <w:r>
        <w:rPr/>
        <w:t>the</w:t>
      </w:r>
      <w:r>
        <w:rPr>
          <w:spacing w:val="-11"/>
        </w:rPr>
        <w:t> </w:t>
      </w:r>
      <w:r>
        <w:rPr/>
        <w:t>following</w:t>
      </w:r>
      <w:r>
        <w:rPr>
          <w:spacing w:val="-11"/>
        </w:rPr>
        <w:t> </w:t>
      </w:r>
      <w:r>
        <w:rPr/>
        <w:t>guide- lines for moisture loss be followed as far as possible by any industry requesting</w:t>
      </w:r>
      <w:r>
        <w:rPr>
          <w:spacing w:val="-12"/>
        </w:rPr>
        <w:t> </w:t>
      </w:r>
      <w:r>
        <w:rPr/>
        <w:t>consideration:</w:t>
      </w:r>
    </w:p>
    <w:p>
      <w:pPr>
        <w:pStyle w:val="BodyText"/>
        <w:spacing w:before="8"/>
      </w:pPr>
    </w:p>
    <w:p>
      <w:pPr>
        <w:pStyle w:val="ListParagraph"/>
        <w:numPr>
          <w:ilvl w:val="3"/>
          <w:numId w:val="9"/>
        </w:numPr>
        <w:tabs>
          <w:tab w:pos="900" w:val="left" w:leader="none"/>
        </w:tabs>
        <w:spacing w:line="240" w:lineRule="auto" w:before="1" w:after="0"/>
        <w:ind w:left="899" w:right="416" w:hanging="360"/>
        <w:jc w:val="both"/>
        <w:rPr>
          <w:sz w:val="20"/>
        </w:rPr>
      </w:pPr>
      <w:r>
        <w:rPr>
          <w:sz w:val="20"/>
        </w:rPr>
        <w:t>There should be reasonable uniformity in the moisture content of the product category. For example, since pet</w:t>
      </w:r>
      <w:r>
        <w:rPr>
          <w:spacing w:val="-8"/>
          <w:sz w:val="20"/>
        </w:rPr>
        <w:t> </w:t>
      </w:r>
      <w:r>
        <w:rPr>
          <w:sz w:val="20"/>
        </w:rPr>
        <w:t>food</w:t>
      </w:r>
      <w:r>
        <w:rPr>
          <w:spacing w:val="-9"/>
          <w:sz w:val="20"/>
        </w:rPr>
        <w:t> </w:t>
      </w:r>
      <w:r>
        <w:rPr>
          <w:sz w:val="20"/>
        </w:rPr>
        <w:t>has</w:t>
      </w:r>
      <w:r>
        <w:rPr>
          <w:spacing w:val="-9"/>
          <w:sz w:val="20"/>
        </w:rPr>
        <w:t> </w:t>
      </w:r>
      <w:r>
        <w:rPr>
          <w:sz w:val="20"/>
        </w:rPr>
        <w:t>final</w:t>
      </w:r>
      <w:r>
        <w:rPr>
          <w:spacing w:val="-6"/>
          <w:sz w:val="20"/>
        </w:rPr>
        <w:t> </w:t>
      </w:r>
      <w:r>
        <w:rPr>
          <w:sz w:val="20"/>
        </w:rPr>
        <w:t>moisture</w:t>
      </w:r>
      <w:r>
        <w:rPr>
          <w:spacing w:val="-7"/>
          <w:sz w:val="20"/>
        </w:rPr>
        <w:t> </w:t>
      </w:r>
      <w:r>
        <w:rPr>
          <w:sz w:val="20"/>
        </w:rPr>
        <w:t>contents</w:t>
      </w:r>
      <w:r>
        <w:rPr>
          <w:spacing w:val="-9"/>
          <w:sz w:val="20"/>
        </w:rPr>
        <w:t> </w:t>
      </w:r>
      <w:r>
        <w:rPr>
          <w:sz w:val="20"/>
        </w:rPr>
        <w:t>ranging</w:t>
      </w:r>
      <w:r>
        <w:rPr>
          <w:spacing w:val="-9"/>
          <w:sz w:val="20"/>
        </w:rPr>
        <w:t> </w:t>
      </w:r>
      <w:r>
        <w:rPr>
          <w:sz w:val="20"/>
        </w:rPr>
        <w:t>from</w:t>
      </w:r>
      <w:r>
        <w:rPr>
          <w:spacing w:val="-9"/>
          <w:sz w:val="20"/>
        </w:rPr>
        <w:t> </w:t>
      </w:r>
      <w:r>
        <w:rPr>
          <w:sz w:val="20"/>
        </w:rPr>
        <w:t>very</w:t>
      </w:r>
      <w:r>
        <w:rPr>
          <w:spacing w:val="-9"/>
          <w:sz w:val="20"/>
        </w:rPr>
        <w:t> </w:t>
      </w:r>
      <w:r>
        <w:rPr>
          <w:sz w:val="20"/>
        </w:rPr>
        <w:t>moist</w:t>
      </w:r>
      <w:r>
        <w:rPr>
          <w:spacing w:val="-8"/>
          <w:sz w:val="20"/>
        </w:rPr>
        <w:t> </w:t>
      </w:r>
      <w:r>
        <w:rPr>
          <w:sz w:val="20"/>
        </w:rPr>
        <w:t>to</w:t>
      </w:r>
      <w:r>
        <w:rPr>
          <w:spacing w:val="-7"/>
          <w:sz w:val="20"/>
        </w:rPr>
        <w:t> </w:t>
      </w:r>
      <w:r>
        <w:rPr>
          <w:sz w:val="20"/>
        </w:rPr>
        <w:t>very</w:t>
      </w:r>
      <w:r>
        <w:rPr>
          <w:spacing w:val="-11"/>
          <w:sz w:val="20"/>
        </w:rPr>
        <w:t> </w:t>
      </w:r>
      <w:r>
        <w:rPr>
          <w:sz w:val="20"/>
        </w:rPr>
        <w:t>dry,</w:t>
      </w:r>
      <w:r>
        <w:rPr>
          <w:spacing w:val="-7"/>
          <w:sz w:val="20"/>
        </w:rPr>
        <w:t> </w:t>
      </w:r>
      <w:r>
        <w:rPr>
          <w:sz w:val="20"/>
        </w:rPr>
        <w:t>some</w:t>
      </w:r>
      <w:r>
        <w:rPr>
          <w:spacing w:val="-7"/>
          <w:sz w:val="20"/>
        </w:rPr>
        <w:t> </w:t>
      </w:r>
      <w:r>
        <w:rPr>
          <w:sz w:val="20"/>
        </w:rPr>
        <w:t>sub</w:t>
      </w:r>
      <w:r>
        <w:rPr>
          <w:spacing w:val="-7"/>
          <w:sz w:val="20"/>
        </w:rPr>
        <w:t> </w:t>
      </w:r>
      <w:r>
        <w:rPr>
          <w:sz w:val="20"/>
        </w:rPr>
        <w:t>categorization</w:t>
      </w:r>
      <w:r>
        <w:rPr>
          <w:spacing w:val="-9"/>
          <w:sz w:val="20"/>
        </w:rPr>
        <w:t> </w:t>
      </w:r>
      <w:r>
        <w:rPr>
          <w:sz w:val="20"/>
        </w:rPr>
        <w:t>of</w:t>
      </w:r>
      <w:r>
        <w:rPr>
          <w:spacing w:val="-9"/>
          <w:sz w:val="20"/>
        </w:rPr>
        <w:t> </w:t>
      </w:r>
      <w:r>
        <w:rPr>
          <w:sz w:val="20"/>
        </w:rPr>
        <w:t>pet</w:t>
      </w:r>
      <w:r>
        <w:rPr>
          <w:spacing w:val="-8"/>
          <w:sz w:val="20"/>
        </w:rPr>
        <w:t> </w:t>
      </w:r>
      <w:r>
        <w:rPr>
          <w:sz w:val="20"/>
        </w:rPr>
        <w:t>food needs to be defined by industry before the NCWM study of the</w:t>
      </w:r>
      <w:r>
        <w:rPr>
          <w:spacing w:val="-12"/>
          <w:sz w:val="20"/>
        </w:rPr>
        <w:t> </w:t>
      </w:r>
      <w:r>
        <w:rPr>
          <w:sz w:val="20"/>
        </w:rPr>
        <w:t>issue.</w:t>
      </w:r>
    </w:p>
    <w:p>
      <w:pPr>
        <w:pStyle w:val="BodyText"/>
        <w:spacing w:before="11"/>
      </w:pPr>
    </w:p>
    <w:p>
      <w:pPr>
        <w:pStyle w:val="ListParagraph"/>
        <w:numPr>
          <w:ilvl w:val="3"/>
          <w:numId w:val="9"/>
        </w:numPr>
        <w:tabs>
          <w:tab w:pos="900" w:val="left" w:leader="none"/>
        </w:tabs>
        <w:spacing w:line="240" w:lineRule="auto" w:before="0" w:after="0"/>
        <w:ind w:left="899" w:right="419" w:hanging="360"/>
        <w:jc w:val="both"/>
        <w:rPr>
          <w:sz w:val="20"/>
        </w:rPr>
      </w:pPr>
      <w:r>
        <w:rPr>
          <w:sz w:val="20"/>
        </w:rPr>
        <w:t>The predominant type of moisture loss (whether into the atmosphere or into the packaging materials) must be</w:t>
      </w:r>
      <w:r>
        <w:rPr>
          <w:spacing w:val="-1"/>
          <w:sz w:val="20"/>
        </w:rPr>
        <w:t> </w:t>
      </w:r>
      <w:r>
        <w:rPr>
          <w:sz w:val="20"/>
        </w:rPr>
        <w:t>specified.</w:t>
      </w:r>
    </w:p>
    <w:p>
      <w:pPr>
        <w:pStyle w:val="BodyText"/>
        <w:spacing w:before="11"/>
      </w:pPr>
    </w:p>
    <w:p>
      <w:pPr>
        <w:pStyle w:val="ListParagraph"/>
        <w:numPr>
          <w:ilvl w:val="3"/>
          <w:numId w:val="9"/>
        </w:numPr>
        <w:tabs>
          <w:tab w:pos="900" w:val="left" w:leader="none"/>
        </w:tabs>
        <w:spacing w:line="240" w:lineRule="auto" w:before="0" w:after="0"/>
        <w:ind w:left="899" w:right="418" w:hanging="360"/>
        <w:jc w:val="both"/>
        <w:rPr>
          <w:sz w:val="20"/>
        </w:rPr>
      </w:pPr>
      <w:r>
        <w:rPr>
          <w:sz w:val="20"/>
        </w:rPr>
        <w:t>Different types of packaging might make it necessary to subcategorize the product. For example, pasta is packaged in cardboard, in polyethylene, or other packaging more impervious to moisture loss. The industry should define the domain of packaging materials to be</w:t>
      </w:r>
      <w:r>
        <w:rPr>
          <w:spacing w:val="-4"/>
          <w:sz w:val="20"/>
        </w:rPr>
        <w:t> </w:t>
      </w:r>
      <w:r>
        <w:rPr>
          <w:sz w:val="20"/>
        </w:rPr>
        <w:t>considered.</w:t>
      </w:r>
    </w:p>
    <w:p>
      <w:pPr>
        <w:spacing w:after="0" w:line="240" w:lineRule="auto"/>
        <w:jc w:val="both"/>
        <w:rPr>
          <w:sz w:val="20"/>
        </w:rPr>
        <w:sectPr>
          <w:pgSz w:w="12240" w:h="15840"/>
          <w:pgMar w:header="730" w:footer="740" w:top="1340" w:bottom="940" w:left="1260" w:right="1020"/>
        </w:sectPr>
      </w:pPr>
    </w:p>
    <w:p>
      <w:pPr>
        <w:pStyle w:val="ListParagraph"/>
        <w:numPr>
          <w:ilvl w:val="3"/>
          <w:numId w:val="9"/>
        </w:numPr>
        <w:tabs>
          <w:tab w:pos="900" w:val="left" w:leader="none"/>
        </w:tabs>
        <w:spacing w:line="240" w:lineRule="auto" w:before="88" w:after="0"/>
        <w:ind w:left="899" w:right="419" w:hanging="360"/>
        <w:jc w:val="both"/>
        <w:rPr>
          <w:sz w:val="20"/>
        </w:rPr>
      </w:pPr>
      <w:r>
        <w:rPr>
          <w:sz w:val="20"/>
        </w:rPr>
        <w:t>“Real-world”</w:t>
      </w:r>
      <w:r>
        <w:rPr>
          <w:spacing w:val="-5"/>
          <w:sz w:val="20"/>
        </w:rPr>
        <w:t> </w:t>
      </w:r>
      <w:r>
        <w:rPr>
          <w:sz w:val="20"/>
        </w:rPr>
        <w:t>data</w:t>
      </w:r>
      <w:r>
        <w:rPr>
          <w:spacing w:val="-4"/>
          <w:sz w:val="20"/>
        </w:rPr>
        <w:t> </w:t>
      </w:r>
      <w:r>
        <w:rPr>
          <w:sz w:val="20"/>
        </w:rPr>
        <w:t>is</w:t>
      </w:r>
      <w:r>
        <w:rPr>
          <w:spacing w:val="-3"/>
          <w:sz w:val="20"/>
        </w:rPr>
        <w:t> </w:t>
      </w:r>
      <w:r>
        <w:rPr>
          <w:sz w:val="20"/>
        </w:rPr>
        <w:t>needed</w:t>
      </w:r>
      <w:r>
        <w:rPr>
          <w:spacing w:val="-3"/>
          <w:sz w:val="20"/>
        </w:rPr>
        <w:t> </w:t>
      </w:r>
      <w:r>
        <w:rPr>
          <w:sz w:val="20"/>
        </w:rPr>
        <w:t>on</w:t>
      </w:r>
      <w:r>
        <w:rPr>
          <w:spacing w:val="-6"/>
          <w:sz w:val="20"/>
        </w:rPr>
        <w:t> </w:t>
      </w:r>
      <w:r>
        <w:rPr>
          <w:sz w:val="20"/>
        </w:rPr>
        <w:t>the</w:t>
      </w:r>
      <w:r>
        <w:rPr>
          <w:spacing w:val="-4"/>
          <w:sz w:val="20"/>
        </w:rPr>
        <w:t> </w:t>
      </w:r>
      <w:r>
        <w:rPr>
          <w:sz w:val="20"/>
        </w:rPr>
        <w:t>product</w:t>
      </w:r>
      <w:r>
        <w:rPr>
          <w:spacing w:val="-5"/>
          <w:sz w:val="20"/>
        </w:rPr>
        <w:t> </w:t>
      </w:r>
      <w:r>
        <w:rPr>
          <w:sz w:val="20"/>
        </w:rPr>
        <w:t>as</w:t>
      </w:r>
      <w:r>
        <w:rPr>
          <w:spacing w:val="-5"/>
          <w:sz w:val="20"/>
        </w:rPr>
        <w:t> </w:t>
      </w:r>
      <w:r>
        <w:rPr>
          <w:sz w:val="20"/>
        </w:rPr>
        <w:t>found</w:t>
      </w:r>
      <w:r>
        <w:rPr>
          <w:spacing w:val="-3"/>
          <w:sz w:val="20"/>
        </w:rPr>
        <w:t> </w:t>
      </w:r>
      <w:r>
        <w:rPr>
          <w:sz w:val="20"/>
        </w:rPr>
        <w:t>in</w:t>
      </w:r>
      <w:r>
        <w:rPr>
          <w:spacing w:val="-6"/>
          <w:sz w:val="20"/>
        </w:rPr>
        <w:t> </w:t>
      </w:r>
      <w:r>
        <w:rPr>
          <w:sz w:val="20"/>
        </w:rPr>
        <w:t>the</w:t>
      </w:r>
      <w:r>
        <w:rPr>
          <w:spacing w:val="-4"/>
          <w:sz w:val="20"/>
        </w:rPr>
        <w:t> </w:t>
      </w:r>
      <w:r>
        <w:rPr>
          <w:sz w:val="20"/>
        </w:rPr>
        <w:t>retail</w:t>
      </w:r>
      <w:r>
        <w:rPr>
          <w:spacing w:val="-2"/>
          <w:sz w:val="20"/>
        </w:rPr>
        <w:t> </w:t>
      </w:r>
      <w:r>
        <w:rPr>
          <w:sz w:val="20"/>
        </w:rPr>
        <w:t>marketing</w:t>
      </w:r>
      <w:r>
        <w:rPr>
          <w:spacing w:val="-6"/>
          <w:sz w:val="20"/>
        </w:rPr>
        <w:t> </w:t>
      </w:r>
      <w:r>
        <w:rPr>
          <w:sz w:val="20"/>
        </w:rPr>
        <w:t>chain</w:t>
      </w:r>
      <w:r>
        <w:rPr>
          <w:spacing w:val="-6"/>
          <w:sz w:val="20"/>
        </w:rPr>
        <w:t> </w:t>
      </w:r>
      <w:r>
        <w:rPr>
          <w:sz w:val="20"/>
        </w:rPr>
        <w:t>–</w:t>
      </w:r>
      <w:r>
        <w:rPr>
          <w:spacing w:val="-4"/>
          <w:sz w:val="20"/>
        </w:rPr>
        <w:t> </w:t>
      </w:r>
      <w:r>
        <w:rPr>
          <w:sz w:val="20"/>
        </w:rPr>
        <w:t>not</w:t>
      </w:r>
      <w:r>
        <w:rPr>
          <w:spacing w:val="-5"/>
          <w:sz w:val="20"/>
        </w:rPr>
        <w:t> </w:t>
      </w:r>
      <w:r>
        <w:rPr>
          <w:sz w:val="20"/>
        </w:rPr>
        <w:t>just</w:t>
      </w:r>
      <w:r>
        <w:rPr>
          <w:spacing w:val="-5"/>
          <w:sz w:val="20"/>
        </w:rPr>
        <w:t> </w:t>
      </w:r>
      <w:r>
        <w:rPr>
          <w:sz w:val="20"/>
        </w:rPr>
        <w:t>laboratory</w:t>
      </w:r>
      <w:r>
        <w:rPr>
          <w:spacing w:val="-6"/>
          <w:sz w:val="20"/>
        </w:rPr>
        <w:t> </w:t>
      </w:r>
      <w:r>
        <w:rPr>
          <w:sz w:val="20"/>
        </w:rPr>
        <w:t>mois- ture-loss</w:t>
      </w:r>
      <w:r>
        <w:rPr>
          <w:spacing w:val="-2"/>
          <w:sz w:val="20"/>
        </w:rPr>
        <w:t> </w:t>
      </w:r>
      <w:r>
        <w:rPr>
          <w:sz w:val="20"/>
        </w:rPr>
        <w:t>data.</w:t>
      </w:r>
    </w:p>
    <w:p>
      <w:pPr>
        <w:pStyle w:val="BodyText"/>
        <w:spacing w:before="8"/>
      </w:pPr>
    </w:p>
    <w:p>
      <w:pPr>
        <w:pStyle w:val="ListParagraph"/>
        <w:numPr>
          <w:ilvl w:val="3"/>
          <w:numId w:val="9"/>
        </w:numPr>
        <w:tabs>
          <w:tab w:pos="900" w:val="left" w:leader="none"/>
        </w:tabs>
        <w:spacing w:line="240" w:lineRule="auto" w:before="1" w:after="0"/>
        <w:ind w:left="899" w:right="418" w:hanging="360"/>
        <w:jc w:val="both"/>
        <w:rPr>
          <w:sz w:val="20"/>
        </w:rPr>
      </w:pPr>
      <w:r>
        <w:rPr>
          <w:sz w:val="20"/>
        </w:rPr>
        <w:t>The</w:t>
      </w:r>
      <w:r>
        <w:rPr>
          <w:spacing w:val="-10"/>
          <w:sz w:val="20"/>
        </w:rPr>
        <w:t> </w:t>
      </w:r>
      <w:r>
        <w:rPr>
          <w:sz w:val="20"/>
        </w:rPr>
        <w:t>industry</w:t>
      </w:r>
      <w:r>
        <w:rPr>
          <w:spacing w:val="-10"/>
          <w:sz w:val="20"/>
        </w:rPr>
        <w:t> </w:t>
      </w:r>
      <w:r>
        <w:rPr>
          <w:sz w:val="20"/>
        </w:rPr>
        <w:t>requesting</w:t>
      </w:r>
      <w:r>
        <w:rPr>
          <w:spacing w:val="-11"/>
          <w:sz w:val="20"/>
        </w:rPr>
        <w:t> </w:t>
      </w:r>
      <w:r>
        <w:rPr>
          <w:sz w:val="20"/>
        </w:rPr>
        <w:t>consideration</w:t>
      </w:r>
      <w:r>
        <w:rPr>
          <w:spacing w:val="-10"/>
          <w:sz w:val="20"/>
        </w:rPr>
        <w:t> </w:t>
      </w:r>
      <w:r>
        <w:rPr>
          <w:sz w:val="20"/>
        </w:rPr>
        <w:t>of</w:t>
      </w:r>
      <w:r>
        <w:rPr>
          <w:spacing w:val="-9"/>
          <w:sz w:val="20"/>
        </w:rPr>
        <w:t> </w:t>
      </w:r>
      <w:r>
        <w:rPr>
          <w:sz w:val="20"/>
        </w:rPr>
        <w:t>moisture</w:t>
      </w:r>
      <w:r>
        <w:rPr>
          <w:spacing w:val="-9"/>
          <w:sz w:val="20"/>
        </w:rPr>
        <w:t> </w:t>
      </w:r>
      <w:r>
        <w:rPr>
          <w:sz w:val="20"/>
        </w:rPr>
        <w:t>loss</w:t>
      </w:r>
      <w:r>
        <w:rPr>
          <w:spacing w:val="-10"/>
          <w:sz w:val="20"/>
        </w:rPr>
        <w:t> </w:t>
      </w:r>
      <w:r>
        <w:rPr>
          <w:sz w:val="20"/>
        </w:rPr>
        <w:t>for</w:t>
      </w:r>
      <w:r>
        <w:rPr>
          <w:spacing w:val="-9"/>
          <w:sz w:val="20"/>
        </w:rPr>
        <w:t> </w:t>
      </w:r>
      <w:r>
        <w:rPr>
          <w:sz w:val="20"/>
        </w:rPr>
        <w:t>its</w:t>
      </w:r>
      <w:r>
        <w:rPr>
          <w:spacing w:val="-8"/>
          <w:sz w:val="20"/>
        </w:rPr>
        <w:t> </w:t>
      </w:r>
      <w:r>
        <w:rPr>
          <w:sz w:val="20"/>
        </w:rPr>
        <w:t>product</w:t>
      </w:r>
      <w:r>
        <w:rPr>
          <w:spacing w:val="-10"/>
          <w:sz w:val="20"/>
        </w:rPr>
        <w:t> </w:t>
      </w:r>
      <w:r>
        <w:rPr>
          <w:sz w:val="20"/>
        </w:rPr>
        <w:t>should</w:t>
      </w:r>
      <w:r>
        <w:rPr>
          <w:spacing w:val="-8"/>
          <w:sz w:val="20"/>
        </w:rPr>
        <w:t> </w:t>
      </w:r>
      <w:r>
        <w:rPr>
          <w:sz w:val="20"/>
        </w:rPr>
        <w:t>collect</w:t>
      </w:r>
      <w:r>
        <w:rPr>
          <w:spacing w:val="-10"/>
          <w:sz w:val="20"/>
        </w:rPr>
        <w:t> </w:t>
      </w:r>
      <w:r>
        <w:rPr>
          <w:sz w:val="20"/>
        </w:rPr>
        <w:t>data</w:t>
      </w:r>
      <w:r>
        <w:rPr>
          <w:spacing w:val="-9"/>
          <w:sz w:val="20"/>
        </w:rPr>
        <w:t> </w:t>
      </w:r>
      <w:r>
        <w:rPr>
          <w:sz w:val="20"/>
        </w:rPr>
        <w:t>on</w:t>
      </w:r>
      <w:r>
        <w:rPr>
          <w:spacing w:val="-9"/>
          <w:sz w:val="20"/>
        </w:rPr>
        <w:t> </w:t>
      </w:r>
      <w:r>
        <w:rPr>
          <w:sz w:val="20"/>
        </w:rPr>
        <w:t>an</w:t>
      </w:r>
      <w:r>
        <w:rPr>
          <w:spacing w:val="-10"/>
          <w:sz w:val="20"/>
        </w:rPr>
        <w:t> </w:t>
      </w:r>
      <w:r>
        <w:rPr>
          <w:sz w:val="20"/>
        </w:rPr>
        <w:t>industry-wide basis (rather than from only one or two</w:t>
      </w:r>
      <w:r>
        <w:rPr>
          <w:spacing w:val="-3"/>
          <w:sz w:val="20"/>
        </w:rPr>
        <w:t> </w:t>
      </w:r>
      <w:r>
        <w:rPr>
          <w:sz w:val="20"/>
        </w:rPr>
        <w:t>companies).</w:t>
      </w:r>
    </w:p>
    <w:p>
      <w:pPr>
        <w:pStyle w:val="BodyText"/>
        <w:spacing w:before="10"/>
      </w:pPr>
    </w:p>
    <w:p>
      <w:pPr>
        <w:pStyle w:val="BodyText"/>
        <w:ind w:left="899" w:right="416"/>
        <w:jc w:val="both"/>
      </w:pPr>
      <w:r>
        <w:rPr/>
        <w:t>Information</w:t>
      </w:r>
      <w:r>
        <w:rPr>
          <w:spacing w:val="-15"/>
        </w:rPr>
        <w:t> </w:t>
      </w:r>
      <w:r>
        <w:rPr/>
        <w:t>concerning</w:t>
      </w:r>
      <w:r>
        <w:rPr>
          <w:spacing w:val="-14"/>
        </w:rPr>
        <w:t> </w:t>
      </w:r>
      <w:r>
        <w:rPr/>
        <w:t>the</w:t>
      </w:r>
      <w:r>
        <w:rPr>
          <w:spacing w:val="-13"/>
        </w:rPr>
        <w:t> </w:t>
      </w:r>
      <w:r>
        <w:rPr/>
        <w:t>relative</w:t>
      </w:r>
      <w:r>
        <w:rPr>
          <w:spacing w:val="-13"/>
        </w:rPr>
        <w:t> </w:t>
      </w:r>
      <w:r>
        <w:rPr/>
        <w:t>fractions</w:t>
      </w:r>
      <w:r>
        <w:rPr>
          <w:spacing w:val="-13"/>
        </w:rPr>
        <w:t> </w:t>
      </w:r>
      <w:r>
        <w:rPr/>
        <w:t>of</w:t>
      </w:r>
      <w:r>
        <w:rPr>
          <w:spacing w:val="-14"/>
        </w:rPr>
        <w:t> </w:t>
      </w:r>
      <w:r>
        <w:rPr/>
        <w:t>imported</w:t>
      </w:r>
      <w:r>
        <w:rPr>
          <w:spacing w:val="-12"/>
        </w:rPr>
        <w:t> </w:t>
      </w:r>
      <w:r>
        <w:rPr/>
        <w:t>and</w:t>
      </w:r>
      <w:r>
        <w:rPr>
          <w:spacing w:val="-12"/>
        </w:rPr>
        <w:t> </w:t>
      </w:r>
      <w:r>
        <w:rPr/>
        <w:t>domestically</w:t>
      </w:r>
      <w:r>
        <w:rPr>
          <w:spacing w:val="-16"/>
        </w:rPr>
        <w:t> </w:t>
      </w:r>
      <w:r>
        <w:rPr/>
        <w:t>produced</w:t>
      </w:r>
      <w:r>
        <w:rPr>
          <w:spacing w:val="-12"/>
        </w:rPr>
        <w:t> </w:t>
      </w:r>
      <w:r>
        <w:rPr/>
        <w:t>product</w:t>
      </w:r>
      <w:r>
        <w:rPr>
          <w:spacing w:val="-13"/>
        </w:rPr>
        <w:t> </w:t>
      </w:r>
      <w:r>
        <w:rPr/>
        <w:t>should</w:t>
      </w:r>
      <w:r>
        <w:rPr>
          <w:spacing w:val="-12"/>
        </w:rPr>
        <w:t> </w:t>
      </w:r>
      <w:r>
        <w:rPr/>
        <w:t>be</w:t>
      </w:r>
      <w:r>
        <w:rPr>
          <w:spacing w:val="-13"/>
        </w:rPr>
        <w:t> </w:t>
      </w:r>
      <w:r>
        <w:rPr/>
        <w:t>avail- able, for example, in order to assess the feasibility of interacting with the manufacturer on specific problem lots.</w:t>
      </w:r>
    </w:p>
    <w:p>
      <w:pPr>
        <w:pStyle w:val="BodyText"/>
        <w:rPr>
          <w:sz w:val="21"/>
        </w:rPr>
      </w:pPr>
    </w:p>
    <w:p>
      <w:pPr>
        <w:pStyle w:val="ListParagraph"/>
        <w:numPr>
          <w:ilvl w:val="3"/>
          <w:numId w:val="9"/>
        </w:numPr>
        <w:tabs>
          <w:tab w:pos="899" w:val="left" w:leader="none"/>
          <w:tab w:pos="900" w:val="left" w:leader="none"/>
        </w:tabs>
        <w:spacing w:line="240" w:lineRule="auto" w:before="0" w:after="0"/>
        <w:ind w:left="899" w:right="0" w:hanging="360"/>
        <w:jc w:val="left"/>
        <w:rPr>
          <w:sz w:val="20"/>
        </w:rPr>
      </w:pPr>
      <w:r>
        <w:rPr>
          <w:sz w:val="20"/>
        </w:rPr>
        <w:t>Moisture loss may occur</w:t>
      </w:r>
      <w:r>
        <w:rPr>
          <w:spacing w:val="1"/>
          <w:sz w:val="20"/>
        </w:rPr>
        <w:t> </w:t>
      </w:r>
      <w:r>
        <w:rPr>
          <w:sz w:val="20"/>
        </w:rPr>
        <w:t>either:</w:t>
      </w:r>
    </w:p>
    <w:p>
      <w:pPr>
        <w:pStyle w:val="BodyText"/>
        <w:spacing w:before="8"/>
      </w:pPr>
    </w:p>
    <w:p>
      <w:pPr>
        <w:pStyle w:val="ListParagraph"/>
        <w:numPr>
          <w:ilvl w:val="4"/>
          <w:numId w:val="9"/>
        </w:numPr>
        <w:tabs>
          <w:tab w:pos="1426" w:val="left" w:leader="none"/>
        </w:tabs>
        <w:spacing w:line="240" w:lineRule="auto" w:before="0" w:after="0"/>
        <w:ind w:left="1425" w:right="0" w:hanging="166"/>
        <w:jc w:val="left"/>
        <w:rPr>
          <w:sz w:val="20"/>
        </w:rPr>
      </w:pPr>
      <w:r>
        <w:rPr>
          <w:sz w:val="20"/>
        </w:rPr>
        <w:t>during manufacturing; or</w:t>
      </w:r>
    </w:p>
    <w:p>
      <w:pPr>
        <w:pStyle w:val="ListParagraph"/>
        <w:numPr>
          <w:ilvl w:val="4"/>
          <w:numId w:val="9"/>
        </w:numPr>
        <w:tabs>
          <w:tab w:pos="1425" w:val="left" w:leader="none"/>
        </w:tabs>
        <w:spacing w:line="240" w:lineRule="auto" w:before="1" w:after="0"/>
        <w:ind w:left="1425" w:right="0" w:hanging="166"/>
        <w:jc w:val="left"/>
        <w:rPr>
          <w:sz w:val="20"/>
        </w:rPr>
      </w:pPr>
      <w:r>
        <w:rPr>
          <w:sz w:val="20"/>
        </w:rPr>
        <w:t>during</w:t>
      </w:r>
      <w:r>
        <w:rPr>
          <w:spacing w:val="-2"/>
          <w:sz w:val="20"/>
        </w:rPr>
        <w:t> </w:t>
      </w:r>
      <w:r>
        <w:rPr>
          <w:sz w:val="20"/>
        </w:rPr>
        <w:t>distribution.</w:t>
      </w:r>
    </w:p>
    <w:p>
      <w:pPr>
        <w:pStyle w:val="BodyText"/>
        <w:spacing w:before="10"/>
      </w:pPr>
    </w:p>
    <w:p>
      <w:pPr>
        <w:pStyle w:val="BodyText"/>
        <w:ind w:left="899" w:right="421"/>
        <w:jc w:val="both"/>
      </w:pPr>
      <w:r>
        <w:rPr/>
        <w:t>Data</w:t>
      </w:r>
      <w:r>
        <w:rPr>
          <w:spacing w:val="-12"/>
        </w:rPr>
        <w:t> </w:t>
      </w:r>
      <w:r>
        <w:rPr/>
        <w:t>will</w:t>
      </w:r>
      <w:r>
        <w:rPr>
          <w:spacing w:val="-12"/>
        </w:rPr>
        <w:t> </w:t>
      </w:r>
      <w:r>
        <w:rPr/>
        <w:t>be</w:t>
      </w:r>
      <w:r>
        <w:rPr>
          <w:spacing w:val="-15"/>
        </w:rPr>
        <w:t> </w:t>
      </w:r>
      <w:r>
        <w:rPr/>
        <w:t>needed</w:t>
      </w:r>
      <w:r>
        <w:rPr>
          <w:spacing w:val="-13"/>
        </w:rPr>
        <w:t> </w:t>
      </w:r>
      <w:r>
        <w:rPr/>
        <w:t>to</w:t>
      </w:r>
      <w:r>
        <w:rPr>
          <w:spacing w:val="-14"/>
        </w:rPr>
        <w:t> </w:t>
      </w:r>
      <w:r>
        <w:rPr/>
        <w:t>show</w:t>
      </w:r>
      <w:r>
        <w:rPr>
          <w:spacing w:val="-16"/>
        </w:rPr>
        <w:t> </w:t>
      </w:r>
      <w:r>
        <w:rPr/>
        <w:t>the</w:t>
      </w:r>
      <w:r>
        <w:rPr>
          <w:spacing w:val="-14"/>
        </w:rPr>
        <w:t> </w:t>
      </w:r>
      <w:r>
        <w:rPr/>
        <w:t>relative</w:t>
      </w:r>
      <w:r>
        <w:rPr>
          <w:spacing w:val="-14"/>
        </w:rPr>
        <w:t> </w:t>
      </w:r>
      <w:r>
        <w:rPr/>
        <w:t>proportion</w:t>
      </w:r>
      <w:r>
        <w:rPr>
          <w:spacing w:val="-16"/>
        </w:rPr>
        <w:t> </w:t>
      </w:r>
      <w:r>
        <w:rPr/>
        <w:t>of</w:t>
      </w:r>
      <w:r>
        <w:rPr>
          <w:spacing w:val="-13"/>
        </w:rPr>
        <w:t> </w:t>
      </w:r>
      <w:r>
        <w:rPr/>
        <w:t>moisture</w:t>
      </w:r>
      <w:r>
        <w:rPr>
          <w:spacing w:val="-14"/>
        </w:rPr>
        <w:t> </w:t>
      </w:r>
      <w:r>
        <w:rPr/>
        <w:t>loss</w:t>
      </w:r>
      <w:r>
        <w:rPr>
          <w:spacing w:val="-16"/>
        </w:rPr>
        <w:t> </w:t>
      </w:r>
      <w:r>
        <w:rPr/>
        <w:t>in</w:t>
      </w:r>
      <w:r>
        <w:rPr>
          <w:spacing w:val="-15"/>
        </w:rPr>
        <w:t> </w:t>
      </w:r>
      <w:r>
        <w:rPr/>
        <w:t>these</w:t>
      </w:r>
      <w:r>
        <w:rPr>
          <w:spacing w:val="-11"/>
        </w:rPr>
        <w:t> </w:t>
      </w:r>
      <w:r>
        <w:rPr/>
        <w:t>different</w:t>
      </w:r>
      <w:r>
        <w:rPr>
          <w:spacing w:val="-15"/>
        </w:rPr>
        <w:t> </w:t>
      </w:r>
      <w:r>
        <w:rPr/>
        <w:t>locations</w:t>
      </w:r>
      <w:r>
        <w:rPr>
          <w:spacing w:val="-15"/>
        </w:rPr>
        <w:t> </w:t>
      </w:r>
      <w:r>
        <w:rPr/>
        <w:t>since</w:t>
      </w:r>
      <w:r>
        <w:rPr>
          <w:spacing w:val="-10"/>
        </w:rPr>
        <w:t> </w:t>
      </w:r>
      <w:r>
        <w:rPr/>
        <w:t>moisture loss is permitted only under good distribution practices. Geographical and seasonal variations may</w:t>
      </w:r>
      <w:r>
        <w:rPr>
          <w:spacing w:val="-37"/>
        </w:rPr>
        <w:t> </w:t>
      </w:r>
      <w:r>
        <w:rPr/>
        <w:t>apply.</w:t>
      </w:r>
    </w:p>
    <w:p>
      <w:pPr>
        <w:pStyle w:val="BodyText"/>
        <w:spacing w:before="11"/>
      </w:pPr>
    </w:p>
    <w:p>
      <w:pPr>
        <w:pStyle w:val="ListParagraph"/>
        <w:numPr>
          <w:ilvl w:val="3"/>
          <w:numId w:val="9"/>
        </w:numPr>
        <w:tabs>
          <w:tab w:pos="900" w:val="left" w:leader="none"/>
        </w:tabs>
        <w:spacing w:line="240" w:lineRule="auto" w:before="0" w:after="0"/>
        <w:ind w:left="899" w:right="419" w:hanging="360"/>
        <w:jc w:val="both"/>
        <w:rPr>
          <w:sz w:val="20"/>
        </w:rPr>
      </w:pPr>
      <w:r>
        <w:rPr>
          <w:sz w:val="20"/>
        </w:rPr>
        <w:t>A</w:t>
      </w:r>
      <w:r>
        <w:rPr>
          <w:spacing w:val="-7"/>
          <w:sz w:val="20"/>
        </w:rPr>
        <w:t> </w:t>
      </w:r>
      <w:r>
        <w:rPr>
          <w:sz w:val="20"/>
        </w:rPr>
        <w:t>description</w:t>
      </w:r>
      <w:r>
        <w:rPr>
          <w:spacing w:val="-6"/>
          <w:sz w:val="20"/>
        </w:rPr>
        <w:t> </w:t>
      </w:r>
      <w:r>
        <w:rPr>
          <w:sz w:val="20"/>
        </w:rPr>
        <w:t>of</w:t>
      </w:r>
      <w:r>
        <w:rPr>
          <w:spacing w:val="-5"/>
          <w:sz w:val="20"/>
        </w:rPr>
        <w:t> </w:t>
      </w:r>
      <w:r>
        <w:rPr>
          <w:sz w:val="20"/>
        </w:rPr>
        <w:t>the</w:t>
      </w:r>
      <w:r>
        <w:rPr>
          <w:spacing w:val="-4"/>
          <w:sz w:val="20"/>
        </w:rPr>
        <w:t> </w:t>
      </w:r>
      <w:r>
        <w:rPr>
          <w:sz w:val="20"/>
        </w:rPr>
        <w:t>processing</w:t>
      </w:r>
      <w:r>
        <w:rPr>
          <w:spacing w:val="-5"/>
          <w:sz w:val="20"/>
        </w:rPr>
        <w:t> </w:t>
      </w:r>
      <w:r>
        <w:rPr>
          <w:sz w:val="20"/>
        </w:rPr>
        <w:t>and</w:t>
      </w:r>
      <w:r>
        <w:rPr>
          <w:spacing w:val="-3"/>
          <w:sz w:val="20"/>
        </w:rPr>
        <w:t> </w:t>
      </w:r>
      <w:r>
        <w:rPr>
          <w:sz w:val="20"/>
        </w:rPr>
        <w:t>packaging</w:t>
      </w:r>
      <w:r>
        <w:rPr>
          <w:spacing w:val="-3"/>
          <w:sz w:val="20"/>
        </w:rPr>
        <w:t> </w:t>
      </w:r>
      <w:r>
        <w:rPr>
          <w:sz w:val="20"/>
        </w:rPr>
        <w:t>methods</w:t>
      </w:r>
      <w:r>
        <w:rPr>
          <w:spacing w:val="-4"/>
          <w:sz w:val="20"/>
        </w:rPr>
        <w:t> </w:t>
      </w:r>
      <w:r>
        <w:rPr>
          <w:sz w:val="20"/>
        </w:rPr>
        <w:t>in</w:t>
      </w:r>
      <w:r>
        <w:rPr>
          <w:spacing w:val="-6"/>
          <w:sz w:val="20"/>
        </w:rPr>
        <w:t> </w:t>
      </w:r>
      <w:r>
        <w:rPr>
          <w:sz w:val="20"/>
        </w:rPr>
        <w:t>use</w:t>
      </w:r>
      <w:r>
        <w:rPr>
          <w:spacing w:val="-4"/>
          <w:sz w:val="20"/>
        </w:rPr>
        <w:t> </w:t>
      </w:r>
      <w:r>
        <w:rPr>
          <w:sz w:val="20"/>
        </w:rPr>
        <w:t>in</w:t>
      </w:r>
      <w:r>
        <w:rPr>
          <w:spacing w:val="-5"/>
          <w:sz w:val="20"/>
        </w:rPr>
        <w:t> </w:t>
      </w:r>
      <w:r>
        <w:rPr>
          <w:sz w:val="20"/>
        </w:rPr>
        <w:t>the</w:t>
      </w:r>
      <w:r>
        <w:rPr>
          <w:spacing w:val="-4"/>
          <w:sz w:val="20"/>
        </w:rPr>
        <w:t> </w:t>
      </w:r>
      <w:r>
        <w:rPr>
          <w:sz w:val="20"/>
        </w:rPr>
        <w:t>industry</w:t>
      </w:r>
      <w:r>
        <w:rPr>
          <w:spacing w:val="-5"/>
          <w:sz w:val="20"/>
        </w:rPr>
        <w:t> </w:t>
      </w:r>
      <w:r>
        <w:rPr>
          <w:sz w:val="20"/>
        </w:rPr>
        <w:t>will</w:t>
      </w:r>
      <w:r>
        <w:rPr>
          <w:spacing w:val="-5"/>
          <w:sz w:val="20"/>
        </w:rPr>
        <w:t> </w:t>
      </w:r>
      <w:r>
        <w:rPr>
          <w:sz w:val="20"/>
        </w:rPr>
        <w:t>be</w:t>
      </w:r>
      <w:r>
        <w:rPr>
          <w:spacing w:val="-4"/>
          <w:sz w:val="20"/>
        </w:rPr>
        <w:t> </w:t>
      </w:r>
      <w:r>
        <w:rPr>
          <w:sz w:val="20"/>
        </w:rPr>
        <w:t>of</w:t>
      </w:r>
      <w:r>
        <w:rPr>
          <w:spacing w:val="-5"/>
          <w:sz w:val="20"/>
        </w:rPr>
        <w:t> </w:t>
      </w:r>
      <w:r>
        <w:rPr>
          <w:sz w:val="20"/>
        </w:rPr>
        <w:t>great</w:t>
      </w:r>
      <w:r>
        <w:rPr>
          <w:spacing w:val="-5"/>
          <w:sz w:val="20"/>
        </w:rPr>
        <w:t> </w:t>
      </w:r>
      <w:r>
        <w:rPr>
          <w:sz w:val="20"/>
        </w:rPr>
        <w:t>value,</w:t>
      </w:r>
      <w:r>
        <w:rPr>
          <w:spacing w:val="-3"/>
          <w:sz w:val="20"/>
        </w:rPr>
        <w:t> </w:t>
      </w:r>
      <w:r>
        <w:rPr>
          <w:sz w:val="20"/>
        </w:rPr>
        <w:t>as</w:t>
      </w:r>
      <w:r>
        <w:rPr>
          <w:spacing w:val="-3"/>
          <w:sz w:val="20"/>
        </w:rPr>
        <w:t> </w:t>
      </w:r>
      <w:r>
        <w:rPr>
          <w:sz w:val="20"/>
        </w:rPr>
        <w:t>will</w:t>
      </w:r>
      <w:r>
        <w:rPr>
          <w:spacing w:val="-2"/>
          <w:sz w:val="20"/>
        </w:rPr>
        <w:t> </w:t>
      </w:r>
      <w:r>
        <w:rPr>
          <w:sz w:val="20"/>
        </w:rPr>
        <w:t>a description of the distribution system and time for manufacturing and distribution. A description of the existing</w:t>
      </w:r>
      <w:r>
        <w:rPr>
          <w:spacing w:val="-16"/>
          <w:sz w:val="20"/>
        </w:rPr>
        <w:t> </w:t>
      </w:r>
      <w:r>
        <w:rPr>
          <w:sz w:val="20"/>
        </w:rPr>
        <w:t>net</w:t>
      </w:r>
      <w:r>
        <w:rPr>
          <w:spacing w:val="-15"/>
          <w:sz w:val="20"/>
        </w:rPr>
        <w:t> </w:t>
      </w:r>
      <w:r>
        <w:rPr>
          <w:sz w:val="20"/>
        </w:rPr>
        <w:t>quantity</w:t>
      </w:r>
      <w:r>
        <w:rPr>
          <w:spacing w:val="-18"/>
          <w:sz w:val="20"/>
        </w:rPr>
        <w:t> </w:t>
      </w:r>
      <w:r>
        <w:rPr>
          <w:sz w:val="20"/>
        </w:rPr>
        <w:t>control</w:t>
      </w:r>
      <w:r>
        <w:rPr>
          <w:spacing w:val="-15"/>
          <w:sz w:val="20"/>
        </w:rPr>
        <w:t> </w:t>
      </w:r>
      <w:r>
        <w:rPr>
          <w:sz w:val="20"/>
        </w:rPr>
        <w:t>programs</w:t>
      </w:r>
      <w:r>
        <w:rPr>
          <w:spacing w:val="-15"/>
          <w:sz w:val="20"/>
        </w:rPr>
        <w:t> </w:t>
      </w:r>
      <w:r>
        <w:rPr>
          <w:sz w:val="20"/>
        </w:rPr>
        <w:t>in</w:t>
      </w:r>
      <w:r>
        <w:rPr>
          <w:spacing w:val="-16"/>
          <w:sz w:val="20"/>
        </w:rPr>
        <w:t> </w:t>
      </w:r>
      <w:r>
        <w:rPr>
          <w:sz w:val="20"/>
        </w:rPr>
        <w:t>place</w:t>
      </w:r>
      <w:r>
        <w:rPr>
          <w:spacing w:val="-14"/>
          <w:sz w:val="20"/>
        </w:rPr>
        <w:t> </w:t>
      </w:r>
      <w:r>
        <w:rPr>
          <w:sz w:val="20"/>
        </w:rPr>
        <w:t>should</w:t>
      </w:r>
      <w:r>
        <w:rPr>
          <w:spacing w:val="-14"/>
          <w:sz w:val="20"/>
        </w:rPr>
        <w:t> </w:t>
      </w:r>
      <w:r>
        <w:rPr>
          <w:sz w:val="20"/>
        </w:rPr>
        <w:t>be</w:t>
      </w:r>
      <w:r>
        <w:rPr>
          <w:spacing w:val="-15"/>
          <w:sz w:val="20"/>
        </w:rPr>
        <w:t> </w:t>
      </w:r>
      <w:r>
        <w:rPr>
          <w:sz w:val="20"/>
        </w:rPr>
        <w:t>given,</w:t>
      </w:r>
      <w:r>
        <w:rPr>
          <w:spacing w:val="-13"/>
          <w:sz w:val="20"/>
        </w:rPr>
        <w:t> </w:t>
      </w:r>
      <w:r>
        <w:rPr>
          <w:sz w:val="20"/>
        </w:rPr>
        <w:t>together</w:t>
      </w:r>
      <w:r>
        <w:rPr>
          <w:spacing w:val="-12"/>
          <w:sz w:val="20"/>
        </w:rPr>
        <w:t> </w:t>
      </w:r>
      <w:r>
        <w:rPr>
          <w:sz w:val="20"/>
        </w:rPr>
        <w:t>with</w:t>
      </w:r>
      <w:r>
        <w:rPr>
          <w:spacing w:val="-16"/>
          <w:sz w:val="20"/>
        </w:rPr>
        <w:t> </w:t>
      </w:r>
      <w:r>
        <w:rPr>
          <w:sz w:val="20"/>
        </w:rPr>
        <w:t>information</w:t>
      </w:r>
      <w:r>
        <w:rPr>
          <w:spacing w:val="-15"/>
          <w:sz w:val="20"/>
        </w:rPr>
        <w:t> </w:t>
      </w:r>
      <w:r>
        <w:rPr>
          <w:sz w:val="20"/>
        </w:rPr>
        <w:t>on</w:t>
      </w:r>
      <w:r>
        <w:rPr>
          <w:spacing w:val="-16"/>
          <w:sz w:val="20"/>
        </w:rPr>
        <w:t> </w:t>
      </w:r>
      <w:r>
        <w:rPr>
          <w:sz w:val="20"/>
        </w:rPr>
        <w:t>how</w:t>
      </w:r>
      <w:r>
        <w:rPr>
          <w:spacing w:val="-16"/>
          <w:sz w:val="20"/>
        </w:rPr>
        <w:t> </w:t>
      </w:r>
      <w:r>
        <w:rPr>
          <w:sz w:val="20"/>
        </w:rPr>
        <w:t>compliance with Handbook 133 is obtained. A description of maintenance and inspection procedures for the scales should be provided, together with information on suitability of equipment and other measurements under Handbook</w:t>
      </w:r>
      <w:r>
        <w:rPr>
          <w:spacing w:val="-1"/>
          <w:sz w:val="20"/>
        </w:rPr>
        <w:t> </w:t>
      </w:r>
      <w:r>
        <w:rPr>
          <w:sz w:val="20"/>
        </w:rPr>
        <w:t>44.</w:t>
      </w:r>
    </w:p>
    <w:p>
      <w:pPr>
        <w:pStyle w:val="BodyText"/>
        <w:spacing w:before="10"/>
      </w:pPr>
    </w:p>
    <w:p>
      <w:pPr>
        <w:pStyle w:val="ListParagraph"/>
        <w:numPr>
          <w:ilvl w:val="3"/>
          <w:numId w:val="9"/>
        </w:numPr>
        <w:tabs>
          <w:tab w:pos="900" w:val="left" w:leader="none"/>
        </w:tabs>
        <w:spacing w:line="240" w:lineRule="auto" w:before="0" w:after="0"/>
        <w:ind w:left="899" w:right="415" w:hanging="360"/>
        <w:jc w:val="both"/>
        <w:rPr>
          <w:sz w:val="20"/>
        </w:rPr>
      </w:pPr>
      <w:r>
        <w:rPr>
          <w:sz w:val="20"/>
        </w:rPr>
        <w:t>A description of federal and local agency jurisdiction and test should be given, as well as any regulatory history</w:t>
      </w:r>
      <w:r>
        <w:rPr>
          <w:spacing w:val="-8"/>
          <w:sz w:val="20"/>
        </w:rPr>
        <w:t> </w:t>
      </w:r>
      <w:r>
        <w:rPr>
          <w:sz w:val="20"/>
        </w:rPr>
        <w:t>with</w:t>
      </w:r>
      <w:r>
        <w:rPr>
          <w:spacing w:val="-10"/>
          <w:sz w:val="20"/>
        </w:rPr>
        <w:t> </w:t>
      </w:r>
      <w:r>
        <w:rPr>
          <w:sz w:val="20"/>
        </w:rPr>
        <w:t>respect</w:t>
      </w:r>
      <w:r>
        <w:rPr>
          <w:spacing w:val="-8"/>
          <w:sz w:val="20"/>
        </w:rPr>
        <w:t> </w:t>
      </w:r>
      <w:r>
        <w:rPr>
          <w:sz w:val="20"/>
        </w:rPr>
        <w:t>to</w:t>
      </w:r>
      <w:r>
        <w:rPr>
          <w:spacing w:val="-5"/>
          <w:sz w:val="20"/>
        </w:rPr>
        <w:t> </w:t>
      </w:r>
      <w:r>
        <w:rPr>
          <w:sz w:val="20"/>
        </w:rPr>
        <w:t>moisture</w:t>
      </w:r>
      <w:r>
        <w:rPr>
          <w:spacing w:val="-8"/>
          <w:sz w:val="20"/>
        </w:rPr>
        <w:t> </w:t>
      </w:r>
      <w:r>
        <w:rPr>
          <w:sz w:val="20"/>
        </w:rPr>
        <w:t>loss</w:t>
      </w:r>
      <w:r>
        <w:rPr>
          <w:spacing w:val="-9"/>
          <w:sz w:val="20"/>
        </w:rPr>
        <w:t> </w:t>
      </w:r>
      <w:r>
        <w:rPr>
          <w:sz w:val="20"/>
        </w:rPr>
        <w:t>and</w:t>
      </w:r>
      <w:r>
        <w:rPr>
          <w:spacing w:val="-8"/>
          <w:sz w:val="20"/>
        </w:rPr>
        <w:t> </w:t>
      </w:r>
      <w:r>
        <w:rPr>
          <w:sz w:val="20"/>
        </w:rPr>
        <w:t>short</w:t>
      </w:r>
      <w:r>
        <w:rPr>
          <w:spacing w:val="-7"/>
          <w:sz w:val="20"/>
        </w:rPr>
        <w:t> </w:t>
      </w:r>
      <w:r>
        <w:rPr>
          <w:sz w:val="20"/>
        </w:rPr>
        <w:t>weight.</w:t>
      </w:r>
      <w:r>
        <w:rPr>
          <w:spacing w:val="34"/>
          <w:sz w:val="20"/>
        </w:rPr>
        <w:t> </w:t>
      </w:r>
      <w:r>
        <w:rPr>
          <w:sz w:val="20"/>
        </w:rPr>
        <w:t>Has</w:t>
      </w:r>
      <w:r>
        <w:rPr>
          <w:spacing w:val="-7"/>
          <w:sz w:val="20"/>
        </w:rPr>
        <w:t> </w:t>
      </w:r>
      <w:r>
        <w:rPr>
          <w:sz w:val="20"/>
        </w:rPr>
        <w:t>weights</w:t>
      </w:r>
      <w:r>
        <w:rPr>
          <w:spacing w:val="-9"/>
          <w:sz w:val="20"/>
        </w:rPr>
        <w:t> </w:t>
      </w:r>
      <w:r>
        <w:rPr>
          <w:sz w:val="20"/>
        </w:rPr>
        <w:t>and</w:t>
      </w:r>
      <w:r>
        <w:rPr>
          <w:spacing w:val="-5"/>
          <w:sz w:val="20"/>
        </w:rPr>
        <w:t> </w:t>
      </w:r>
      <w:r>
        <w:rPr>
          <w:sz w:val="20"/>
        </w:rPr>
        <w:t>measures</w:t>
      </w:r>
      <w:r>
        <w:rPr>
          <w:spacing w:val="-9"/>
          <w:sz w:val="20"/>
        </w:rPr>
        <w:t> </w:t>
      </w:r>
      <w:r>
        <w:rPr>
          <w:sz w:val="20"/>
        </w:rPr>
        <w:t>enforcement</w:t>
      </w:r>
      <w:r>
        <w:rPr>
          <w:spacing w:val="-9"/>
          <w:sz w:val="20"/>
        </w:rPr>
        <w:t> </w:t>
      </w:r>
      <w:r>
        <w:rPr>
          <w:sz w:val="20"/>
        </w:rPr>
        <w:t>generated</w:t>
      </w:r>
      <w:r>
        <w:rPr>
          <w:spacing w:val="-8"/>
          <w:sz w:val="20"/>
        </w:rPr>
        <w:t> </w:t>
      </w:r>
      <w:r>
        <w:rPr>
          <w:sz w:val="20"/>
        </w:rPr>
        <w:t>the request? What efforts have addressed the moisture loss issue prior to approaching the NCWM? Are the appropriate federal agencies aware of the industry’s request to the</w:t>
      </w:r>
      <w:r>
        <w:rPr>
          <w:spacing w:val="-9"/>
          <w:sz w:val="20"/>
        </w:rPr>
        <w:t> </w:t>
      </w:r>
      <w:r>
        <w:rPr>
          <w:sz w:val="20"/>
        </w:rPr>
        <w:t>NCWM?</w:t>
      </w:r>
    </w:p>
    <w:p>
      <w:pPr>
        <w:pStyle w:val="BodyText"/>
        <w:spacing w:before="10"/>
      </w:pPr>
    </w:p>
    <w:p>
      <w:pPr>
        <w:pStyle w:val="ListParagraph"/>
        <w:numPr>
          <w:ilvl w:val="3"/>
          <w:numId w:val="9"/>
        </w:numPr>
        <w:tabs>
          <w:tab w:pos="900" w:val="left" w:leader="none"/>
        </w:tabs>
        <w:spacing w:line="240" w:lineRule="auto" w:before="0" w:after="0"/>
        <w:ind w:left="898" w:right="418" w:hanging="359"/>
        <w:jc w:val="both"/>
        <w:rPr>
          <w:sz w:val="20"/>
        </w:rPr>
      </w:pPr>
      <w:r>
        <w:rPr>
          <w:sz w:val="20"/>
        </w:rPr>
        <w:t>The industry should propose the type of compliance system and/or moisture determination methodology to be used. The compliance scheme, if it contains industry data components, should be susceptible to verifica- tion (examples: USDA net weight tests for meat; exchange of samples with millers for flour) and should state what the companies will do to provide data to field inspection agencies in an ongoing fashion (as the gray-area</w:t>
      </w:r>
      <w:r>
        <w:rPr>
          <w:spacing w:val="-13"/>
          <w:sz w:val="20"/>
        </w:rPr>
        <w:t> </w:t>
      </w:r>
      <w:r>
        <w:rPr>
          <w:sz w:val="20"/>
        </w:rPr>
        <w:t>approach</w:t>
      </w:r>
      <w:r>
        <w:rPr>
          <w:spacing w:val="-15"/>
          <w:sz w:val="20"/>
        </w:rPr>
        <w:t> </w:t>
      </w:r>
      <w:r>
        <w:rPr>
          <w:sz w:val="20"/>
        </w:rPr>
        <w:t>requires).</w:t>
      </w:r>
      <w:r>
        <w:rPr>
          <w:spacing w:val="22"/>
          <w:sz w:val="20"/>
        </w:rPr>
        <w:t> </w:t>
      </w:r>
      <w:r>
        <w:rPr>
          <w:sz w:val="20"/>
        </w:rPr>
        <w:t>If</w:t>
      </w:r>
      <w:r>
        <w:rPr>
          <w:spacing w:val="-15"/>
          <w:sz w:val="20"/>
        </w:rPr>
        <w:t> </w:t>
      </w:r>
      <w:r>
        <w:rPr>
          <w:sz w:val="20"/>
        </w:rPr>
        <w:t>in-plant</w:t>
      </w:r>
      <w:r>
        <w:rPr>
          <w:spacing w:val="-13"/>
          <w:sz w:val="20"/>
        </w:rPr>
        <w:t> </w:t>
      </w:r>
      <w:r>
        <w:rPr>
          <w:sz w:val="20"/>
        </w:rPr>
        <w:t>testing</w:t>
      </w:r>
      <w:r>
        <w:rPr>
          <w:spacing w:val="-15"/>
          <w:sz w:val="20"/>
        </w:rPr>
        <w:t> </w:t>
      </w:r>
      <w:r>
        <w:rPr>
          <w:sz w:val="20"/>
        </w:rPr>
        <w:t>is</w:t>
      </w:r>
      <w:r>
        <w:rPr>
          <w:spacing w:val="-14"/>
          <w:sz w:val="20"/>
        </w:rPr>
        <w:t> </w:t>
      </w:r>
      <w:r>
        <w:rPr>
          <w:sz w:val="20"/>
        </w:rPr>
        <w:t>to</w:t>
      </w:r>
      <w:r>
        <w:rPr>
          <w:spacing w:val="-11"/>
          <w:sz w:val="20"/>
        </w:rPr>
        <w:t> </w:t>
      </w:r>
      <w:r>
        <w:rPr>
          <w:sz w:val="20"/>
        </w:rPr>
        <w:t>be</w:t>
      </w:r>
      <w:r>
        <w:rPr>
          <w:spacing w:val="-16"/>
          <w:sz w:val="20"/>
        </w:rPr>
        <w:t> </w:t>
      </w:r>
      <w:r>
        <w:rPr>
          <w:sz w:val="20"/>
        </w:rPr>
        <w:t>combined</w:t>
      </w:r>
      <w:r>
        <w:rPr>
          <w:spacing w:val="-10"/>
          <w:sz w:val="20"/>
        </w:rPr>
        <w:t> </w:t>
      </w:r>
      <w:r>
        <w:rPr>
          <w:sz w:val="20"/>
        </w:rPr>
        <w:t>with</w:t>
      </w:r>
      <w:r>
        <w:rPr>
          <w:spacing w:val="-14"/>
          <w:sz w:val="20"/>
        </w:rPr>
        <w:t> </w:t>
      </w:r>
      <w:r>
        <w:rPr>
          <w:sz w:val="20"/>
        </w:rPr>
        <w:t>field</w:t>
      </w:r>
      <w:r>
        <w:rPr>
          <w:spacing w:val="-12"/>
          <w:sz w:val="20"/>
        </w:rPr>
        <w:t> </w:t>
      </w:r>
      <w:r>
        <w:rPr>
          <w:sz w:val="20"/>
        </w:rPr>
        <w:t>testing,</w:t>
      </w:r>
      <w:r>
        <w:rPr>
          <w:spacing w:val="-11"/>
          <w:sz w:val="20"/>
        </w:rPr>
        <w:t> </w:t>
      </w:r>
      <w:r>
        <w:rPr>
          <w:sz w:val="20"/>
        </w:rPr>
        <w:t>who</w:t>
      </w:r>
      <w:r>
        <w:rPr>
          <w:spacing w:val="-12"/>
          <w:sz w:val="20"/>
        </w:rPr>
        <w:t> </w:t>
      </w:r>
      <w:r>
        <w:rPr>
          <w:sz w:val="20"/>
        </w:rPr>
        <w:t>is</w:t>
      </w:r>
      <w:r>
        <w:rPr>
          <w:spacing w:val="-14"/>
          <w:sz w:val="20"/>
        </w:rPr>
        <w:t> </w:t>
      </w:r>
      <w:r>
        <w:rPr>
          <w:sz w:val="20"/>
        </w:rPr>
        <w:t>to</w:t>
      </w:r>
      <w:r>
        <w:rPr>
          <w:spacing w:val="-12"/>
          <w:sz w:val="20"/>
        </w:rPr>
        <w:t> </w:t>
      </w:r>
      <w:r>
        <w:rPr>
          <w:sz w:val="20"/>
        </w:rPr>
        <w:t>do</w:t>
      </w:r>
      <w:r>
        <w:rPr>
          <w:spacing w:val="-12"/>
          <w:sz w:val="20"/>
        </w:rPr>
        <w:t> </w:t>
      </w:r>
      <w:r>
        <w:rPr>
          <w:sz w:val="20"/>
        </w:rPr>
        <w:t>such</w:t>
      </w:r>
      <w:r>
        <w:rPr>
          <w:spacing w:val="-14"/>
          <w:sz w:val="20"/>
        </w:rPr>
        <w:t> </w:t>
      </w:r>
      <w:r>
        <w:rPr>
          <w:sz w:val="20"/>
        </w:rPr>
        <w:t>testing, and how is this to be accomplished? It should be possible to incorporate the proposed testing scheme into Handbook 133 to be used with Category A or B sampling</w:t>
      </w:r>
      <w:r>
        <w:rPr>
          <w:spacing w:val="-2"/>
          <w:sz w:val="20"/>
        </w:rPr>
        <w:t> </w:t>
      </w:r>
      <w:r>
        <w:rPr>
          <w:sz w:val="20"/>
        </w:rPr>
        <w:t>plans.</w:t>
      </w:r>
    </w:p>
    <w:p>
      <w:pPr>
        <w:pStyle w:val="BodyText"/>
        <w:spacing w:before="11"/>
      </w:pPr>
    </w:p>
    <w:p>
      <w:pPr>
        <w:pStyle w:val="BodyText"/>
        <w:ind w:left="178" w:right="337"/>
      </w:pPr>
      <w:r>
        <w:rPr/>
        <w:t>When all the preliminary information recommended above has been collected, a field test of the proposed compliance scheme should be conducted by weights and measures enforcement officials to prove its viability.</w:t>
      </w:r>
    </w:p>
    <w:p>
      <w:pPr>
        <w:pStyle w:val="BodyText"/>
        <w:spacing w:before="10"/>
      </w:pPr>
    </w:p>
    <w:p>
      <w:pPr>
        <w:pStyle w:val="BodyText"/>
        <w:spacing w:before="1"/>
        <w:ind w:left="178"/>
      </w:pPr>
      <w:r>
        <w:rPr/>
        <w:t>See the plan diagrammed on the next page.</w:t>
      </w:r>
    </w:p>
    <w:p>
      <w:pPr>
        <w:spacing w:after="0"/>
        <w:sectPr>
          <w:pgSz w:w="12240" w:h="15840"/>
          <w:pgMar w:header="730" w:footer="741" w:top="1340" w:bottom="940" w:left="1260" w:right="1020"/>
        </w:sectPr>
      </w:pPr>
    </w:p>
    <w:p>
      <w:pPr>
        <w:pStyle w:val="BodyText"/>
      </w:pPr>
      <w:r>
        <w:rPr/>
        <w:pict>
          <v:shape style="position:absolute;margin-left:365.658508pt;margin-top:510.782043pt;width:39.75pt;height:101.45pt;mso-position-horizontal-relative:page;mso-position-vertical-relative:page;z-index:-99208" type="#_x0000_t202" filled="false" stroked="false">
            <v:textbox inset="0,0,0,0">
              <w:txbxContent>
                <w:p>
                  <w:pPr>
                    <w:spacing w:line="249" w:lineRule="auto" w:before="0"/>
                    <w:ind w:left="0" w:right="12" w:firstLine="177"/>
                    <w:jc w:val="left"/>
                    <w:rPr>
                      <w:rFonts w:ascii="Arial"/>
                      <w:sz w:val="17"/>
                    </w:rPr>
                  </w:pPr>
                  <w:r>
                    <w:rPr>
                      <w:rFonts w:ascii="Arial"/>
                      <w:sz w:val="17"/>
                    </w:rPr>
                    <w:t>Amount Suitability</w: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10"/>
                    <w:rPr>
                      <w:rFonts w:ascii="Arial"/>
                      <w:b/>
                      <w:sz w:val="15"/>
                    </w:rPr>
                  </w:pPr>
                </w:p>
                <w:p>
                  <w:pPr>
                    <w:spacing w:before="1"/>
                    <w:ind w:left="185" w:right="0" w:firstLine="0"/>
                    <w:jc w:val="left"/>
                    <w:rPr>
                      <w:rFonts w:ascii="Arial"/>
                      <w:sz w:val="17"/>
                    </w:rPr>
                  </w:pPr>
                  <w:r>
                    <w:rPr>
                      <w:rFonts w:ascii="Arial"/>
                      <w:sz w:val="17"/>
                    </w:rPr>
                    <w:t>Adopt </w:t>
                  </w:r>
                  <w:r>
                    <w:rPr>
                      <w:rFonts w:ascii="Arial"/>
                      <w:spacing w:val="-17"/>
                      <w:sz w:val="17"/>
                    </w:rPr>
                    <w:t>C</w:t>
                  </w:r>
                </w:p>
              </w:txbxContent>
            </v:textbox>
            <w10:wrap type="none"/>
          </v:shape>
        </w:pict>
      </w:r>
      <w:r>
        <w:rPr/>
        <w:pict>
          <v:group style="position:absolute;margin-left:347.798492pt;margin-top:456.745483pt;width:182.5pt;height:174.55pt;mso-position-horizontal-relative:page;mso-position-vertical-relative:page;z-index:-98968" coordorigin="6956,9135" coordsize="3650,3491">
            <v:shape style="position:absolute;left:119;top:15892;width:55;height:48" coordorigin="120,15893" coordsize="55,48" path="m7260,10933l10595,10933,10595,9710,7260,9710,7260,10933xm7260,12615l10292,12615,10292,11698,7260,11698,7260,12615xe" filled="false" stroked="true" strokeweight="1.035168pt" strokecolor="#000000">
              <v:path arrowok="t"/>
              <v:stroke dashstyle="solid"/>
            </v:shape>
            <v:line style="position:absolute" from="6956,10647" to="8058,10647" stroked="true" strokeweight="151.167087pt" strokecolor="#000000">
              <v:stroke dashstyle="solid"/>
            </v:line>
            <v:shape style="position:absolute;left:7168;top:12109;width:94;height:93" coordorigin="7168,12110" coordsize="94,93" path="m7168,12203l7168,12110,7262,12156,7168,12203xe" filled="true" fillcolor="#000000" stroked="false">
              <v:path arrowok="t"/>
              <v:fill type="solid"/>
            </v:shape>
            <v:line style="position:absolute" from="9459,9181" to="9459,9710" stroked="true" strokeweight=".183457pt" strokecolor="#000000">
              <v:stroke dashstyle="solid"/>
            </v:line>
            <v:shape style="position:absolute;left:8881;top:9616;width:93;height:93" coordorigin="8882,9616" coordsize="93,93" path="m8974,9616l8882,9616,8928,9709,8974,9616xe" filled="true" fillcolor="#000000" stroked="false">
              <v:path arrowok="t"/>
              <v:fill type="solid"/>
            </v:shape>
            <v:line style="position:absolute" from="8776,10971" to="8776,11616" stroked="true" strokeweight=".183457pt" strokecolor="#000000">
              <v:stroke dashstyle="solid"/>
            </v:line>
            <v:shape style="position:absolute;left:8729;top:11603;width:94;height:95" coordorigin="8730,11603" coordsize="94,95" path="m8823,11603l8730,11603,8777,11697,8823,11603xe" filled="true" fillcolor="#000000" stroked="false">
              <v:path arrowok="t"/>
              <v:fill type="solid"/>
            </v:shape>
            <v:shape style="position:absolute;left:9684;top:9804;width:270;height:271" type="#_x0000_t75" stroked="false">
              <v:imagedata r:id="rId15" o:title=""/>
            </v:shape>
            <v:shape style="position:absolute;left:9987;top:9804;width:270;height:271" type="#_x0000_t75" stroked="false">
              <v:imagedata r:id="rId16" o:title=""/>
            </v:shape>
            <v:shape style="position:absolute;left:10290;top:9804;width:270;height:271" type="#_x0000_t75" stroked="false">
              <v:imagedata r:id="rId16" o:title=""/>
            </v:shape>
            <v:shape style="position:absolute;left:9987;top:11772;width:270;height:271" type="#_x0000_t75" stroked="false">
              <v:imagedata r:id="rId16" o:title=""/>
            </v:shape>
            <v:shape style="position:absolute;left:8080;top:9833;width:2477;height:984" type="#_x0000_t202" filled="false" stroked="false">
              <v:textbox inset="0,0,0,0">
                <w:txbxContent>
                  <w:p>
                    <w:pPr>
                      <w:tabs>
                        <w:tab w:pos="331" w:val="left" w:leader="none"/>
                      </w:tabs>
                      <w:spacing w:line="184" w:lineRule="exact" w:before="0"/>
                      <w:ind w:left="0" w:right="48" w:firstLine="0"/>
                      <w:jc w:val="right"/>
                      <w:rPr>
                        <w:rFonts w:ascii="Arial"/>
                        <w:sz w:val="17"/>
                      </w:rPr>
                    </w:pPr>
                    <w:r>
                      <w:rPr>
                        <w:rFonts w:ascii="Arial"/>
                        <w:sz w:val="17"/>
                      </w:rPr>
                      <w:t>T</w:t>
                      <w:tab/>
                      <w:t>I</w:t>
                    </w:r>
                    <w:r>
                      <w:rPr>
                        <w:rFonts w:ascii="Arial"/>
                        <w:spacing w:val="12"/>
                        <w:sz w:val="17"/>
                      </w:rPr>
                      <w:t> </w:t>
                    </w:r>
                    <w:r>
                      <w:rPr>
                        <w:rFonts w:ascii="Arial"/>
                        <w:sz w:val="17"/>
                      </w:rPr>
                      <w:t>W</w:t>
                    </w:r>
                  </w:p>
                  <w:p>
                    <w:pPr>
                      <w:spacing w:line="187" w:lineRule="exact" w:before="0"/>
                      <w:ind w:left="247" w:right="0" w:firstLine="0"/>
                      <w:jc w:val="left"/>
                      <w:rPr>
                        <w:rFonts w:ascii="Arial"/>
                        <w:sz w:val="17"/>
                      </w:rPr>
                    </w:pPr>
                    <w:r>
                      <w:rPr>
                        <w:rFonts w:ascii="Arial"/>
                        <w:sz w:val="17"/>
                      </w:rPr>
                      <w:t>Collect Data on:</w:t>
                    </w:r>
                  </w:p>
                  <w:p>
                    <w:pPr>
                      <w:spacing w:line="249" w:lineRule="auto" w:before="8"/>
                      <w:ind w:left="0" w:right="18" w:firstLine="36"/>
                      <w:jc w:val="left"/>
                      <w:rPr>
                        <w:rFonts w:ascii="Arial"/>
                        <w:sz w:val="17"/>
                      </w:rPr>
                    </w:pPr>
                    <w:r>
                      <w:rPr>
                        <w:rFonts w:ascii="Arial"/>
                        <w:spacing w:val="-3"/>
                        <w:sz w:val="17"/>
                      </w:rPr>
                      <w:t>of moisture  </w:t>
                    </w:r>
                    <w:r>
                      <w:rPr>
                        <w:rFonts w:ascii="Arial"/>
                        <w:sz w:val="17"/>
                      </w:rPr>
                      <w:t>in marketing </w:t>
                    </w:r>
                    <w:r>
                      <w:rPr>
                        <w:rFonts w:ascii="Arial"/>
                        <w:spacing w:val="-3"/>
                        <w:sz w:val="17"/>
                      </w:rPr>
                      <w:t>chain of </w:t>
                    </w:r>
                    <w:r>
                      <w:rPr>
                        <w:rFonts w:ascii="Arial"/>
                        <w:sz w:val="17"/>
                      </w:rPr>
                      <w:t>compliance testing </w:t>
                    </w:r>
                    <w:r>
                      <w:rPr>
                        <w:rFonts w:ascii="Arial"/>
                        <w:spacing w:val="-3"/>
                        <w:sz w:val="17"/>
                      </w:rPr>
                      <w:t>scheme</w:t>
                    </w:r>
                    <w:r>
                      <w:rPr>
                        <w:rFonts w:ascii="Arial"/>
                        <w:spacing w:val="-6"/>
                        <w:sz w:val="17"/>
                      </w:rPr>
                      <w:t> </w:t>
                    </w:r>
                    <w:r>
                      <w:rPr>
                        <w:rFonts w:ascii="Arial"/>
                        <w:spacing w:val="-3"/>
                        <w:sz w:val="17"/>
                      </w:rPr>
                      <w:t>for</w:t>
                    </w:r>
                  </w:p>
                  <w:p>
                    <w:pPr>
                      <w:spacing w:before="1"/>
                      <w:ind w:left="513" w:right="1290" w:firstLine="0"/>
                      <w:jc w:val="center"/>
                      <w:rPr>
                        <w:rFonts w:ascii="Arial"/>
                        <w:sz w:val="17"/>
                      </w:rPr>
                    </w:pPr>
                    <w:r>
                      <w:rPr>
                        <w:rFonts w:ascii="Arial"/>
                        <w:sz w:val="17"/>
                      </w:rPr>
                      <w:t>field use</w:t>
                    </w:r>
                  </w:p>
                </w:txbxContent>
              </v:textbox>
              <w10:wrap type="none"/>
            </v:shape>
            <v:shape style="position:absolute;left:10060;top:11801;width:145;height:194" type="#_x0000_t202" filled="false" stroked="false">
              <v:textbox inset="0,0,0,0">
                <w:txbxContent>
                  <w:p>
                    <w:pPr>
                      <w:spacing w:line="193" w:lineRule="exact" w:before="0"/>
                      <w:ind w:left="0" w:right="0" w:firstLine="0"/>
                      <w:jc w:val="left"/>
                      <w:rPr>
                        <w:rFonts w:ascii="Arial"/>
                        <w:sz w:val="17"/>
                      </w:rPr>
                    </w:pPr>
                    <w:r>
                      <w:rPr>
                        <w:rFonts w:ascii="Arial"/>
                        <w:w w:val="101"/>
                        <w:sz w:val="17"/>
                      </w:rPr>
                      <w:t>N</w:t>
                    </w:r>
                  </w:p>
                </w:txbxContent>
              </v:textbox>
              <w10:wrap type="none"/>
            </v:shape>
            <v:shape style="position:absolute;left:7882;top:12050;width:2189;height:398" type="#_x0000_t202" filled="false" stroked="false">
              <v:textbox inset="0,0,0,0">
                <w:txbxContent>
                  <w:p>
                    <w:pPr>
                      <w:spacing w:line="249" w:lineRule="auto" w:before="0"/>
                      <w:ind w:left="0" w:right="-19" w:firstLine="222"/>
                      <w:jc w:val="left"/>
                      <w:rPr>
                        <w:rFonts w:ascii="Arial"/>
                        <w:sz w:val="17"/>
                      </w:rPr>
                    </w:pPr>
                    <w:r>
                      <w:rPr>
                        <w:rFonts w:ascii="Arial"/>
                        <w:sz w:val="17"/>
                      </w:rPr>
                      <w:t>ompliance Test Method(s) Incorporate into HB-133</w:t>
                    </w:r>
                  </w:p>
                </w:txbxContent>
              </v:textbox>
              <w10:wrap type="none"/>
            </v:shape>
            <w10:wrap type="none"/>
          </v:group>
        </w:pict>
      </w:r>
      <w:r>
        <w:rPr/>
        <w:pict>
          <v:shape style="position:absolute;margin-left:390.441223pt;margin-top:401.126801pt;width:4.7pt;height:4.75pt;mso-position-horizontal-relative:page;mso-position-vertical-relative:page;z-index:-98920" coordorigin="7809,8023" coordsize="94,95" path="m7809,8117l7809,8023,7902,8069,7809,8117xe" filled="true" fillcolor="#000000" stroked="false">
            <v:path arrowok="t"/>
            <v:fill type="solid"/>
            <w10:wrap type="none"/>
          </v:shape>
        </w:pict>
      </w:r>
      <w:r>
        <w:rPr/>
        <w:pict>
          <v:group style="position:absolute;margin-left:317.463898pt;margin-top:345.931122pt;width:28.65pt;height:28.85pt;mso-position-horizontal-relative:page;mso-position-vertical-relative:page;z-index:-98896" coordorigin="6349,6919" coordsize="573,577">
            <v:shape style="position:absolute;left:6349;top:6918;width:270;height:271" type="#_x0000_t75" stroked="false">
              <v:imagedata r:id="rId17" o:title=""/>
            </v:shape>
            <v:shape style="position:absolute;left:6652;top:7224;width:270;height:271" type="#_x0000_t75" stroked="false">
              <v:imagedata r:id="rId18" o:title=""/>
            </v:shape>
            <v:shape style="position:absolute;left:6652;top:6918;width:270;height:271" type="#_x0000_t75" stroked="false">
              <v:imagedata r:id="rId19" o:title=""/>
            </v:shape>
            <v:shape style="position:absolute;left:6349;top:7224;width:270;height:271" type="#_x0000_t75" stroked="false">
              <v:imagedata r:id="rId20" o:title=""/>
            </v:shape>
            <w10:wrap type="none"/>
          </v:group>
        </w:pict>
      </w:r>
      <w:r>
        <w:rPr/>
        <w:drawing>
          <wp:anchor distT="0" distB="0" distL="0" distR="0" allowOverlap="1" layoutInCell="1" locked="0" behindDoc="1" simplePos="0" relativeHeight="268336583">
            <wp:simplePos x="0" y="0"/>
            <wp:positionH relativeFrom="page">
              <wp:posOffset>6257715</wp:posOffset>
            </wp:positionH>
            <wp:positionV relativeFrom="page">
              <wp:posOffset>4672369</wp:posOffset>
            </wp:positionV>
            <wp:extent cx="170780" cy="171450"/>
            <wp:effectExtent l="0" t="0" r="0" b="0"/>
            <wp:wrapNone/>
            <wp:docPr id="1" name="image7.png" descr=""/>
            <wp:cNvGraphicFramePr>
              <a:graphicFrameLocks noChangeAspect="1"/>
            </wp:cNvGraphicFramePr>
            <a:graphic>
              <a:graphicData uri="http://schemas.openxmlformats.org/drawingml/2006/picture">
                <pic:pic>
                  <pic:nvPicPr>
                    <pic:cNvPr id="2" name="image7.png"/>
                    <pic:cNvPicPr/>
                  </pic:nvPicPr>
                  <pic:blipFill>
                    <a:blip r:embed="rId21" cstate="print"/>
                    <a:stretch>
                      <a:fillRect/>
                    </a:stretch>
                  </pic:blipFill>
                  <pic:spPr>
                    <a:xfrm>
                      <a:off x="0" y="0"/>
                      <a:ext cx="170780" cy="171450"/>
                    </a:xfrm>
                    <a:prstGeom prst="rect">
                      <a:avLst/>
                    </a:prstGeom>
                  </pic:spPr>
                </pic:pic>
              </a:graphicData>
            </a:graphic>
          </wp:anchor>
        </w:drawing>
      </w:r>
    </w:p>
    <w:p>
      <w:pPr>
        <w:pStyle w:val="BodyText"/>
        <w:spacing w:before="8"/>
        <w:rPr>
          <w:sz w:val="23"/>
        </w:rPr>
      </w:pPr>
    </w:p>
    <w:p>
      <w:pPr>
        <w:spacing w:line="259" w:lineRule="auto" w:before="0"/>
        <w:ind w:left="4664" w:right="418" w:hanging="4081"/>
        <w:jc w:val="left"/>
        <w:rPr>
          <w:rFonts w:ascii="Arial"/>
          <w:b/>
          <w:sz w:val="23"/>
        </w:rPr>
      </w:pPr>
      <w:r>
        <w:rPr/>
        <w:pict>
          <v:group style="position:absolute;margin-left:74.486382pt;margin-top:113.180664pt;width:266.4pt;height:335.6pt;mso-position-horizontal-relative:page;mso-position-vertical-relative:paragraph;z-index:-99064" coordorigin="1490,2264" coordsize="5328,6712">
            <v:rect style="position:absolute;left:3925;top:2274;width:2426;height:918" filled="false" stroked="true" strokeweight="1.038483pt" strokecolor="#000000">
              <v:stroke dashstyle="solid"/>
            </v:rect>
            <v:line style="position:absolute" from="3319,2733" to="3845,2733" stroked="true" strokeweight=".183457pt" strokecolor="#000000">
              <v:stroke dashstyle="solid"/>
            </v:line>
            <v:shape style="position:absolute;left:3832;top:2686;width:94;height:93" coordorigin="3833,2687" coordsize="94,93" path="m3833,2780l3833,2687,3926,2733,3833,2780xe" filled="true" fillcolor="#000000" stroked="false">
              <v:path arrowok="t"/>
              <v:fill type="solid"/>
            </v:shape>
            <v:line style="position:absolute" from="5138,3192" to="5138,3721" stroked="true" strokeweight=".183457pt" strokecolor="#000000">
              <v:stroke dashstyle="solid"/>
            </v:line>
            <v:rect style="position:absolute;left:3850;top:3802;width:2957;height:918" filled="false" stroked="true" strokeweight="1.038813pt" strokecolor="#000000">
              <v:stroke dashstyle="solid"/>
            </v:rect>
            <v:shape style="position:absolute;left:5092;top:3709;width:93;height:95" coordorigin="5092,3709" coordsize="93,95" path="m5185,3709l5092,3709,5138,3803,5185,3709xe" filled="true" fillcolor="#000000" stroked="false">
              <v:path arrowok="t"/>
              <v:fill type="solid"/>
            </v:shape>
            <v:shape style="position:absolute;left:6046;top:2311;width:270;height:271" type="#_x0000_t75" stroked="false">
              <v:imagedata r:id="rId21" o:title=""/>
            </v:shape>
            <v:shape style="position:absolute;left:3014;top:2311;width:270;height:271" type="#_x0000_t75" stroked="false">
              <v:imagedata r:id="rId21" o:title=""/>
            </v:shape>
            <v:shape style="position:absolute;left:6519;top:3840;width:270;height:271" type="#_x0000_t75" stroked="false">
              <v:imagedata r:id="rId22" o:title=""/>
            </v:shape>
            <v:shape style="position:absolute;left:3400;top:4261;width:449;height:2" coordorigin="3401,4262" coordsize="449,0" path="m3691,4262l3850,4262m3401,4262l3477,4262e" filled="false" stroked="true" strokeweight=".183457pt" strokecolor="#000000">
              <v:path arrowok="t"/>
              <v:stroke dashstyle="solid"/>
            </v:shape>
            <v:shape style="position:absolute;left:3319;top:4215;width:94;height:95" coordorigin="3320,4215" coordsize="94,95" path="m3413,4310l3320,4262,3413,4215,3413,4310xe" filled="true" fillcolor="#000000" stroked="false">
              <v:path arrowok="t"/>
              <v:fill type="solid"/>
            </v:shape>
            <v:line style="position:absolute" from="5328,4721" to="5328,4944" stroked="true" strokeweight=".183457pt" strokecolor="#000000">
              <v:stroke dashstyle="solid"/>
            </v:line>
            <v:shape style="position:absolute;left:5281;top:4932;width:93;height:95" coordorigin="5281,4932" coordsize="93,95" path="m5373,4932l5281,4932,5328,5026,5373,4932xe" filled="true" fillcolor="#000000" stroked="false">
              <v:path arrowok="t"/>
              <v:fill type="solid"/>
            </v:shape>
            <v:shape style="position:absolute;left:3477;top:3869;width:3261;height:481" type="#_x0000_t202" filled="false" stroked="false">
              <v:textbox inset="0,0,0,0">
                <w:txbxContent>
                  <w:p>
                    <w:pPr>
                      <w:spacing w:line="193" w:lineRule="exact" w:before="0"/>
                      <w:ind w:left="0" w:right="18" w:firstLine="0"/>
                      <w:jc w:val="right"/>
                      <w:rPr>
                        <w:rFonts w:ascii="Arial"/>
                        <w:sz w:val="17"/>
                      </w:rPr>
                    </w:pPr>
                    <w:r>
                      <w:rPr>
                        <w:rFonts w:ascii="Arial"/>
                        <w:w w:val="101"/>
                        <w:sz w:val="17"/>
                      </w:rPr>
                      <w:t>C</w:t>
                    </w:r>
                  </w:p>
                  <w:p>
                    <w:pPr>
                      <w:tabs>
                        <w:tab w:pos="479" w:val="left" w:leader="none"/>
                      </w:tabs>
                      <w:spacing w:before="91"/>
                      <w:ind w:left="0" w:right="41" w:firstLine="0"/>
                      <w:jc w:val="right"/>
                      <w:rPr>
                        <w:rFonts w:ascii="Arial"/>
                        <w:sz w:val="17"/>
                      </w:rPr>
                    </w:pPr>
                    <w:r>
                      <w:rPr>
                        <w:rFonts w:ascii="Arial"/>
                        <w:sz w:val="17"/>
                      </w:rPr>
                      <w:t>No</w:t>
                      <w:tab/>
                      <w:t>Is Delineation </w:t>
                    </w:r>
                    <w:r>
                      <w:rPr>
                        <w:rFonts w:ascii="Arial"/>
                        <w:spacing w:val="-3"/>
                        <w:sz w:val="17"/>
                      </w:rPr>
                      <w:t>of </w:t>
                    </w:r>
                    <w:r>
                      <w:rPr>
                        <w:rFonts w:ascii="Arial"/>
                        <w:sz w:val="17"/>
                      </w:rPr>
                      <w:t>Problem</w:t>
                    </w:r>
                    <w:r>
                      <w:rPr>
                        <w:rFonts w:ascii="Arial"/>
                        <w:spacing w:val="-9"/>
                        <w:sz w:val="17"/>
                      </w:rPr>
                      <w:t> </w:t>
                    </w:r>
                    <w:r>
                      <w:rPr>
                        <w:rFonts w:ascii="Arial"/>
                        <w:spacing w:val="-3"/>
                        <w:sz w:val="17"/>
                      </w:rPr>
                      <w:t>Complete?</w:t>
                    </w:r>
                  </w:p>
                </w:txbxContent>
              </v:textbox>
              <w10:wrap type="none"/>
            </v:shape>
            <v:shape style="position:absolute;left:5448;top:4767;width:304;height:194" type="#_x0000_t202" filled="false" stroked="false">
              <v:textbox inset="0,0,0,0">
                <w:txbxContent>
                  <w:p>
                    <w:pPr>
                      <w:spacing w:line="193" w:lineRule="exact" w:before="0"/>
                      <w:ind w:left="0" w:right="0" w:firstLine="0"/>
                      <w:jc w:val="left"/>
                      <w:rPr>
                        <w:rFonts w:ascii="Arial"/>
                        <w:sz w:val="17"/>
                      </w:rPr>
                    </w:pPr>
                    <w:r>
                      <w:rPr>
                        <w:rFonts w:ascii="Arial"/>
                        <w:sz w:val="17"/>
                      </w:rPr>
                      <w:t>Yes</w:t>
                    </w:r>
                  </w:p>
                </w:txbxContent>
              </v:textbox>
              <w10:wrap type="none"/>
            </v:shape>
            <v:shape style="position:absolute;left:4431;top:2627;width:1440;height:194" type="#_x0000_t202" filled="false" stroked="false">
              <v:textbox inset="0,0,0,0">
                <w:txbxContent>
                  <w:p>
                    <w:pPr>
                      <w:spacing w:line="193" w:lineRule="exact" w:before="0"/>
                      <w:ind w:left="0" w:right="0" w:firstLine="0"/>
                      <w:jc w:val="left"/>
                      <w:rPr>
                        <w:rFonts w:ascii="Arial"/>
                        <w:sz w:val="17"/>
                      </w:rPr>
                    </w:pPr>
                    <w:r>
                      <w:rPr>
                        <w:rFonts w:ascii="Arial"/>
                        <w:sz w:val="17"/>
                      </w:rPr>
                      <w:t>Prioritize Requests</w:t>
                    </w:r>
                  </w:p>
                </w:txbxContent>
              </v:textbox>
              <w10:wrap type="none"/>
            </v:shape>
            <v:shape style="position:absolute;left:6119;top:2340;width:145;height:194" type="#_x0000_t202" filled="false" stroked="false">
              <v:textbox inset="0,0,0,0">
                <w:txbxContent>
                  <w:p>
                    <w:pPr>
                      <w:spacing w:line="193" w:lineRule="exact" w:before="0"/>
                      <w:ind w:left="0" w:right="0" w:firstLine="0"/>
                      <w:jc w:val="left"/>
                      <w:rPr>
                        <w:rFonts w:ascii="Arial"/>
                        <w:sz w:val="17"/>
                      </w:rPr>
                    </w:pPr>
                    <w:r>
                      <w:rPr>
                        <w:rFonts w:ascii="Arial"/>
                        <w:w w:val="101"/>
                        <w:sz w:val="17"/>
                      </w:rPr>
                      <w:t>C</w:t>
                    </w:r>
                  </w:p>
                </w:txbxContent>
              </v:textbox>
              <w10:wrap type="none"/>
            </v:shape>
            <v:shape style="position:absolute;left:1500;top:2274;width:1819;height:6692" type="#_x0000_t202" filled="false" stroked="true" strokeweight="1.031366pt" strokecolor="#000000">
              <v:textbox inset="0,0,0,0">
                <w:txbxContent>
                  <w:p>
                    <w:pPr>
                      <w:spacing w:before="53"/>
                      <w:ind w:left="1615" w:right="0" w:firstLine="0"/>
                      <w:jc w:val="left"/>
                      <w:rPr>
                        <w:rFonts w:ascii="Arial"/>
                        <w:sz w:val="17"/>
                      </w:rPr>
                    </w:pPr>
                    <w:r>
                      <w:rPr>
                        <w:rFonts w:ascii="Arial"/>
                        <w:w w:val="101"/>
                        <w:sz w:val="17"/>
                      </w:rPr>
                      <w:t>I</w:t>
                    </w:r>
                  </w:p>
                  <w:p>
                    <w:pPr>
                      <w:spacing w:line="240" w:lineRule="auto" w:before="8"/>
                      <w:rPr>
                        <w:rFonts w:ascii="Arial"/>
                        <w:b/>
                        <w:sz w:val="19"/>
                      </w:rPr>
                    </w:pPr>
                  </w:p>
                  <w:p>
                    <w:pPr>
                      <w:spacing w:line="501" w:lineRule="auto" w:before="0"/>
                      <w:ind w:left="40" w:right="32" w:firstLine="0"/>
                      <w:jc w:val="center"/>
                      <w:rPr>
                        <w:rFonts w:ascii="Arial"/>
                        <w:sz w:val="17"/>
                      </w:rPr>
                    </w:pPr>
                    <w:r>
                      <w:rPr>
                        <w:rFonts w:ascii="Arial"/>
                        <w:sz w:val="17"/>
                      </w:rPr>
                      <w:t>Characterize Product: Imported vs Domestic</w:t>
                    </w:r>
                  </w:p>
                  <w:p>
                    <w:pPr>
                      <w:spacing w:line="249" w:lineRule="auto" w:before="0"/>
                      <w:ind w:left="160" w:right="155" w:firstLine="3"/>
                      <w:jc w:val="center"/>
                      <w:rPr>
                        <w:rFonts w:ascii="Arial"/>
                        <w:sz w:val="17"/>
                      </w:rPr>
                    </w:pPr>
                    <w:r>
                      <w:rPr>
                        <w:rFonts w:ascii="Arial"/>
                        <w:spacing w:val="-3"/>
                        <w:sz w:val="17"/>
                      </w:rPr>
                      <w:t>Processing </w:t>
                    </w:r>
                    <w:r>
                      <w:rPr>
                        <w:rFonts w:ascii="Arial"/>
                        <w:sz w:val="17"/>
                      </w:rPr>
                      <w:t>and Packaging </w:t>
                    </w:r>
                    <w:r>
                      <w:rPr>
                        <w:rFonts w:ascii="Arial"/>
                        <w:spacing w:val="-4"/>
                        <w:sz w:val="17"/>
                      </w:rPr>
                      <w:t>Systems </w:t>
                    </w:r>
                    <w:r>
                      <w:rPr>
                        <w:rFonts w:ascii="Arial"/>
                        <w:sz w:val="17"/>
                      </w:rPr>
                      <w:t>used </w:t>
                    </w:r>
                    <w:r>
                      <w:rPr>
                        <w:rFonts w:ascii="Arial"/>
                        <w:spacing w:val="-4"/>
                        <w:sz w:val="17"/>
                      </w:rPr>
                      <w:t>to </w:t>
                    </w:r>
                    <w:r>
                      <w:rPr>
                        <w:rFonts w:ascii="Arial"/>
                        <w:sz w:val="17"/>
                      </w:rPr>
                      <w:t>produce product</w:t>
                    </w:r>
                  </w:p>
                  <w:p>
                    <w:pPr>
                      <w:spacing w:line="240" w:lineRule="auto" w:before="9"/>
                      <w:rPr>
                        <w:rFonts w:ascii="Arial"/>
                        <w:b/>
                        <w:sz w:val="17"/>
                      </w:rPr>
                    </w:pPr>
                  </w:p>
                  <w:p>
                    <w:pPr>
                      <w:spacing w:line="249" w:lineRule="auto" w:before="0"/>
                      <w:ind w:left="38" w:right="35" w:hanging="2"/>
                      <w:jc w:val="center"/>
                      <w:rPr>
                        <w:rFonts w:ascii="Arial"/>
                        <w:sz w:val="17"/>
                      </w:rPr>
                    </w:pPr>
                    <w:r>
                      <w:rPr>
                        <w:rFonts w:ascii="Arial"/>
                        <w:spacing w:val="-3"/>
                        <w:sz w:val="17"/>
                      </w:rPr>
                      <w:t>Net contents </w:t>
                    </w:r>
                    <w:r>
                      <w:rPr>
                        <w:rFonts w:ascii="Arial"/>
                        <w:sz w:val="17"/>
                      </w:rPr>
                      <w:t>and </w:t>
                    </w:r>
                    <w:r>
                      <w:rPr>
                        <w:rFonts w:ascii="Arial"/>
                        <w:spacing w:val="-3"/>
                        <w:sz w:val="17"/>
                      </w:rPr>
                      <w:t>scale maintenance </w:t>
                    </w:r>
                    <w:r>
                      <w:rPr>
                        <w:rFonts w:ascii="Arial"/>
                        <w:sz w:val="17"/>
                      </w:rPr>
                      <w:t>programs</w:t>
                    </w:r>
                  </w:p>
                  <w:p>
                    <w:pPr>
                      <w:spacing w:line="240" w:lineRule="auto" w:before="9"/>
                      <w:rPr>
                        <w:rFonts w:ascii="Arial"/>
                        <w:b/>
                        <w:sz w:val="17"/>
                      </w:rPr>
                    </w:pPr>
                  </w:p>
                  <w:p>
                    <w:pPr>
                      <w:spacing w:line="249" w:lineRule="auto" w:before="0"/>
                      <w:ind w:left="679" w:right="0" w:hanging="496"/>
                      <w:jc w:val="left"/>
                      <w:rPr>
                        <w:rFonts w:ascii="Arial"/>
                        <w:sz w:val="17"/>
                      </w:rPr>
                    </w:pPr>
                    <w:r>
                      <w:rPr>
                        <w:rFonts w:ascii="Arial"/>
                        <w:sz w:val="17"/>
                      </w:rPr>
                      <w:t>Moisture content of product</w:t>
                    </w:r>
                  </w:p>
                  <w:p>
                    <w:pPr>
                      <w:spacing w:line="240" w:lineRule="auto" w:before="10"/>
                      <w:rPr>
                        <w:rFonts w:ascii="Arial"/>
                        <w:b/>
                        <w:sz w:val="17"/>
                      </w:rPr>
                    </w:pPr>
                  </w:p>
                  <w:p>
                    <w:pPr>
                      <w:spacing w:line="249" w:lineRule="auto" w:before="0"/>
                      <w:ind w:left="412" w:right="0" w:hanging="244"/>
                      <w:jc w:val="left"/>
                      <w:rPr>
                        <w:rFonts w:ascii="Arial"/>
                        <w:sz w:val="17"/>
                      </w:rPr>
                    </w:pPr>
                    <w:r>
                      <w:rPr>
                        <w:rFonts w:ascii="Arial"/>
                        <w:sz w:val="17"/>
                      </w:rPr>
                      <w:t>Types of packaging materials used</w:t>
                    </w:r>
                  </w:p>
                  <w:p>
                    <w:pPr>
                      <w:spacing w:line="240" w:lineRule="auto" w:before="9"/>
                      <w:rPr>
                        <w:rFonts w:ascii="Arial"/>
                        <w:b/>
                        <w:sz w:val="17"/>
                      </w:rPr>
                    </w:pPr>
                  </w:p>
                  <w:p>
                    <w:pPr>
                      <w:spacing w:line="249" w:lineRule="auto" w:before="0"/>
                      <w:ind w:left="36" w:right="32" w:firstLine="0"/>
                      <w:jc w:val="center"/>
                      <w:rPr>
                        <w:rFonts w:ascii="Arial"/>
                        <w:sz w:val="17"/>
                      </w:rPr>
                    </w:pPr>
                    <w:r>
                      <w:rPr>
                        <w:rFonts w:ascii="Arial"/>
                        <w:sz w:val="17"/>
                      </w:rPr>
                      <w:t>Distribution process and time involved</w:t>
                    </w:r>
                  </w:p>
                  <w:p>
                    <w:pPr>
                      <w:spacing w:line="240" w:lineRule="auto" w:before="9"/>
                      <w:rPr>
                        <w:rFonts w:ascii="Arial"/>
                        <w:b/>
                        <w:sz w:val="17"/>
                      </w:rPr>
                    </w:pPr>
                  </w:p>
                  <w:p>
                    <w:pPr>
                      <w:spacing w:line="249" w:lineRule="auto" w:before="1"/>
                      <w:ind w:left="32" w:right="32" w:firstLine="0"/>
                      <w:jc w:val="center"/>
                      <w:rPr>
                        <w:rFonts w:ascii="Arial"/>
                        <w:sz w:val="17"/>
                      </w:rPr>
                    </w:pPr>
                    <w:r>
                      <w:rPr>
                        <w:rFonts w:ascii="Arial"/>
                        <w:sz w:val="17"/>
                      </w:rPr>
                      <w:t>How moisture is lost in distribution:</w:t>
                    </w:r>
                  </w:p>
                  <w:p>
                    <w:pPr>
                      <w:spacing w:line="240" w:lineRule="auto" w:before="9"/>
                      <w:rPr>
                        <w:rFonts w:ascii="Arial"/>
                        <w:b/>
                        <w:sz w:val="17"/>
                      </w:rPr>
                    </w:pPr>
                  </w:p>
                  <w:p>
                    <w:pPr>
                      <w:spacing w:before="0"/>
                      <w:ind w:left="32" w:right="32" w:firstLine="0"/>
                      <w:jc w:val="center"/>
                      <w:rPr>
                        <w:rFonts w:ascii="Arial"/>
                        <w:sz w:val="17"/>
                      </w:rPr>
                    </w:pPr>
                    <w:r>
                      <w:rPr>
                        <w:rFonts w:ascii="Arial"/>
                        <w:sz w:val="17"/>
                      </w:rPr>
                      <w:t>into atmosphere</w:t>
                    </w:r>
                  </w:p>
                  <w:p>
                    <w:pPr>
                      <w:spacing w:line="240" w:lineRule="auto" w:before="5"/>
                      <w:rPr>
                        <w:rFonts w:ascii="Arial"/>
                        <w:b/>
                        <w:sz w:val="18"/>
                      </w:rPr>
                    </w:pPr>
                  </w:p>
                  <w:p>
                    <w:pPr>
                      <w:spacing w:line="249" w:lineRule="auto" w:before="0"/>
                      <w:ind w:left="29" w:right="32" w:firstLine="0"/>
                      <w:jc w:val="center"/>
                      <w:rPr>
                        <w:rFonts w:ascii="Arial"/>
                        <w:sz w:val="17"/>
                      </w:rPr>
                    </w:pPr>
                    <w:r>
                      <w:rPr>
                        <w:rFonts w:ascii="Arial"/>
                        <w:sz w:val="17"/>
                      </w:rPr>
                      <w:t>into packaging materials</w:t>
                    </w:r>
                  </w:p>
                </w:txbxContent>
              </v:textbox>
              <v:stroke dashstyle="solid"/>
              <w10:wrap type="none"/>
            </v:shape>
            <w10:wrap type="none"/>
          </v:group>
        </w:pict>
      </w:r>
      <w:r>
        <w:rPr/>
        <w:pict>
          <v:group style="position:absolute;margin-left:118.196465pt;margin-top:79.32621pt;width:4.650pt;height:34.4pt;mso-position-horizontal-relative:page;mso-position-vertical-relative:paragraph;z-index:1384" coordorigin="2364,1587" coordsize="93,688">
            <v:line style="position:absolute" from="2410,1587" to="2410,2192" stroked="true" strokeweight=".183457pt" strokecolor="#000000">
              <v:stroke dashstyle="solid"/>
            </v:line>
            <v:shape style="position:absolute;left:2363;top:2180;width:93;height:95" coordorigin="2364,2180" coordsize="93,95" path="m2456,2180l2364,2180,2410,2274,2456,2180xe" filled="true" fillcolor="#000000" stroked="false">
              <v:path arrowok="t"/>
              <v:fill type="solid"/>
            </v:shape>
            <w10:wrap type="none"/>
          </v:group>
        </w:pict>
      </w:r>
      <w:bookmarkStart w:name="_bookmark15" w:id="26"/>
      <w:bookmarkEnd w:id="26"/>
      <w:r>
        <w:rPr/>
      </w:r>
      <w:r>
        <w:rPr>
          <w:rFonts w:ascii="Arial"/>
          <w:b/>
          <w:sz w:val="23"/>
        </w:rPr>
        <w:t>Plan for NCWM Resolution of Individual Requests for Recognition of Moisture Loss</w:t>
      </w:r>
    </w:p>
    <w:p>
      <w:pPr>
        <w:pStyle w:val="BodyText"/>
        <w:spacing w:before="2"/>
        <w:rPr>
          <w:rFonts w:ascii="Arial"/>
          <w:b/>
          <w:sz w:val="24"/>
        </w:rPr>
      </w:pPr>
      <w:r>
        <w:rPr/>
        <w:pict>
          <v:group style="position:absolute;margin-left:74.482819pt;margin-top:15.920335pt;width:92pt;height:35.450pt;mso-position-horizontal-relative:page;mso-position-vertical-relative:paragraph;z-index:-1000;mso-wrap-distance-left:0;mso-wrap-distance-right:0" coordorigin="1490,318" coordsize="1840,709">
            <v:shape style="position:absolute;left:3014;top:651;width:270;height:271" type="#_x0000_t75" stroked="false">
              <v:imagedata r:id="rId23" o:title=""/>
            </v:shape>
            <v:shape style="position:absolute;left:1500;top:328;width:1819;height:688" type="#_x0000_t202" filled="false" stroked="true" strokeweight="1.038501pt" strokecolor="#000000">
              <v:textbox inset="0,0,0,0">
                <w:txbxContent>
                  <w:p>
                    <w:pPr>
                      <w:spacing w:before="122"/>
                      <w:ind w:left="0" w:right="137" w:firstLine="0"/>
                      <w:jc w:val="right"/>
                      <w:rPr>
                        <w:rFonts w:ascii="Arial"/>
                        <w:sz w:val="17"/>
                      </w:rPr>
                    </w:pPr>
                    <w:r>
                      <w:rPr>
                        <w:rFonts w:ascii="Arial"/>
                        <w:sz w:val="17"/>
                      </w:rPr>
                      <w:t>Decision to Request</w:t>
                    </w:r>
                  </w:p>
                  <w:p>
                    <w:pPr>
                      <w:spacing w:before="21"/>
                      <w:ind w:left="0" w:right="133" w:firstLine="0"/>
                      <w:jc w:val="right"/>
                      <w:rPr>
                        <w:rFonts w:ascii="Arial"/>
                        <w:sz w:val="17"/>
                      </w:rPr>
                    </w:pPr>
                    <w:r>
                      <w:rPr>
                        <w:rFonts w:ascii="Arial"/>
                        <w:w w:val="101"/>
                        <w:sz w:val="17"/>
                      </w:rPr>
                      <w:t>I</w:t>
                    </w:r>
                  </w:p>
                </w:txbxContent>
              </v:textbox>
              <v:stroke dashstyle="solid"/>
              <w10:wrap type="none"/>
            </v:shape>
            <w10:wrap type="topAndBottom"/>
          </v:group>
        </w:pic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after="1"/>
        <w:rPr>
          <w:rFonts w:ascii="Arial"/>
          <w:b/>
          <w:sz w:val="15"/>
        </w:rPr>
      </w:pPr>
    </w:p>
    <w:tbl>
      <w:tblPr>
        <w:tblW w:w="0" w:type="auto"/>
        <w:jc w:val="left"/>
        <w:tblInd w:w="25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46"/>
        <w:gridCol w:w="909"/>
        <w:gridCol w:w="1062"/>
        <w:gridCol w:w="1364"/>
      </w:tblGrid>
      <w:tr>
        <w:trPr>
          <w:trHeight w:val="360" w:hRule="atLeast"/>
        </w:trPr>
        <w:tc>
          <w:tcPr>
            <w:tcW w:w="3146" w:type="dxa"/>
            <w:vMerge w:val="restart"/>
          </w:tcPr>
          <w:p>
            <w:pPr>
              <w:pStyle w:val="TableParagraph"/>
              <w:numPr>
                <w:ilvl w:val="0"/>
                <w:numId w:val="10"/>
              </w:numPr>
              <w:tabs>
                <w:tab w:pos="2917" w:val="left" w:leader="none"/>
              </w:tabs>
              <w:spacing w:line="240" w:lineRule="auto" w:before="56" w:after="0"/>
              <w:ind w:left="2916" w:right="88" w:hanging="322"/>
              <w:jc w:val="right"/>
              <w:rPr>
                <w:rFonts w:ascii="Arial"/>
                <w:sz w:val="17"/>
              </w:rPr>
            </w:pPr>
            <w:r>
              <w:rPr>
                <w:rFonts w:ascii="Arial"/>
                <w:w w:val="101"/>
                <w:sz w:val="17"/>
              </w:rPr>
              <w:t>C</w:t>
            </w:r>
            <w:r>
              <w:rPr>
                <w:rFonts w:ascii="Arial"/>
                <w:sz w:val="17"/>
              </w:rPr>
            </w:r>
          </w:p>
          <w:p>
            <w:pPr>
              <w:pStyle w:val="TableParagraph"/>
              <w:numPr>
                <w:ilvl w:val="0"/>
                <w:numId w:val="10"/>
              </w:numPr>
              <w:tabs>
                <w:tab w:pos="275" w:val="left" w:leader="none"/>
                <w:tab w:pos="2926" w:val="left" w:leader="none"/>
              </w:tabs>
              <w:spacing w:line="240" w:lineRule="auto" w:before="111" w:after="0"/>
              <w:ind w:left="2925" w:right="98" w:hanging="275"/>
              <w:jc w:val="right"/>
              <w:rPr>
                <w:rFonts w:ascii="Arial"/>
                <w:sz w:val="17"/>
              </w:rPr>
            </w:pPr>
            <w:r>
              <w:rPr>
                <w:rFonts w:ascii="Arial"/>
                <w:w w:val="101"/>
                <w:sz w:val="17"/>
              </w:rPr>
              <w:t>F</w:t>
            </w:r>
            <w:r>
              <w:rPr>
                <w:rFonts w:ascii="Arial"/>
                <w:sz w:val="17"/>
              </w:rPr>
            </w:r>
          </w:p>
          <w:p>
            <w:pPr>
              <w:pStyle w:val="TableParagraph"/>
              <w:spacing w:before="98"/>
              <w:ind w:left="494"/>
              <w:rPr>
                <w:rFonts w:ascii="Arial"/>
                <w:sz w:val="17"/>
              </w:rPr>
            </w:pPr>
            <w:r>
              <w:rPr>
                <w:rFonts w:ascii="Arial"/>
                <w:sz w:val="17"/>
              </w:rPr>
              <w:t>Form Technical Work Group:</w:t>
            </w:r>
          </w:p>
          <w:p>
            <w:pPr>
              <w:pStyle w:val="TableParagraph"/>
              <w:spacing w:before="5"/>
              <w:rPr>
                <w:rFonts w:ascii="Arial"/>
                <w:b/>
                <w:sz w:val="18"/>
              </w:rPr>
            </w:pPr>
          </w:p>
          <w:p>
            <w:pPr>
              <w:pStyle w:val="TableParagraph"/>
              <w:spacing w:line="249" w:lineRule="auto" w:before="1"/>
              <w:ind w:left="273" w:right="253" w:firstLine="5"/>
              <w:jc w:val="center"/>
              <w:rPr>
                <w:rFonts w:ascii="Arial"/>
                <w:sz w:val="17"/>
              </w:rPr>
            </w:pPr>
            <w:r>
              <w:rPr>
                <w:rFonts w:ascii="Arial"/>
                <w:sz w:val="17"/>
              </w:rPr>
              <w:t>Federal </w:t>
            </w:r>
            <w:r>
              <w:rPr>
                <w:rFonts w:ascii="Arial"/>
                <w:spacing w:val="-3"/>
                <w:sz w:val="17"/>
              </w:rPr>
              <w:t>Agency </w:t>
            </w:r>
            <w:r>
              <w:rPr>
                <w:rFonts w:ascii="Arial"/>
                <w:sz w:val="17"/>
              </w:rPr>
              <w:t>representation State </w:t>
            </w:r>
            <w:r>
              <w:rPr>
                <w:rFonts w:ascii="Arial"/>
                <w:spacing w:val="-4"/>
                <w:sz w:val="17"/>
              </w:rPr>
              <w:t>Weights </w:t>
            </w:r>
            <w:r>
              <w:rPr>
                <w:rFonts w:ascii="Arial"/>
                <w:sz w:val="17"/>
              </w:rPr>
              <w:t>&amp; Measures </w:t>
            </w:r>
            <w:r>
              <w:rPr>
                <w:rFonts w:ascii="Arial"/>
                <w:spacing w:val="-3"/>
                <w:sz w:val="17"/>
              </w:rPr>
              <w:t>Agency </w:t>
            </w:r>
            <w:r>
              <w:rPr>
                <w:rFonts w:ascii="Arial"/>
                <w:sz w:val="17"/>
              </w:rPr>
              <w:t>Industry </w:t>
            </w:r>
            <w:r>
              <w:rPr>
                <w:rFonts w:ascii="Arial"/>
                <w:spacing w:val="-3"/>
                <w:sz w:val="17"/>
              </w:rPr>
              <w:t>or </w:t>
            </w:r>
            <w:r>
              <w:rPr>
                <w:rFonts w:ascii="Arial"/>
                <w:sz w:val="17"/>
              </w:rPr>
              <w:t>Trade </w:t>
            </w:r>
            <w:r>
              <w:rPr>
                <w:rFonts w:ascii="Arial"/>
                <w:spacing w:val="-4"/>
                <w:sz w:val="17"/>
              </w:rPr>
              <w:t>Association </w:t>
            </w:r>
            <w:r>
              <w:rPr>
                <w:rFonts w:ascii="Arial"/>
                <w:sz w:val="17"/>
              </w:rPr>
              <w:t>Representation</w:t>
            </w:r>
          </w:p>
        </w:tc>
        <w:tc>
          <w:tcPr>
            <w:tcW w:w="3335" w:type="dxa"/>
            <w:gridSpan w:val="3"/>
            <w:tcBorders>
              <w:top w:val="nil"/>
              <w:bottom w:val="nil"/>
              <w:right w:val="nil"/>
            </w:tcBorders>
          </w:tcPr>
          <w:p>
            <w:pPr>
              <w:pStyle w:val="TableParagraph"/>
              <w:spacing w:before="0"/>
              <w:rPr>
                <w:sz w:val="16"/>
              </w:rPr>
            </w:pPr>
          </w:p>
        </w:tc>
      </w:tr>
      <w:tr>
        <w:trPr>
          <w:trHeight w:val="775" w:hRule="atLeast"/>
        </w:trPr>
        <w:tc>
          <w:tcPr>
            <w:tcW w:w="3146" w:type="dxa"/>
            <w:vMerge/>
            <w:tcBorders>
              <w:top w:val="nil"/>
            </w:tcBorders>
          </w:tcPr>
          <w:p>
            <w:pPr>
              <w:rPr>
                <w:sz w:val="2"/>
                <w:szCs w:val="2"/>
              </w:rPr>
            </w:pPr>
          </w:p>
        </w:tc>
        <w:tc>
          <w:tcPr>
            <w:tcW w:w="909" w:type="dxa"/>
            <w:tcBorders>
              <w:top w:val="nil"/>
              <w:bottom w:val="single" w:sz="2" w:space="0" w:color="000000"/>
              <w:right w:val="single" w:sz="12" w:space="0" w:color="000000"/>
            </w:tcBorders>
          </w:tcPr>
          <w:p>
            <w:pPr>
              <w:pStyle w:val="TableParagraph"/>
              <w:spacing w:before="0"/>
              <w:rPr>
                <w:sz w:val="16"/>
              </w:rPr>
            </w:pPr>
          </w:p>
        </w:tc>
        <w:tc>
          <w:tcPr>
            <w:tcW w:w="2426" w:type="dxa"/>
            <w:gridSpan w:val="2"/>
            <w:vMerge w:val="restart"/>
            <w:tcBorders>
              <w:top w:val="single" w:sz="12" w:space="0" w:color="000000"/>
              <w:left w:val="single" w:sz="12" w:space="0" w:color="000000"/>
              <w:bottom w:val="single" w:sz="12" w:space="0" w:color="000000"/>
              <w:right w:val="single" w:sz="12" w:space="0" w:color="000000"/>
            </w:tcBorders>
          </w:tcPr>
          <w:p>
            <w:pPr>
              <w:pStyle w:val="TableParagraph"/>
              <w:spacing w:before="105"/>
              <w:ind w:left="2065"/>
              <w:rPr>
                <w:rFonts w:ascii="Arial"/>
                <w:sz w:val="17"/>
              </w:rPr>
            </w:pPr>
            <w:r>
              <w:rPr>
                <w:rFonts w:ascii="Arial"/>
                <w:w w:val="101"/>
                <w:sz w:val="17"/>
              </w:rPr>
              <w:t>T</w:t>
            </w:r>
          </w:p>
          <w:p>
            <w:pPr>
              <w:pStyle w:val="TableParagraph"/>
              <w:spacing w:before="3"/>
              <w:rPr>
                <w:rFonts w:ascii="Arial"/>
                <w:b/>
                <w:sz w:val="16"/>
              </w:rPr>
            </w:pPr>
          </w:p>
          <w:p>
            <w:pPr>
              <w:pStyle w:val="TableParagraph"/>
              <w:spacing w:line="249" w:lineRule="auto" w:before="0"/>
              <w:ind w:left="238" w:right="215"/>
              <w:jc w:val="center"/>
              <w:rPr>
                <w:rFonts w:ascii="Arial"/>
                <w:sz w:val="17"/>
              </w:rPr>
            </w:pPr>
            <w:r>
              <w:rPr>
                <w:rFonts w:ascii="Arial"/>
                <w:sz w:val="17"/>
              </w:rPr>
              <w:t>Recommend Compliance Testing Scheme</w:t>
            </w:r>
          </w:p>
          <w:p>
            <w:pPr>
              <w:pStyle w:val="TableParagraph"/>
              <w:spacing w:line="249" w:lineRule="auto" w:before="1"/>
              <w:ind w:left="253" w:right="238" w:firstLine="9"/>
              <w:jc w:val="center"/>
              <w:rPr>
                <w:rFonts w:ascii="Arial"/>
                <w:sz w:val="17"/>
              </w:rPr>
            </w:pPr>
            <w:r>
              <w:rPr>
                <w:rFonts w:ascii="Arial"/>
                <w:sz w:val="17"/>
              </w:rPr>
              <w:t>HB-133 Category A </w:t>
            </w:r>
            <w:r>
              <w:rPr>
                <w:rFonts w:ascii="Arial"/>
                <w:spacing w:val="2"/>
                <w:sz w:val="17"/>
              </w:rPr>
              <w:t>or </w:t>
            </w:r>
            <w:r>
              <w:rPr>
                <w:rFonts w:ascii="Arial"/>
                <w:sz w:val="17"/>
              </w:rPr>
              <w:t>B </w:t>
            </w:r>
            <w:r>
              <w:rPr>
                <w:rFonts w:ascii="Arial"/>
                <w:spacing w:val="-3"/>
                <w:sz w:val="17"/>
              </w:rPr>
              <w:t>The </w:t>
            </w:r>
            <w:r>
              <w:rPr>
                <w:rFonts w:ascii="Arial"/>
                <w:sz w:val="17"/>
              </w:rPr>
              <w:t>"Gray-Area" </w:t>
            </w:r>
            <w:r>
              <w:rPr>
                <w:rFonts w:ascii="Arial"/>
                <w:spacing w:val="-4"/>
                <w:sz w:val="17"/>
              </w:rPr>
              <w:t>Concept </w:t>
            </w:r>
            <w:r>
              <w:rPr>
                <w:rFonts w:ascii="Arial"/>
                <w:sz w:val="17"/>
              </w:rPr>
              <w:t>Specific Test Methods</w:t>
            </w:r>
          </w:p>
        </w:tc>
      </w:tr>
      <w:tr>
        <w:trPr>
          <w:trHeight w:val="734" w:hRule="atLeast"/>
        </w:trPr>
        <w:tc>
          <w:tcPr>
            <w:tcW w:w="3146" w:type="dxa"/>
            <w:vMerge/>
            <w:tcBorders>
              <w:top w:val="nil"/>
            </w:tcBorders>
          </w:tcPr>
          <w:p>
            <w:pPr>
              <w:rPr>
                <w:sz w:val="2"/>
                <w:szCs w:val="2"/>
              </w:rPr>
            </w:pPr>
          </w:p>
        </w:tc>
        <w:tc>
          <w:tcPr>
            <w:tcW w:w="909" w:type="dxa"/>
            <w:tcBorders>
              <w:top w:val="single" w:sz="2" w:space="0" w:color="000000"/>
              <w:bottom w:val="nil"/>
              <w:right w:val="single" w:sz="12" w:space="0" w:color="000000"/>
            </w:tcBorders>
          </w:tcPr>
          <w:p>
            <w:pPr>
              <w:pStyle w:val="TableParagraph"/>
              <w:spacing w:before="0"/>
              <w:rPr>
                <w:sz w:val="16"/>
              </w:rPr>
            </w:pPr>
          </w:p>
        </w:tc>
        <w:tc>
          <w:tcPr>
            <w:tcW w:w="2426" w:type="dxa"/>
            <w:gridSpan w:val="2"/>
            <w:vMerge/>
            <w:tcBorders>
              <w:top w:val="nil"/>
              <w:left w:val="single" w:sz="12" w:space="0" w:color="000000"/>
              <w:bottom w:val="single" w:sz="12" w:space="0" w:color="000000"/>
              <w:right w:val="single" w:sz="12" w:space="0" w:color="000000"/>
            </w:tcBorders>
          </w:tcPr>
          <w:p>
            <w:pPr>
              <w:rPr>
                <w:sz w:val="2"/>
                <w:szCs w:val="2"/>
              </w:rPr>
            </w:pPr>
          </w:p>
        </w:tc>
      </w:tr>
      <w:tr>
        <w:trPr>
          <w:trHeight w:val="235" w:hRule="atLeast"/>
        </w:trPr>
        <w:tc>
          <w:tcPr>
            <w:tcW w:w="4055" w:type="dxa"/>
            <w:gridSpan w:val="2"/>
            <w:tcBorders>
              <w:top w:val="nil"/>
              <w:left w:val="nil"/>
              <w:bottom w:val="nil"/>
              <w:right w:val="single" w:sz="12" w:space="0" w:color="000000"/>
            </w:tcBorders>
          </w:tcPr>
          <w:p>
            <w:pPr>
              <w:pStyle w:val="TableParagraph"/>
              <w:spacing w:before="0"/>
              <w:rPr>
                <w:sz w:val="16"/>
              </w:rPr>
            </w:pPr>
          </w:p>
        </w:tc>
        <w:tc>
          <w:tcPr>
            <w:tcW w:w="2426" w:type="dxa"/>
            <w:gridSpan w:val="2"/>
            <w:vMerge/>
            <w:tcBorders>
              <w:top w:val="nil"/>
              <w:left w:val="single" w:sz="12" w:space="0" w:color="000000"/>
              <w:bottom w:val="single" w:sz="12" w:space="0" w:color="000000"/>
              <w:right w:val="single" w:sz="12" w:space="0" w:color="000000"/>
            </w:tcBorders>
          </w:tcPr>
          <w:p>
            <w:pPr>
              <w:rPr>
                <w:sz w:val="2"/>
                <w:szCs w:val="2"/>
              </w:rPr>
            </w:pPr>
          </w:p>
        </w:tc>
      </w:tr>
      <w:tr>
        <w:trPr>
          <w:trHeight w:val="514" w:hRule="atLeast"/>
        </w:trPr>
        <w:tc>
          <w:tcPr>
            <w:tcW w:w="5117" w:type="dxa"/>
            <w:gridSpan w:val="3"/>
            <w:tcBorders>
              <w:top w:val="nil"/>
              <w:left w:val="nil"/>
              <w:bottom w:val="nil"/>
              <w:right w:val="single" w:sz="2" w:space="0" w:color="000000"/>
            </w:tcBorders>
          </w:tcPr>
          <w:p>
            <w:pPr>
              <w:pStyle w:val="TableParagraph"/>
              <w:spacing w:before="0"/>
              <w:rPr>
                <w:sz w:val="16"/>
              </w:rPr>
            </w:pPr>
          </w:p>
        </w:tc>
        <w:tc>
          <w:tcPr>
            <w:tcW w:w="1364" w:type="dxa"/>
            <w:tcBorders>
              <w:top w:val="single" w:sz="12" w:space="0" w:color="000000"/>
              <w:left w:val="single" w:sz="2" w:space="0" w:color="000000"/>
              <w:bottom w:val="nil"/>
              <w:right w:val="nil"/>
            </w:tcBorders>
          </w:tcPr>
          <w:p>
            <w:pPr>
              <w:pStyle w:val="TableParagraph"/>
              <w:spacing w:line="94" w:lineRule="exact" w:before="0"/>
              <w:ind w:left="490"/>
              <w:rPr>
                <w:rFonts w:ascii="Arial"/>
                <w:sz w:val="9"/>
              </w:rPr>
            </w:pPr>
            <w:r>
              <w:rPr>
                <w:rFonts w:ascii="Arial"/>
                <w:position w:val="-1"/>
                <w:sz w:val="9"/>
              </w:rPr>
              <w:pict>
                <v:group style="width:4.7pt;height:4.75pt;mso-position-horizontal-relative:char;mso-position-vertical-relative:line" coordorigin="0,0" coordsize="94,95">
                  <v:shape style="position:absolute;left:0;top:0;width:94;height:95" coordorigin="0,0" coordsize="94,95" path="m93,94l47,0,0,94,93,94xe" filled="true" fillcolor="#000000" stroked="false">
                    <v:path arrowok="t"/>
                    <v:fill type="solid"/>
                  </v:shape>
                </v:group>
              </w:pict>
            </w:r>
            <w:r>
              <w:rPr>
                <w:rFonts w:ascii="Arial"/>
                <w:position w:val="-1"/>
                <w:sz w:val="9"/>
              </w:rPr>
            </w:r>
          </w:p>
        </w:tc>
      </w:tr>
    </w:tbl>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25"/>
        </w:rPr>
      </w:pPr>
      <w:r>
        <w:rPr/>
        <w:pict>
          <v:shape style="position:absolute;margin-left:91.979088pt;margin-top:16.901958pt;width:151.6pt;height:107.05pt;mso-position-horizontal-relative:page;mso-position-vertical-relative:paragraph;z-index:-952;mso-wrap-distance-left:0;mso-wrap-distance-right:0" type="#_x0000_t202" filled="false" stroked="true" strokeweight="1.036681pt" strokecolor="#000000">
            <v:textbox inset="0,0,0,0">
              <w:txbxContent>
                <w:p>
                  <w:pPr>
                    <w:pStyle w:val="BodyText"/>
                    <w:spacing w:before="7"/>
                    <w:rPr>
                      <w:rFonts w:ascii="Arial"/>
                      <w:b/>
                    </w:rPr>
                  </w:pPr>
                </w:p>
                <w:p>
                  <w:pPr>
                    <w:spacing w:before="0"/>
                    <w:ind w:left="265" w:right="0" w:firstLine="0"/>
                    <w:jc w:val="left"/>
                    <w:rPr>
                      <w:rFonts w:ascii="Arial"/>
                      <w:sz w:val="17"/>
                    </w:rPr>
                  </w:pPr>
                  <w:r>
                    <w:rPr>
                      <w:rFonts w:ascii="Arial"/>
                      <w:sz w:val="17"/>
                    </w:rPr>
                    <w:t>Key:</w:t>
                  </w:r>
                </w:p>
                <w:p>
                  <w:pPr>
                    <w:pStyle w:val="BodyText"/>
                    <w:spacing w:before="5"/>
                    <w:rPr>
                      <w:rFonts w:ascii="Arial"/>
                      <w:b/>
                      <w:sz w:val="18"/>
                    </w:rPr>
                  </w:pPr>
                </w:p>
                <w:p>
                  <w:pPr>
                    <w:tabs>
                      <w:tab w:pos="629" w:val="left" w:leader="none"/>
                    </w:tabs>
                    <w:spacing w:line="249" w:lineRule="auto" w:before="1"/>
                    <w:ind w:left="265" w:right="197" w:firstLine="0"/>
                    <w:jc w:val="left"/>
                    <w:rPr>
                      <w:rFonts w:ascii="Arial"/>
                      <w:sz w:val="17"/>
                    </w:rPr>
                  </w:pPr>
                  <w:r>
                    <w:rPr>
                      <w:rFonts w:ascii="Arial"/>
                      <w:sz w:val="17"/>
                    </w:rPr>
                    <w:t>I</w:t>
                    <w:tab/>
                    <w:t>Industry </w:t>
                  </w:r>
                  <w:r>
                    <w:rPr>
                      <w:rFonts w:ascii="Arial"/>
                      <w:spacing w:val="-3"/>
                      <w:sz w:val="17"/>
                    </w:rPr>
                    <w:t>or </w:t>
                  </w:r>
                  <w:r>
                    <w:rPr>
                      <w:rFonts w:ascii="Arial"/>
                      <w:sz w:val="17"/>
                    </w:rPr>
                    <w:t>Trade </w:t>
                  </w:r>
                  <w:r>
                    <w:rPr>
                      <w:rFonts w:ascii="Arial"/>
                      <w:spacing w:val="-4"/>
                      <w:sz w:val="17"/>
                    </w:rPr>
                    <w:t>Association </w:t>
                  </w:r>
                  <w:r>
                    <w:rPr>
                      <w:rFonts w:ascii="Arial"/>
                      <w:sz w:val="17"/>
                    </w:rPr>
                    <w:t>C</w:t>
                    <w:tab/>
                    <w:t>NCWM L&amp;R</w:t>
                  </w:r>
                  <w:r>
                    <w:rPr>
                      <w:rFonts w:ascii="Arial"/>
                      <w:spacing w:val="-19"/>
                      <w:sz w:val="17"/>
                    </w:rPr>
                    <w:t> </w:t>
                  </w:r>
                  <w:r>
                    <w:rPr>
                      <w:rFonts w:ascii="Arial"/>
                      <w:sz w:val="17"/>
                    </w:rPr>
                    <w:t>Committee</w:t>
                  </w:r>
                </w:p>
                <w:p>
                  <w:pPr>
                    <w:tabs>
                      <w:tab w:pos="629" w:val="left" w:leader="none"/>
                    </w:tabs>
                    <w:spacing w:before="1"/>
                    <w:ind w:left="265" w:right="0" w:firstLine="0"/>
                    <w:jc w:val="left"/>
                    <w:rPr>
                      <w:rFonts w:ascii="Arial"/>
                      <w:sz w:val="17"/>
                    </w:rPr>
                  </w:pPr>
                  <w:r>
                    <w:rPr>
                      <w:rFonts w:ascii="Arial"/>
                      <w:sz w:val="17"/>
                    </w:rPr>
                    <w:t>T</w:t>
                    <w:tab/>
                    <w:t>Technical Work</w:t>
                  </w:r>
                  <w:r>
                    <w:rPr>
                      <w:rFonts w:ascii="Arial"/>
                      <w:spacing w:val="-17"/>
                      <w:sz w:val="17"/>
                    </w:rPr>
                    <w:t> </w:t>
                  </w:r>
                  <w:r>
                    <w:rPr>
                      <w:rFonts w:ascii="Arial"/>
                      <w:sz w:val="17"/>
                    </w:rPr>
                    <w:t>Group</w:t>
                  </w:r>
                </w:p>
                <w:p>
                  <w:pPr>
                    <w:tabs>
                      <w:tab w:pos="629" w:val="left" w:leader="none"/>
                    </w:tabs>
                    <w:spacing w:line="249" w:lineRule="auto" w:before="8"/>
                    <w:ind w:left="265" w:right="182" w:firstLine="0"/>
                    <w:jc w:val="left"/>
                    <w:rPr>
                      <w:rFonts w:ascii="Arial"/>
                      <w:sz w:val="17"/>
                    </w:rPr>
                  </w:pPr>
                  <w:r>
                    <w:rPr>
                      <w:rFonts w:ascii="Arial"/>
                      <w:sz w:val="17"/>
                    </w:rPr>
                    <w:t>W</w:t>
                    <w:tab/>
                    <w:t>Weights &amp; </w:t>
                  </w:r>
                  <w:r>
                    <w:rPr>
                      <w:rFonts w:ascii="Arial"/>
                      <w:spacing w:val="-4"/>
                      <w:sz w:val="17"/>
                    </w:rPr>
                    <w:t>Measures </w:t>
                  </w:r>
                  <w:r>
                    <w:rPr>
                      <w:rFonts w:ascii="Arial"/>
                      <w:sz w:val="17"/>
                    </w:rPr>
                    <w:t>Officials N</w:t>
                    <w:tab/>
                    <w:t>NCWM Voting Membership F</w:t>
                    <w:tab/>
                    <w:t>Federal</w:t>
                  </w:r>
                  <w:r>
                    <w:rPr>
                      <w:rFonts w:ascii="Arial"/>
                      <w:spacing w:val="-5"/>
                      <w:sz w:val="17"/>
                    </w:rPr>
                    <w:t> </w:t>
                  </w:r>
                  <w:r>
                    <w:rPr>
                      <w:rFonts w:ascii="Arial"/>
                      <w:spacing w:val="-3"/>
                      <w:sz w:val="17"/>
                    </w:rPr>
                    <w:t>Agency</w:t>
                  </w:r>
                </w:p>
              </w:txbxContent>
            </v:textbox>
            <v:stroke dashstyle="solid"/>
            <w10:wrap type="topAndBottom"/>
          </v:shape>
        </w:pict>
      </w:r>
    </w:p>
    <w:p>
      <w:pPr>
        <w:spacing w:after="0"/>
        <w:rPr>
          <w:rFonts w:ascii="Arial"/>
          <w:sz w:val="25"/>
        </w:rPr>
        <w:sectPr>
          <w:pgSz w:w="12240" w:h="15840"/>
          <w:pgMar w:header="730" w:footer="740" w:top="1340" w:bottom="940" w:left="1260" w:right="1020"/>
        </w:sectPr>
      </w:pPr>
    </w:p>
    <w:p>
      <w:pPr>
        <w:pStyle w:val="Heading1"/>
        <w:numPr>
          <w:ilvl w:val="2"/>
          <w:numId w:val="11"/>
        </w:numPr>
        <w:tabs>
          <w:tab w:pos="732" w:val="left" w:leader="none"/>
        </w:tabs>
        <w:spacing w:line="240" w:lineRule="auto" w:before="88" w:after="0"/>
        <w:ind w:left="732" w:right="0" w:hanging="552"/>
        <w:jc w:val="both"/>
      </w:pPr>
      <w:r>
        <w:rPr/>
        <w:t>Retail Gas Sales and Metric Price Computations in</w:t>
      </w:r>
      <w:r>
        <w:rPr>
          <w:spacing w:val="-6"/>
        </w:rPr>
        <w:t> </w:t>
      </w:r>
      <w:r>
        <w:rPr/>
        <w:t>General.</w:t>
      </w:r>
    </w:p>
    <w:p>
      <w:pPr>
        <w:pStyle w:val="BodyText"/>
        <w:spacing w:before="1"/>
        <w:ind w:left="180"/>
        <w:jc w:val="both"/>
      </w:pPr>
      <w:r>
        <w:rPr/>
        <w:t>(S&amp;T, 1980, p. 227)</w:t>
      </w:r>
    </w:p>
    <w:p>
      <w:pPr>
        <w:pStyle w:val="BodyText"/>
        <w:spacing w:before="10"/>
      </w:pPr>
    </w:p>
    <w:p>
      <w:pPr>
        <w:pStyle w:val="Heading1"/>
        <w:ind w:left="180"/>
        <w:jc w:val="both"/>
      </w:pPr>
      <w:r>
        <w:rPr/>
        <w:t>Guideline</w:t>
      </w:r>
    </w:p>
    <w:p>
      <w:pPr>
        <w:pStyle w:val="BodyText"/>
        <w:spacing w:before="8"/>
        <w:rPr>
          <w:b/>
        </w:rPr>
      </w:pPr>
    </w:p>
    <w:p>
      <w:pPr>
        <w:pStyle w:val="BodyText"/>
        <w:ind w:left="180"/>
        <w:jc w:val="both"/>
      </w:pPr>
      <w:r>
        <w:rPr/>
        <w:t>The National Institute of Standards and Technology published equivalent rounded values for metric equivalents of</w:t>
      </w:r>
    </w:p>
    <w:p>
      <w:pPr>
        <w:pStyle w:val="BodyText"/>
        <w:ind w:left="180"/>
        <w:jc w:val="both"/>
      </w:pPr>
      <w:r>
        <w:rPr/>
        <w:t>U.S. customary units should be used. They are:</w:t>
      </w:r>
    </w:p>
    <w:p>
      <w:pPr>
        <w:pStyle w:val="BodyText"/>
        <w:spacing w:before="11"/>
      </w:pPr>
    </w:p>
    <w:p>
      <w:pPr>
        <w:pStyle w:val="BodyText"/>
        <w:ind w:left="539"/>
      </w:pPr>
      <w:r>
        <w:rPr/>
        <w:t>3.785 411 784 liters = 1 gallon</w:t>
      </w:r>
    </w:p>
    <w:p>
      <w:pPr>
        <w:pStyle w:val="BodyText"/>
        <w:ind w:left="539"/>
      </w:pPr>
      <w:r>
        <w:rPr/>
        <w:t>0.264 172 052 4 gallon = 1 liter</w:t>
      </w:r>
    </w:p>
    <w:p>
      <w:pPr>
        <w:pStyle w:val="BodyText"/>
        <w:spacing w:before="10"/>
      </w:pPr>
    </w:p>
    <w:p>
      <w:pPr>
        <w:pStyle w:val="BodyText"/>
        <w:spacing w:before="1"/>
        <w:ind w:left="179" w:right="416"/>
        <w:jc w:val="both"/>
      </w:pPr>
      <w:r>
        <w:rPr/>
        <w:t>A “Rule of Reason” should apply to the corrected value so that the value used is consistent with the quantity of the transaction. The converted value should never have fewer than four significant digits and should have at least the same number of significant digits as the number of significant digits in the quantity of product being converted. For example,</w:t>
      </w:r>
      <w:r>
        <w:rPr>
          <w:spacing w:val="-7"/>
        </w:rPr>
        <w:t> </w:t>
      </w:r>
      <w:r>
        <w:rPr/>
        <w:t>if</w:t>
      </w:r>
      <w:r>
        <w:rPr>
          <w:spacing w:val="-8"/>
        </w:rPr>
        <w:t> </w:t>
      </w:r>
      <w:r>
        <w:rPr/>
        <w:t>a</w:t>
      </w:r>
      <w:r>
        <w:rPr>
          <w:spacing w:val="-6"/>
        </w:rPr>
        <w:t> </w:t>
      </w:r>
      <w:r>
        <w:rPr/>
        <w:t>1000</w:t>
      </w:r>
      <w:r>
        <w:rPr>
          <w:spacing w:val="-1"/>
        </w:rPr>
        <w:t> </w:t>
      </w:r>
      <w:r>
        <w:rPr/>
        <w:t>gal</w:t>
      </w:r>
      <w:r>
        <w:rPr>
          <w:spacing w:val="-8"/>
        </w:rPr>
        <w:t> </w:t>
      </w:r>
      <w:r>
        <w:rPr/>
        <w:t>delivery</w:t>
      </w:r>
      <w:r>
        <w:rPr>
          <w:spacing w:val="-6"/>
        </w:rPr>
        <w:t> </w:t>
      </w:r>
      <w:r>
        <w:rPr/>
        <w:t>were</w:t>
      </w:r>
      <w:r>
        <w:rPr>
          <w:spacing w:val="-6"/>
        </w:rPr>
        <w:t> </w:t>
      </w:r>
      <w:r>
        <w:rPr/>
        <w:t>to</w:t>
      </w:r>
      <w:r>
        <w:rPr>
          <w:spacing w:val="-6"/>
        </w:rPr>
        <w:t> </w:t>
      </w:r>
      <w:r>
        <w:rPr/>
        <w:t>be</w:t>
      </w:r>
      <w:r>
        <w:rPr>
          <w:spacing w:val="-6"/>
        </w:rPr>
        <w:t> </w:t>
      </w:r>
      <w:r>
        <w:rPr/>
        <w:t>converted</w:t>
      </w:r>
      <w:r>
        <w:rPr>
          <w:spacing w:val="-7"/>
        </w:rPr>
        <w:t> </w:t>
      </w:r>
      <w:r>
        <w:rPr/>
        <w:t>to</w:t>
      </w:r>
      <w:r>
        <w:rPr>
          <w:spacing w:val="-6"/>
        </w:rPr>
        <w:t> </w:t>
      </w:r>
      <w:r>
        <w:rPr/>
        <w:t>liters</w:t>
      </w:r>
      <w:r>
        <w:rPr>
          <w:spacing w:val="-5"/>
        </w:rPr>
        <w:t> </w:t>
      </w:r>
      <w:r>
        <w:rPr/>
        <w:t>the</w:t>
      </w:r>
      <w:r>
        <w:rPr>
          <w:spacing w:val="-6"/>
        </w:rPr>
        <w:t> </w:t>
      </w:r>
      <w:r>
        <w:rPr/>
        <w:t>value</w:t>
      </w:r>
      <w:r>
        <w:rPr>
          <w:spacing w:val="-5"/>
        </w:rPr>
        <w:t> </w:t>
      </w:r>
      <w:r>
        <w:rPr/>
        <w:t>would</w:t>
      </w:r>
      <w:r>
        <w:rPr>
          <w:spacing w:val="-6"/>
        </w:rPr>
        <w:t> </w:t>
      </w:r>
      <w:r>
        <w:rPr/>
        <w:t>be</w:t>
      </w:r>
      <w:r>
        <w:rPr>
          <w:spacing w:val="-6"/>
        </w:rPr>
        <w:t> </w:t>
      </w:r>
      <w:r>
        <w:rPr/>
        <w:t>3785</w:t>
      </w:r>
      <w:r>
        <w:rPr>
          <w:spacing w:val="-4"/>
        </w:rPr>
        <w:t> </w:t>
      </w:r>
      <w:r>
        <w:rPr/>
        <w:t>L;</w:t>
      </w:r>
      <w:r>
        <w:rPr>
          <w:spacing w:val="-8"/>
        </w:rPr>
        <w:t> </w:t>
      </w:r>
      <w:r>
        <w:rPr/>
        <w:t>for</w:t>
      </w:r>
      <w:r>
        <w:rPr>
          <w:spacing w:val="-6"/>
        </w:rPr>
        <w:t> </w:t>
      </w:r>
      <w:r>
        <w:rPr/>
        <w:t>10</w:t>
      </w:r>
      <w:r>
        <w:rPr>
          <w:spacing w:val="-1"/>
        </w:rPr>
        <w:t> </w:t>
      </w:r>
      <w:r>
        <w:rPr/>
        <w:t>000</w:t>
      </w:r>
      <w:r>
        <w:rPr>
          <w:spacing w:val="-2"/>
        </w:rPr>
        <w:t> </w:t>
      </w:r>
      <w:r>
        <w:rPr/>
        <w:t>gal,</w:t>
      </w:r>
      <w:r>
        <w:rPr>
          <w:spacing w:val="-6"/>
        </w:rPr>
        <w:t> </w:t>
      </w:r>
      <w:r>
        <w:rPr/>
        <w:t>37</w:t>
      </w:r>
      <w:r>
        <w:rPr>
          <w:spacing w:val="-3"/>
        </w:rPr>
        <w:t> </w:t>
      </w:r>
      <w:r>
        <w:rPr/>
        <w:t>854</w:t>
      </w:r>
      <w:r>
        <w:rPr>
          <w:spacing w:val="-2"/>
        </w:rPr>
        <w:t> </w:t>
      </w:r>
      <w:r>
        <w:rPr/>
        <w:t>L;</w:t>
      </w:r>
      <w:r>
        <w:rPr>
          <w:spacing w:val="-7"/>
        </w:rPr>
        <w:t> </w:t>
      </w:r>
      <w:r>
        <w:rPr/>
        <w:t>for 100 gal, 378.5</w:t>
      </w:r>
      <w:r>
        <w:rPr>
          <w:spacing w:val="2"/>
        </w:rPr>
        <w:t> </w:t>
      </w:r>
      <w:r>
        <w:rPr/>
        <w:t>L.</w:t>
      </w:r>
    </w:p>
    <w:p>
      <w:pPr>
        <w:pStyle w:val="BodyText"/>
        <w:spacing w:before="9"/>
      </w:pPr>
    </w:p>
    <w:p>
      <w:pPr>
        <w:pStyle w:val="BodyText"/>
        <w:spacing w:line="249" w:lineRule="auto" w:before="1"/>
        <w:ind w:left="179" w:right="418"/>
        <w:jc w:val="both"/>
      </w:pPr>
      <w:r>
        <w:rPr/>
        <w:t>In</w:t>
      </w:r>
      <w:r>
        <w:rPr>
          <w:spacing w:val="-10"/>
        </w:rPr>
        <w:t> </w:t>
      </w:r>
      <w:r>
        <w:rPr/>
        <w:t>the</w:t>
      </w:r>
      <w:r>
        <w:rPr>
          <w:spacing w:val="-8"/>
        </w:rPr>
        <w:t> </w:t>
      </w:r>
      <w:r>
        <w:rPr/>
        <w:t>case</w:t>
      </w:r>
      <w:r>
        <w:rPr>
          <w:spacing w:val="-7"/>
        </w:rPr>
        <w:t> </w:t>
      </w:r>
      <w:r>
        <w:rPr/>
        <w:t>of</w:t>
      </w:r>
      <w:r>
        <w:rPr>
          <w:spacing w:val="-10"/>
        </w:rPr>
        <w:t> </w:t>
      </w:r>
      <w:r>
        <w:rPr/>
        <w:t>expressing</w:t>
      </w:r>
      <w:r>
        <w:rPr>
          <w:spacing w:val="-10"/>
        </w:rPr>
        <w:t> </w:t>
      </w:r>
      <w:r>
        <w:rPr/>
        <w:t>a</w:t>
      </w:r>
      <w:r>
        <w:rPr>
          <w:spacing w:val="-7"/>
        </w:rPr>
        <w:t> </w:t>
      </w:r>
      <w:r>
        <w:rPr/>
        <w:t>unit</w:t>
      </w:r>
      <w:r>
        <w:rPr>
          <w:spacing w:val="-7"/>
        </w:rPr>
        <w:t> </w:t>
      </w:r>
      <w:r>
        <w:rPr/>
        <w:t>price</w:t>
      </w:r>
      <w:r>
        <w:rPr>
          <w:spacing w:val="-8"/>
        </w:rPr>
        <w:t> </w:t>
      </w:r>
      <w:r>
        <w:rPr/>
        <w:t>equivalent</w:t>
      </w:r>
      <w:r>
        <w:rPr>
          <w:spacing w:val="-8"/>
        </w:rPr>
        <w:t> </w:t>
      </w:r>
      <w:r>
        <w:rPr/>
        <w:t>for</w:t>
      </w:r>
      <w:r>
        <w:rPr>
          <w:spacing w:val="-8"/>
        </w:rPr>
        <w:t> </w:t>
      </w:r>
      <w:r>
        <w:rPr/>
        <w:t>consumer</w:t>
      </w:r>
      <w:r>
        <w:rPr>
          <w:spacing w:val="-6"/>
        </w:rPr>
        <w:t> </w:t>
      </w:r>
      <w:r>
        <w:rPr/>
        <w:t>value</w:t>
      </w:r>
      <w:r>
        <w:rPr>
          <w:spacing w:val="-8"/>
        </w:rPr>
        <w:t> </w:t>
      </w:r>
      <w:r>
        <w:rPr/>
        <w:t>comparisons</w:t>
      </w:r>
      <w:r>
        <w:rPr>
          <w:spacing w:val="-9"/>
        </w:rPr>
        <w:t> </w:t>
      </w:r>
      <w:r>
        <w:rPr/>
        <w:t>in</w:t>
      </w:r>
      <w:r>
        <w:rPr>
          <w:spacing w:val="-10"/>
        </w:rPr>
        <w:t> </w:t>
      </w:r>
      <w:r>
        <w:rPr/>
        <w:t>retail</w:t>
      </w:r>
      <w:r>
        <w:rPr>
          <w:spacing w:val="-8"/>
        </w:rPr>
        <w:t> </w:t>
      </w:r>
      <w:r>
        <w:rPr/>
        <w:t>gasoline</w:t>
      </w:r>
      <w:r>
        <w:rPr>
          <w:spacing w:val="-8"/>
        </w:rPr>
        <w:t> </w:t>
      </w:r>
      <w:r>
        <w:rPr/>
        <w:t>sales,</w:t>
      </w:r>
      <w:r>
        <w:rPr>
          <w:spacing w:val="-8"/>
        </w:rPr>
        <w:t> </w:t>
      </w:r>
      <w:r>
        <w:rPr/>
        <w:t>the</w:t>
      </w:r>
      <w:r>
        <w:rPr>
          <w:spacing w:val="-8"/>
        </w:rPr>
        <w:t> </w:t>
      </w:r>
      <w:r>
        <w:rPr/>
        <w:t>following formula</w:t>
      </w:r>
      <w:r>
        <w:rPr>
          <w:spacing w:val="-6"/>
        </w:rPr>
        <w:t> </w:t>
      </w:r>
      <w:r>
        <w:rPr/>
        <w:t>should</w:t>
      </w:r>
      <w:r>
        <w:rPr>
          <w:spacing w:val="-4"/>
        </w:rPr>
        <w:t> </w:t>
      </w:r>
      <w:r>
        <w:rPr/>
        <w:t>be</w:t>
      </w:r>
      <w:r>
        <w:rPr>
          <w:spacing w:val="-5"/>
        </w:rPr>
        <w:t> </w:t>
      </w:r>
      <w:r>
        <w:rPr/>
        <w:t>used:</w:t>
      </w:r>
      <w:r>
        <w:rPr>
          <w:spacing w:val="38"/>
        </w:rPr>
        <w:t> </w:t>
      </w:r>
      <w:r>
        <w:rPr/>
        <w:t>(advertised,</w:t>
      </w:r>
      <w:r>
        <w:rPr>
          <w:spacing w:val="-5"/>
        </w:rPr>
        <w:t> </w:t>
      </w:r>
      <w:r>
        <w:rPr/>
        <w:t>posted,</w:t>
      </w:r>
      <w:r>
        <w:rPr>
          <w:spacing w:val="-7"/>
        </w:rPr>
        <w:t> </w:t>
      </w:r>
      <w:r>
        <w:rPr/>
        <w:t>or</w:t>
      </w:r>
      <w:r>
        <w:rPr>
          <w:spacing w:val="-7"/>
        </w:rPr>
        <w:t> </w:t>
      </w:r>
      <w:r>
        <w:rPr/>
        <w:t>computing</w:t>
      </w:r>
      <w:r>
        <w:rPr>
          <w:spacing w:val="-7"/>
        </w:rPr>
        <w:t> </w:t>
      </w:r>
      <w:r>
        <w:rPr/>
        <w:t>device</w:t>
      </w:r>
      <w:r>
        <w:rPr>
          <w:spacing w:val="-5"/>
        </w:rPr>
        <w:t> </w:t>
      </w:r>
      <w:r>
        <w:rPr/>
        <w:t>unit</w:t>
      </w:r>
      <w:r>
        <w:rPr>
          <w:spacing w:val="-6"/>
        </w:rPr>
        <w:t> </w:t>
      </w:r>
      <w:r>
        <w:rPr/>
        <w:t>price</w:t>
      </w:r>
      <w:r>
        <w:rPr>
          <w:spacing w:val="-6"/>
        </w:rPr>
        <w:t> </w:t>
      </w:r>
      <w:r>
        <w:rPr/>
        <w:t>per</w:t>
      </w:r>
      <w:r>
        <w:rPr>
          <w:spacing w:val="-7"/>
        </w:rPr>
        <w:t> </w:t>
      </w:r>
      <w:r>
        <w:rPr/>
        <w:t>liter)</w:t>
      </w:r>
      <w:r>
        <w:rPr>
          <w:spacing w:val="-5"/>
        </w:rPr>
        <w:t> </w:t>
      </w:r>
      <w:r>
        <w:rPr/>
        <w:t>×</w:t>
      </w:r>
      <w:r>
        <w:rPr>
          <w:spacing w:val="-7"/>
        </w:rPr>
        <w:t> </w:t>
      </w:r>
      <w:r>
        <w:rPr/>
        <w:t>3.785</w:t>
      </w:r>
      <w:r>
        <w:rPr>
          <w:spacing w:val="-4"/>
        </w:rPr>
        <w:t> </w:t>
      </w:r>
      <w:r>
        <w:rPr/>
        <w:t>=</w:t>
      </w:r>
      <w:r>
        <w:rPr>
          <w:spacing w:val="-7"/>
        </w:rPr>
        <w:t> </w:t>
      </w:r>
      <w:r>
        <w:rPr/>
        <w:t>(equivalent</w:t>
      </w:r>
      <w:r>
        <w:rPr>
          <w:spacing w:val="-7"/>
        </w:rPr>
        <w:t> </w:t>
      </w:r>
      <w:r>
        <w:rPr/>
        <w:t>unit</w:t>
      </w:r>
      <w:r>
        <w:rPr>
          <w:spacing w:val="-6"/>
        </w:rPr>
        <w:t> </w:t>
      </w:r>
      <w:r>
        <w:rPr/>
        <w:t>price per gallon, rounded to the nearest </w:t>
      </w:r>
      <w:r>
        <w:rPr>
          <w:position w:val="5"/>
          <w:sz w:val="13"/>
        </w:rPr>
        <w:t>1</w:t>
      </w:r>
      <w:r>
        <w:rPr/>
        <w:t>/</w:t>
      </w:r>
      <w:r>
        <w:rPr>
          <w:sz w:val="13"/>
        </w:rPr>
        <w:t>10</w:t>
      </w:r>
      <w:r>
        <w:rPr>
          <w:spacing w:val="20"/>
          <w:sz w:val="13"/>
        </w:rPr>
        <w:t> </w:t>
      </w:r>
      <w:r>
        <w:rPr/>
        <w:t>cent.)</w:t>
      </w:r>
    </w:p>
    <w:p>
      <w:pPr>
        <w:pStyle w:val="BodyText"/>
        <w:spacing w:before="10"/>
        <w:rPr>
          <w:sz w:val="21"/>
        </w:rPr>
      </w:pPr>
    </w:p>
    <w:p>
      <w:pPr>
        <w:pStyle w:val="Heading1"/>
        <w:ind w:left="539"/>
      </w:pPr>
      <w:r>
        <w:rPr/>
        <w:t>Examples:</w:t>
      </w:r>
    </w:p>
    <w:p>
      <w:pPr>
        <w:pStyle w:val="BodyText"/>
        <w:spacing w:line="229" w:lineRule="exact" w:before="1"/>
        <w:ind w:left="539"/>
      </w:pPr>
      <w:r>
        <w:rPr/>
        <w:t>26.9 cents per liter × 3.785 = $1.018 per</w:t>
      </w:r>
      <w:r>
        <w:rPr>
          <w:spacing w:val="-20"/>
        </w:rPr>
        <w:t> </w:t>
      </w:r>
      <w:r>
        <w:rPr/>
        <w:t>gallon</w:t>
      </w:r>
    </w:p>
    <w:p>
      <w:pPr>
        <w:pStyle w:val="BodyText"/>
        <w:spacing w:line="229" w:lineRule="exact"/>
        <w:ind w:left="539"/>
      </w:pPr>
      <w:r>
        <w:rPr/>
        <w:t>26.8 cents per liter × 3.785 = $1.014 per</w:t>
      </w:r>
      <w:r>
        <w:rPr>
          <w:spacing w:val="-20"/>
        </w:rPr>
        <w:t> </w:t>
      </w:r>
      <w:r>
        <w:rPr/>
        <w:t>gallon</w:t>
      </w:r>
    </w:p>
    <w:p>
      <w:pPr>
        <w:pStyle w:val="BodyText"/>
        <w:ind w:left="539"/>
      </w:pPr>
      <w:r>
        <w:rPr/>
        <w:t>26.7 cents per liter × 3.785 = $1.011 per</w:t>
      </w:r>
      <w:r>
        <w:rPr>
          <w:spacing w:val="-20"/>
        </w:rPr>
        <w:t> </w:t>
      </w:r>
      <w:r>
        <w:rPr/>
        <w:t>gallon</w:t>
      </w:r>
    </w:p>
    <w:p>
      <w:pPr>
        <w:pStyle w:val="BodyText"/>
        <w:ind w:left="539"/>
      </w:pPr>
      <w:r>
        <w:rPr/>
        <w:t>26.5 cents per liter × 3.785 = $1.003 per</w:t>
      </w:r>
      <w:r>
        <w:rPr>
          <w:spacing w:val="-20"/>
        </w:rPr>
        <w:t> </w:t>
      </w:r>
      <w:r>
        <w:rPr/>
        <w:t>gallon</w:t>
      </w:r>
    </w:p>
    <w:p>
      <w:pPr>
        <w:pStyle w:val="BodyText"/>
        <w:spacing w:before="1"/>
        <w:ind w:left="539"/>
      </w:pPr>
      <w:r>
        <w:rPr/>
        <w:t>26.4 cents per liter × 3.785 = $0.999 per</w:t>
      </w:r>
      <w:r>
        <w:rPr>
          <w:spacing w:val="-20"/>
        </w:rPr>
        <w:t> </w:t>
      </w:r>
      <w:r>
        <w:rPr/>
        <w:t>gallon</w:t>
      </w:r>
    </w:p>
    <w:p>
      <w:pPr>
        <w:pStyle w:val="BodyText"/>
        <w:spacing w:before="10"/>
      </w:pPr>
    </w:p>
    <w:p>
      <w:pPr>
        <w:pStyle w:val="BodyText"/>
        <w:spacing w:line="261" w:lineRule="auto"/>
        <w:ind w:left="179" w:right="349"/>
      </w:pPr>
      <w:r>
        <w:rPr/>
        <w:t>This</w:t>
      </w:r>
      <w:r>
        <w:rPr>
          <w:spacing w:val="-9"/>
        </w:rPr>
        <w:t> </w:t>
      </w:r>
      <w:r>
        <w:rPr/>
        <w:t>method</w:t>
      </w:r>
      <w:r>
        <w:rPr>
          <w:spacing w:val="-8"/>
        </w:rPr>
        <w:t> </w:t>
      </w:r>
      <w:r>
        <w:rPr/>
        <w:t>is</w:t>
      </w:r>
      <w:r>
        <w:rPr>
          <w:spacing w:val="-11"/>
        </w:rPr>
        <w:t> </w:t>
      </w:r>
      <w:r>
        <w:rPr/>
        <w:t>preferable</w:t>
      </w:r>
      <w:r>
        <w:rPr>
          <w:spacing w:val="-9"/>
        </w:rPr>
        <w:t> </w:t>
      </w:r>
      <w:r>
        <w:rPr/>
        <w:t>to</w:t>
      </w:r>
      <w:r>
        <w:rPr>
          <w:spacing w:val="-9"/>
        </w:rPr>
        <w:t> </w:t>
      </w:r>
      <w:r>
        <w:rPr/>
        <w:t>the</w:t>
      </w:r>
      <w:r>
        <w:rPr>
          <w:spacing w:val="-9"/>
        </w:rPr>
        <w:t> </w:t>
      </w:r>
      <w:r>
        <w:rPr/>
        <w:t>alternative</w:t>
      </w:r>
      <w:r>
        <w:rPr>
          <w:spacing w:val="-8"/>
        </w:rPr>
        <w:t> </w:t>
      </w:r>
      <w:r>
        <w:rPr/>
        <w:t>method</w:t>
      </w:r>
      <w:r>
        <w:rPr>
          <w:spacing w:val="-8"/>
        </w:rPr>
        <w:t> </w:t>
      </w:r>
      <w:r>
        <w:rPr/>
        <w:t>of</w:t>
      </w:r>
      <w:r>
        <w:rPr>
          <w:spacing w:val="-11"/>
        </w:rPr>
        <w:t> </w:t>
      </w:r>
      <w:r>
        <w:rPr/>
        <w:t>dividing</w:t>
      </w:r>
      <w:r>
        <w:rPr>
          <w:spacing w:val="-11"/>
        </w:rPr>
        <w:t> </w:t>
      </w:r>
      <w:r>
        <w:rPr/>
        <w:t>the</w:t>
      </w:r>
      <w:r>
        <w:rPr>
          <w:spacing w:val="-9"/>
        </w:rPr>
        <w:t> </w:t>
      </w:r>
      <w:r>
        <w:rPr/>
        <w:t>price</w:t>
      </w:r>
      <w:r>
        <w:rPr>
          <w:spacing w:val="-10"/>
        </w:rPr>
        <w:t> </w:t>
      </w:r>
      <w:r>
        <w:rPr/>
        <w:t>per</w:t>
      </w:r>
      <w:r>
        <w:rPr>
          <w:spacing w:val="-8"/>
        </w:rPr>
        <w:t> </w:t>
      </w:r>
      <w:r>
        <w:rPr/>
        <w:t>gallon</w:t>
      </w:r>
      <w:r>
        <w:rPr>
          <w:spacing w:val="-10"/>
        </w:rPr>
        <w:t> </w:t>
      </w:r>
      <w:r>
        <w:rPr/>
        <w:t>by</w:t>
      </w:r>
      <w:r>
        <w:rPr>
          <w:spacing w:val="-14"/>
        </w:rPr>
        <w:t> </w:t>
      </w:r>
      <w:r>
        <w:rPr/>
        <w:t>3.785,</w:t>
      </w:r>
      <w:r>
        <w:rPr>
          <w:spacing w:val="-6"/>
        </w:rPr>
        <w:t> </w:t>
      </w:r>
      <w:r>
        <w:rPr/>
        <w:t>which</w:t>
      </w:r>
      <w:r>
        <w:rPr>
          <w:spacing w:val="-10"/>
        </w:rPr>
        <w:t> </w:t>
      </w:r>
      <w:r>
        <w:rPr/>
        <w:t>results</w:t>
      </w:r>
      <w:r>
        <w:rPr>
          <w:spacing w:val="-11"/>
        </w:rPr>
        <w:t> </w:t>
      </w:r>
      <w:r>
        <w:rPr/>
        <w:t>in</w:t>
      </w:r>
      <w:r>
        <w:rPr>
          <w:spacing w:val="-10"/>
        </w:rPr>
        <w:t> </w:t>
      </w:r>
      <w:r>
        <w:rPr/>
        <w:t>the</w:t>
      </w:r>
      <w:r>
        <w:rPr>
          <w:spacing w:val="-10"/>
        </w:rPr>
        <w:t> </w:t>
      </w:r>
      <w:r>
        <w:rPr/>
        <w:t>same price per liter for three or more different prices per gallon when rounded to the </w:t>
      </w:r>
      <w:r>
        <w:rPr>
          <w:position w:val="5"/>
          <w:sz w:val="13"/>
        </w:rPr>
        <w:t>1</w:t>
      </w:r>
      <w:r>
        <w:rPr/>
        <w:t>/</w:t>
      </w:r>
      <w:r>
        <w:rPr>
          <w:sz w:val="13"/>
        </w:rPr>
        <w:t>10</w:t>
      </w:r>
      <w:r>
        <w:rPr>
          <w:spacing w:val="9"/>
          <w:sz w:val="13"/>
        </w:rPr>
        <w:t> </w:t>
      </w:r>
      <w:r>
        <w:rPr/>
        <w:t>cent.</w:t>
      </w:r>
    </w:p>
    <w:p>
      <w:pPr>
        <w:pStyle w:val="BodyText"/>
        <w:spacing w:before="1"/>
        <w:rPr>
          <w:sz w:val="31"/>
        </w:rPr>
      </w:pPr>
    </w:p>
    <w:p>
      <w:pPr>
        <w:pStyle w:val="Heading1"/>
        <w:numPr>
          <w:ilvl w:val="2"/>
          <w:numId w:val="11"/>
        </w:numPr>
        <w:tabs>
          <w:tab w:pos="733" w:val="left" w:leader="none"/>
        </w:tabs>
        <w:spacing w:line="240" w:lineRule="auto" w:before="0" w:after="0"/>
        <w:ind w:left="732" w:right="0" w:hanging="552"/>
        <w:jc w:val="both"/>
      </w:pPr>
      <w:bookmarkStart w:name="_bookmark16" w:id="27"/>
      <w:bookmarkEnd w:id="27"/>
      <w:r>
        <w:rPr>
          <w:b w:val="0"/>
        </w:rPr>
      </w:r>
      <w:bookmarkStart w:name="_bookmark16" w:id="28"/>
      <w:bookmarkEnd w:id="28"/>
      <w:r>
        <w:rPr/>
        <w:t>Pr</w:t>
      </w:r>
      <w:r>
        <w:rPr/>
        <w:t>ice</w:t>
      </w:r>
      <w:r>
        <w:rPr>
          <w:spacing w:val="-1"/>
        </w:rPr>
        <w:t> </w:t>
      </w:r>
      <w:r>
        <w:rPr/>
        <w:t>Posting.</w:t>
      </w:r>
    </w:p>
    <w:p>
      <w:pPr>
        <w:pStyle w:val="BodyText"/>
        <w:spacing w:before="1"/>
        <w:ind w:left="180"/>
        <w:jc w:val="both"/>
      </w:pPr>
      <w:r>
        <w:rPr/>
        <w:t>(L&amp;R, 1981, p. 101)</w:t>
      </w:r>
    </w:p>
    <w:p>
      <w:pPr>
        <w:pStyle w:val="BodyText"/>
        <w:spacing w:before="10"/>
      </w:pPr>
    </w:p>
    <w:p>
      <w:pPr>
        <w:pStyle w:val="Heading1"/>
        <w:ind w:left="180"/>
        <w:jc w:val="both"/>
      </w:pPr>
      <w:r>
        <w:rPr/>
        <w:t>Guideline</w:t>
      </w:r>
    </w:p>
    <w:p>
      <w:pPr>
        <w:pStyle w:val="BodyText"/>
        <w:spacing w:before="10"/>
        <w:rPr>
          <w:b/>
        </w:rPr>
      </w:pPr>
    </w:p>
    <w:p>
      <w:pPr>
        <w:pStyle w:val="ListParagraph"/>
        <w:numPr>
          <w:ilvl w:val="3"/>
          <w:numId w:val="11"/>
        </w:numPr>
        <w:tabs>
          <w:tab w:pos="900" w:val="left" w:leader="none"/>
          <w:tab w:pos="901" w:val="left" w:leader="none"/>
        </w:tabs>
        <w:spacing w:line="240" w:lineRule="auto" w:before="1" w:after="0"/>
        <w:ind w:left="900" w:right="0" w:hanging="360"/>
        <w:jc w:val="left"/>
        <w:rPr>
          <w:sz w:val="20"/>
        </w:rPr>
      </w:pPr>
      <w:r>
        <w:rPr>
          <w:sz w:val="20"/>
        </w:rPr>
        <w:t>Street</w:t>
      </w:r>
      <w:r>
        <w:rPr>
          <w:spacing w:val="-1"/>
          <w:sz w:val="20"/>
        </w:rPr>
        <w:t> </w:t>
      </w:r>
      <w:r>
        <w:rPr>
          <w:sz w:val="20"/>
        </w:rPr>
        <w:t>Signs.</w:t>
      </w:r>
    </w:p>
    <w:p>
      <w:pPr>
        <w:pStyle w:val="BodyText"/>
        <w:spacing w:before="7"/>
      </w:pPr>
    </w:p>
    <w:p>
      <w:pPr>
        <w:pStyle w:val="ListParagraph"/>
        <w:numPr>
          <w:ilvl w:val="4"/>
          <w:numId w:val="11"/>
        </w:numPr>
        <w:tabs>
          <w:tab w:pos="1261" w:val="left" w:leader="none"/>
        </w:tabs>
        <w:spacing w:line="240" w:lineRule="auto" w:before="0" w:after="0"/>
        <w:ind w:left="1260" w:right="420" w:hanging="360"/>
        <w:jc w:val="both"/>
        <w:rPr>
          <w:sz w:val="20"/>
        </w:rPr>
      </w:pPr>
      <w:r>
        <w:rPr>
          <w:sz w:val="20"/>
        </w:rPr>
        <w:t>Until such time as the sale of gasoline and other Engine fuels is predominately by metric measurement (liter), price per gallon information should be made readily available to all prospective</w:t>
      </w:r>
      <w:r>
        <w:rPr>
          <w:spacing w:val="-26"/>
          <w:sz w:val="20"/>
        </w:rPr>
        <w:t> </w:t>
      </w:r>
      <w:r>
        <w:rPr>
          <w:sz w:val="20"/>
        </w:rPr>
        <w:t>customers.</w:t>
      </w:r>
    </w:p>
    <w:p>
      <w:pPr>
        <w:pStyle w:val="BodyText"/>
        <w:rPr>
          <w:sz w:val="21"/>
        </w:rPr>
      </w:pPr>
    </w:p>
    <w:p>
      <w:pPr>
        <w:pStyle w:val="ListParagraph"/>
        <w:numPr>
          <w:ilvl w:val="4"/>
          <w:numId w:val="11"/>
        </w:numPr>
        <w:tabs>
          <w:tab w:pos="1261" w:val="left" w:leader="none"/>
        </w:tabs>
        <w:spacing w:line="240" w:lineRule="auto" w:before="0" w:after="0"/>
        <w:ind w:left="1260" w:right="419" w:hanging="360"/>
        <w:jc w:val="both"/>
        <w:rPr>
          <w:sz w:val="20"/>
        </w:rPr>
      </w:pPr>
      <w:r>
        <w:rPr>
          <w:sz w:val="20"/>
        </w:rPr>
        <w:t>All street, roadside, and similar advertising signs displaying product price should provide price per gal- lon</w:t>
      </w:r>
      <w:r>
        <w:rPr>
          <w:spacing w:val="-2"/>
          <w:sz w:val="20"/>
        </w:rPr>
        <w:t> </w:t>
      </w:r>
      <w:r>
        <w:rPr>
          <w:sz w:val="20"/>
        </w:rPr>
        <w:t>information.</w:t>
      </w:r>
    </w:p>
    <w:p>
      <w:pPr>
        <w:pStyle w:val="BodyText"/>
        <w:spacing w:before="10"/>
      </w:pPr>
    </w:p>
    <w:p>
      <w:pPr>
        <w:pStyle w:val="ListParagraph"/>
        <w:numPr>
          <w:ilvl w:val="4"/>
          <w:numId w:val="11"/>
        </w:numPr>
        <w:tabs>
          <w:tab w:pos="1261" w:val="left" w:leader="none"/>
        </w:tabs>
        <w:spacing w:line="240" w:lineRule="auto" w:before="1" w:after="0"/>
        <w:ind w:left="1260" w:right="421" w:hanging="360"/>
        <w:jc w:val="both"/>
        <w:rPr>
          <w:sz w:val="20"/>
        </w:rPr>
      </w:pPr>
      <w:r>
        <w:rPr>
          <w:sz w:val="20"/>
        </w:rPr>
        <w:t>Signs showing the equivalent price per liter may also be used, but their use is optional and should not employ numerals larger than the equivalent gallon price</w:t>
      </w:r>
      <w:r>
        <w:rPr>
          <w:spacing w:val="-9"/>
          <w:sz w:val="20"/>
        </w:rPr>
        <w:t> </w:t>
      </w:r>
      <w:r>
        <w:rPr>
          <w:sz w:val="20"/>
        </w:rPr>
        <w:t>display.</w:t>
      </w:r>
    </w:p>
    <w:p>
      <w:pPr>
        <w:pStyle w:val="BodyText"/>
        <w:spacing w:before="8"/>
      </w:pPr>
    </w:p>
    <w:p>
      <w:pPr>
        <w:pStyle w:val="ListParagraph"/>
        <w:numPr>
          <w:ilvl w:val="4"/>
          <w:numId w:val="11"/>
        </w:numPr>
        <w:tabs>
          <w:tab w:pos="1260" w:val="left" w:leader="none"/>
        </w:tabs>
        <w:spacing w:line="240" w:lineRule="auto" w:before="0" w:after="0"/>
        <w:ind w:left="1259" w:right="417" w:hanging="359"/>
        <w:jc w:val="both"/>
        <w:rPr>
          <w:sz w:val="20"/>
        </w:rPr>
      </w:pPr>
      <w:r>
        <w:rPr>
          <w:sz w:val="20"/>
        </w:rPr>
        <w:t>Signs should show complete dollar and cents numerals, and they should be clearly legible and of full size. An exception should be granted to street signs that were designed to display only three numerals (e.g.,</w:t>
      </w:r>
      <w:r>
        <w:rPr>
          <w:spacing w:val="-2"/>
          <w:sz w:val="20"/>
        </w:rPr>
        <w:t> </w:t>
      </w:r>
      <w:r>
        <w:rPr>
          <w:sz w:val="20"/>
        </w:rPr>
        <w:t>$.899)</w:t>
      </w:r>
      <w:r>
        <w:rPr>
          <w:spacing w:val="-8"/>
          <w:sz w:val="20"/>
        </w:rPr>
        <w:t> </w:t>
      </w:r>
      <w:r>
        <w:rPr>
          <w:sz w:val="20"/>
        </w:rPr>
        <w:t>and</w:t>
      </w:r>
      <w:r>
        <w:rPr>
          <w:spacing w:val="-8"/>
          <w:sz w:val="20"/>
        </w:rPr>
        <w:t> </w:t>
      </w:r>
      <w:r>
        <w:rPr>
          <w:sz w:val="20"/>
        </w:rPr>
        <w:t>not</w:t>
      </w:r>
      <w:r>
        <w:rPr>
          <w:spacing w:val="-10"/>
          <w:sz w:val="20"/>
        </w:rPr>
        <w:t> </w:t>
      </w:r>
      <w:r>
        <w:rPr>
          <w:sz w:val="20"/>
        </w:rPr>
        <w:t>four</w:t>
      </w:r>
      <w:r>
        <w:rPr>
          <w:spacing w:val="-8"/>
          <w:sz w:val="20"/>
        </w:rPr>
        <w:t> </w:t>
      </w:r>
      <w:r>
        <w:rPr>
          <w:sz w:val="20"/>
        </w:rPr>
        <w:t>numerals</w:t>
      </w:r>
      <w:r>
        <w:rPr>
          <w:spacing w:val="-10"/>
          <w:sz w:val="20"/>
        </w:rPr>
        <w:t> </w:t>
      </w:r>
      <w:r>
        <w:rPr>
          <w:sz w:val="20"/>
        </w:rPr>
        <w:t>as</w:t>
      </w:r>
      <w:r>
        <w:rPr>
          <w:spacing w:val="-10"/>
          <w:sz w:val="20"/>
        </w:rPr>
        <w:t> </w:t>
      </w:r>
      <w:r>
        <w:rPr>
          <w:sz w:val="20"/>
        </w:rPr>
        <w:t>required</w:t>
      </w:r>
      <w:r>
        <w:rPr>
          <w:spacing w:val="-6"/>
          <w:sz w:val="20"/>
        </w:rPr>
        <w:t> </w:t>
      </w:r>
      <w:r>
        <w:rPr>
          <w:sz w:val="20"/>
        </w:rPr>
        <w:t>for</w:t>
      </w:r>
      <w:r>
        <w:rPr>
          <w:spacing w:val="-9"/>
          <w:sz w:val="20"/>
        </w:rPr>
        <w:t> </w:t>
      </w:r>
      <w:r>
        <w:rPr>
          <w:sz w:val="20"/>
        </w:rPr>
        <w:t>prices</w:t>
      </w:r>
      <w:r>
        <w:rPr>
          <w:spacing w:val="-10"/>
          <w:sz w:val="20"/>
        </w:rPr>
        <w:t> </w:t>
      </w:r>
      <w:r>
        <w:rPr>
          <w:sz w:val="20"/>
        </w:rPr>
        <w:t>over</w:t>
      </w:r>
      <w:r>
        <w:rPr>
          <w:spacing w:val="-8"/>
          <w:sz w:val="20"/>
        </w:rPr>
        <w:t> </w:t>
      </w:r>
      <w:r>
        <w:rPr>
          <w:sz w:val="20"/>
        </w:rPr>
        <w:t>$1.00</w:t>
      </w:r>
      <w:r>
        <w:rPr>
          <w:spacing w:val="-8"/>
          <w:sz w:val="20"/>
        </w:rPr>
        <w:t> </w:t>
      </w:r>
      <w:r>
        <w:rPr>
          <w:sz w:val="20"/>
        </w:rPr>
        <w:t>per</w:t>
      </w:r>
      <w:r>
        <w:rPr>
          <w:spacing w:val="-8"/>
          <w:sz w:val="20"/>
        </w:rPr>
        <w:t> </w:t>
      </w:r>
      <w:r>
        <w:rPr>
          <w:sz w:val="20"/>
        </w:rPr>
        <w:t>gallon</w:t>
      </w:r>
      <w:r>
        <w:rPr>
          <w:spacing w:val="-10"/>
          <w:sz w:val="20"/>
        </w:rPr>
        <w:t> </w:t>
      </w:r>
      <w:r>
        <w:rPr>
          <w:sz w:val="20"/>
        </w:rPr>
        <w:t>(e.g.,</w:t>
      </w:r>
      <w:r>
        <w:rPr>
          <w:spacing w:val="-10"/>
          <w:sz w:val="20"/>
        </w:rPr>
        <w:t> </w:t>
      </w:r>
      <w:r>
        <w:rPr>
          <w:sz w:val="20"/>
        </w:rPr>
        <w:t>$1.259).</w:t>
      </w:r>
      <w:r>
        <w:rPr>
          <w:spacing w:val="33"/>
          <w:sz w:val="20"/>
        </w:rPr>
        <w:t> </w:t>
      </w:r>
      <w:r>
        <w:rPr>
          <w:sz w:val="20"/>
        </w:rPr>
        <w:t>Until</w:t>
      </w:r>
      <w:r>
        <w:rPr>
          <w:spacing w:val="-7"/>
          <w:sz w:val="20"/>
        </w:rPr>
        <w:t> </w:t>
      </w:r>
      <w:r>
        <w:rPr>
          <w:sz w:val="20"/>
        </w:rPr>
        <w:t>such signs can be replaced or modified, it would be</w:t>
      </w:r>
      <w:r>
        <w:rPr>
          <w:spacing w:val="-2"/>
          <w:sz w:val="20"/>
        </w:rPr>
        <w:t> </w:t>
      </w:r>
      <w:r>
        <w:rPr>
          <w:sz w:val="20"/>
        </w:rPr>
        <w:t>acceptable:</w:t>
      </w:r>
    </w:p>
    <w:p>
      <w:pPr>
        <w:pStyle w:val="BodyText"/>
        <w:rPr>
          <w:sz w:val="21"/>
        </w:rPr>
      </w:pPr>
    </w:p>
    <w:p>
      <w:pPr>
        <w:pStyle w:val="ListParagraph"/>
        <w:numPr>
          <w:ilvl w:val="5"/>
          <w:numId w:val="11"/>
        </w:numPr>
        <w:tabs>
          <w:tab w:pos="1621" w:val="left" w:leader="none"/>
        </w:tabs>
        <w:spacing w:line="240" w:lineRule="auto" w:before="0" w:after="0"/>
        <w:ind w:left="1620" w:right="419" w:hanging="361"/>
        <w:jc w:val="left"/>
        <w:rPr>
          <w:sz w:val="20"/>
        </w:rPr>
      </w:pPr>
      <w:r>
        <w:rPr>
          <w:sz w:val="20"/>
        </w:rPr>
        <w:t>to attach an appropriate sign extension with the decimal fraction of a cent representation in align- ment with the posted</w:t>
      </w:r>
      <w:r>
        <w:rPr>
          <w:spacing w:val="1"/>
          <w:sz w:val="20"/>
        </w:rPr>
        <w:t> </w:t>
      </w:r>
      <w:r>
        <w:rPr>
          <w:sz w:val="20"/>
        </w:rPr>
        <w:t>price;</w:t>
      </w:r>
    </w:p>
    <w:p>
      <w:pPr>
        <w:spacing w:after="0" w:line="240" w:lineRule="auto"/>
        <w:jc w:val="left"/>
        <w:rPr>
          <w:sz w:val="20"/>
        </w:rPr>
        <w:sectPr>
          <w:pgSz w:w="12240" w:h="15840"/>
          <w:pgMar w:header="730" w:footer="741" w:top="1340" w:bottom="940" w:left="1260" w:right="1020"/>
        </w:sectPr>
      </w:pPr>
    </w:p>
    <w:p>
      <w:pPr>
        <w:pStyle w:val="BodyText"/>
        <w:spacing w:before="1"/>
        <w:rPr>
          <w:sz w:val="17"/>
        </w:rPr>
      </w:pPr>
    </w:p>
    <w:p>
      <w:pPr>
        <w:pStyle w:val="ListParagraph"/>
        <w:numPr>
          <w:ilvl w:val="5"/>
          <w:numId w:val="11"/>
        </w:numPr>
        <w:tabs>
          <w:tab w:pos="1621" w:val="left" w:leader="none"/>
        </w:tabs>
        <w:spacing w:line="240" w:lineRule="auto" w:before="91" w:after="0"/>
        <w:ind w:left="1620" w:right="0" w:hanging="360"/>
        <w:jc w:val="left"/>
        <w:rPr>
          <w:sz w:val="20"/>
        </w:rPr>
      </w:pPr>
      <w:bookmarkStart w:name="_bookmark17" w:id="29"/>
      <w:bookmarkEnd w:id="29"/>
      <w:r>
        <w:rPr/>
      </w:r>
      <w:bookmarkStart w:name="_bookmark17" w:id="30"/>
      <w:bookmarkEnd w:id="30"/>
      <w:r>
        <w:rPr>
          <w:sz w:val="20"/>
        </w:rPr>
        <w:t>t</w:t>
      </w:r>
      <w:r>
        <w:rPr>
          <w:sz w:val="20"/>
        </w:rPr>
        <w:t>o include a smaller fraction of a cent representation with the last numeral of the posted price;</w:t>
      </w:r>
      <w:r>
        <w:rPr>
          <w:spacing w:val="-26"/>
          <w:sz w:val="20"/>
        </w:rPr>
        <w:t> </w:t>
      </w:r>
      <w:r>
        <w:rPr>
          <w:sz w:val="20"/>
        </w:rPr>
        <w:t>or</w:t>
      </w:r>
    </w:p>
    <w:p>
      <w:pPr>
        <w:pStyle w:val="BodyText"/>
        <w:spacing w:before="10"/>
      </w:pPr>
    </w:p>
    <w:p>
      <w:pPr>
        <w:pStyle w:val="ListParagraph"/>
        <w:numPr>
          <w:ilvl w:val="5"/>
          <w:numId w:val="11"/>
        </w:numPr>
        <w:tabs>
          <w:tab w:pos="1621" w:val="left" w:leader="none"/>
        </w:tabs>
        <w:spacing w:line="240" w:lineRule="auto" w:before="0" w:after="0"/>
        <w:ind w:left="1620" w:right="0" w:hanging="360"/>
        <w:jc w:val="left"/>
        <w:rPr>
          <w:sz w:val="20"/>
        </w:rPr>
      </w:pPr>
      <w:r>
        <w:rPr>
          <w:sz w:val="20"/>
        </w:rPr>
        <w:t>to add the whole number “one” before the cents</w:t>
      </w:r>
      <w:r>
        <w:rPr>
          <w:spacing w:val="7"/>
          <w:sz w:val="20"/>
        </w:rPr>
        <w:t> </w:t>
      </w:r>
      <w:r>
        <w:rPr>
          <w:sz w:val="20"/>
        </w:rPr>
        <w:t>values.</w:t>
      </w:r>
    </w:p>
    <w:p>
      <w:pPr>
        <w:pStyle w:val="BodyText"/>
        <w:spacing w:before="11"/>
      </w:pPr>
    </w:p>
    <w:p>
      <w:pPr>
        <w:pStyle w:val="ListParagraph"/>
        <w:numPr>
          <w:ilvl w:val="4"/>
          <w:numId w:val="11"/>
        </w:numPr>
        <w:tabs>
          <w:tab w:pos="1260" w:val="left" w:leader="none"/>
          <w:tab w:pos="1261" w:val="left" w:leader="none"/>
        </w:tabs>
        <w:spacing w:line="240" w:lineRule="auto" w:before="0" w:after="0"/>
        <w:ind w:left="1260" w:right="415" w:hanging="360"/>
        <w:jc w:val="left"/>
        <w:rPr>
          <w:sz w:val="20"/>
        </w:rPr>
      </w:pPr>
      <w:r>
        <w:rPr>
          <w:sz w:val="20"/>
        </w:rPr>
        <w:t>The</w:t>
      </w:r>
      <w:r>
        <w:rPr>
          <w:spacing w:val="-6"/>
          <w:sz w:val="20"/>
        </w:rPr>
        <w:t> </w:t>
      </w:r>
      <w:r>
        <w:rPr>
          <w:sz w:val="20"/>
        </w:rPr>
        <w:t>changeover</w:t>
      </w:r>
      <w:r>
        <w:rPr>
          <w:spacing w:val="-5"/>
          <w:sz w:val="20"/>
        </w:rPr>
        <w:t> </w:t>
      </w:r>
      <w:r>
        <w:rPr>
          <w:sz w:val="20"/>
        </w:rPr>
        <w:t>to</w:t>
      </w:r>
      <w:r>
        <w:rPr>
          <w:spacing w:val="-4"/>
          <w:sz w:val="20"/>
        </w:rPr>
        <w:t> </w:t>
      </w:r>
      <w:r>
        <w:rPr>
          <w:sz w:val="20"/>
        </w:rPr>
        <w:t>advertising</w:t>
      </w:r>
      <w:r>
        <w:rPr>
          <w:spacing w:val="-4"/>
          <w:sz w:val="20"/>
        </w:rPr>
        <w:t> </w:t>
      </w:r>
      <w:r>
        <w:rPr>
          <w:sz w:val="20"/>
        </w:rPr>
        <w:t>prices</w:t>
      </w:r>
      <w:r>
        <w:rPr>
          <w:spacing w:val="-6"/>
          <w:sz w:val="20"/>
        </w:rPr>
        <w:t> </w:t>
      </w:r>
      <w:r>
        <w:rPr>
          <w:sz w:val="20"/>
        </w:rPr>
        <w:t>by</w:t>
      </w:r>
      <w:r>
        <w:rPr>
          <w:spacing w:val="-9"/>
          <w:sz w:val="20"/>
        </w:rPr>
        <w:t> </w:t>
      </w:r>
      <w:r>
        <w:rPr>
          <w:sz w:val="20"/>
        </w:rPr>
        <w:t>the</w:t>
      </w:r>
      <w:r>
        <w:rPr>
          <w:spacing w:val="-5"/>
          <w:sz w:val="20"/>
        </w:rPr>
        <w:t> </w:t>
      </w:r>
      <w:r>
        <w:rPr>
          <w:sz w:val="20"/>
        </w:rPr>
        <w:t>liter</w:t>
      </w:r>
      <w:r>
        <w:rPr>
          <w:spacing w:val="-5"/>
          <w:sz w:val="20"/>
        </w:rPr>
        <w:t> </w:t>
      </w:r>
      <w:r>
        <w:rPr>
          <w:sz w:val="20"/>
        </w:rPr>
        <w:t>as</w:t>
      </w:r>
      <w:r>
        <w:rPr>
          <w:spacing w:val="-6"/>
          <w:sz w:val="20"/>
        </w:rPr>
        <w:t> </w:t>
      </w:r>
      <w:r>
        <w:rPr>
          <w:sz w:val="20"/>
        </w:rPr>
        <w:t>a</w:t>
      </w:r>
      <w:r>
        <w:rPr>
          <w:spacing w:val="-5"/>
          <w:sz w:val="20"/>
        </w:rPr>
        <w:t> </w:t>
      </w:r>
      <w:r>
        <w:rPr>
          <w:sz w:val="20"/>
        </w:rPr>
        <w:t>single</w:t>
      </w:r>
      <w:r>
        <w:rPr>
          <w:spacing w:val="-3"/>
          <w:sz w:val="20"/>
        </w:rPr>
        <w:t> </w:t>
      </w:r>
      <w:r>
        <w:rPr>
          <w:sz w:val="20"/>
        </w:rPr>
        <w:t>mode</w:t>
      </w:r>
      <w:r>
        <w:rPr>
          <w:spacing w:val="-5"/>
          <w:sz w:val="20"/>
        </w:rPr>
        <w:t> </w:t>
      </w:r>
      <w:r>
        <w:rPr>
          <w:sz w:val="20"/>
        </w:rPr>
        <w:t>of</w:t>
      </w:r>
      <w:r>
        <w:rPr>
          <w:spacing w:val="-7"/>
          <w:sz w:val="20"/>
        </w:rPr>
        <w:t> </w:t>
      </w:r>
      <w:r>
        <w:rPr>
          <w:sz w:val="20"/>
        </w:rPr>
        <w:t>pricing</w:t>
      </w:r>
      <w:r>
        <w:rPr>
          <w:spacing w:val="-7"/>
          <w:sz w:val="20"/>
        </w:rPr>
        <w:t> </w:t>
      </w:r>
      <w:r>
        <w:rPr>
          <w:sz w:val="20"/>
        </w:rPr>
        <w:t>should</w:t>
      </w:r>
      <w:r>
        <w:rPr>
          <w:spacing w:val="-4"/>
          <w:sz w:val="20"/>
        </w:rPr>
        <w:t> </w:t>
      </w:r>
      <w:r>
        <w:rPr>
          <w:sz w:val="20"/>
        </w:rPr>
        <w:t>be</w:t>
      </w:r>
      <w:r>
        <w:rPr>
          <w:spacing w:val="-5"/>
          <w:sz w:val="20"/>
        </w:rPr>
        <w:t> </w:t>
      </w:r>
      <w:r>
        <w:rPr>
          <w:sz w:val="20"/>
        </w:rPr>
        <w:t>established</w:t>
      </w:r>
      <w:r>
        <w:rPr>
          <w:spacing w:val="-2"/>
          <w:sz w:val="20"/>
        </w:rPr>
        <w:t> </w:t>
      </w:r>
      <w:r>
        <w:rPr>
          <w:sz w:val="20"/>
        </w:rPr>
        <w:t>when 75 % of all retail outlets in a jurisdiction have converted their dispensers to metric</w:t>
      </w:r>
      <w:r>
        <w:rPr>
          <w:spacing w:val="-23"/>
          <w:sz w:val="20"/>
        </w:rPr>
        <w:t> </w:t>
      </w:r>
      <w:r>
        <w:rPr>
          <w:sz w:val="20"/>
        </w:rPr>
        <w:t>measurement.</w:t>
      </w:r>
    </w:p>
    <w:p>
      <w:pPr>
        <w:pStyle w:val="BodyText"/>
        <w:spacing w:before="10"/>
      </w:pPr>
    </w:p>
    <w:p>
      <w:pPr>
        <w:pStyle w:val="ListParagraph"/>
        <w:numPr>
          <w:ilvl w:val="3"/>
          <w:numId w:val="11"/>
        </w:numPr>
        <w:tabs>
          <w:tab w:pos="900" w:val="left" w:leader="none"/>
          <w:tab w:pos="901" w:val="left" w:leader="none"/>
        </w:tabs>
        <w:spacing w:line="240" w:lineRule="auto" w:before="1" w:after="0"/>
        <w:ind w:left="900" w:right="0" w:hanging="360"/>
        <w:jc w:val="left"/>
        <w:rPr>
          <w:sz w:val="20"/>
        </w:rPr>
      </w:pPr>
      <w:r>
        <w:rPr>
          <w:sz w:val="20"/>
        </w:rPr>
        <w:t>Posting of Prices at the</w:t>
      </w:r>
      <w:r>
        <w:rPr>
          <w:spacing w:val="-5"/>
          <w:sz w:val="20"/>
        </w:rPr>
        <w:t> </w:t>
      </w:r>
      <w:r>
        <w:rPr>
          <w:sz w:val="20"/>
        </w:rPr>
        <w:t>Dispenser.</w:t>
      </w:r>
    </w:p>
    <w:p>
      <w:pPr>
        <w:pStyle w:val="BodyText"/>
        <w:spacing w:before="7"/>
      </w:pPr>
    </w:p>
    <w:p>
      <w:pPr>
        <w:pStyle w:val="BodyText"/>
        <w:spacing w:before="1"/>
        <w:ind w:left="900" w:right="420"/>
        <w:jc w:val="both"/>
      </w:pPr>
      <w:r>
        <w:rPr/>
        <w:t>Each retail outlet should use exclusively only one measurement method of sale (gallon or liter). A change from one method to another should be carried out for all devices dispensing motor fuels in the retail outlet.</w:t>
      </w:r>
    </w:p>
    <w:p>
      <w:pPr>
        <w:pStyle w:val="BodyText"/>
        <w:spacing w:before="10"/>
      </w:pPr>
    </w:p>
    <w:p>
      <w:pPr>
        <w:spacing w:before="0"/>
        <w:ind w:left="900" w:right="417" w:firstLine="0"/>
        <w:jc w:val="both"/>
        <w:rPr>
          <w:i/>
          <w:sz w:val="20"/>
        </w:rPr>
      </w:pPr>
      <w:r>
        <w:rPr>
          <w:i/>
          <w:sz w:val="20"/>
        </w:rPr>
        <w:t>In the case of liter sales, suitable posting of per gallon and per liter prices at the device, service island, </w:t>
      </w:r>
      <w:r>
        <w:rPr>
          <w:i/>
          <w:sz w:val="20"/>
        </w:rPr>
        <w:t>premises</w:t>
      </w:r>
      <w:r>
        <w:rPr>
          <w:i/>
          <w:spacing w:val="-4"/>
          <w:sz w:val="20"/>
        </w:rPr>
        <w:t> </w:t>
      </w:r>
      <w:r>
        <w:rPr>
          <w:i/>
          <w:sz w:val="20"/>
        </w:rPr>
        <w:t>of</w:t>
      </w:r>
      <w:r>
        <w:rPr>
          <w:i/>
          <w:spacing w:val="-3"/>
          <w:sz w:val="20"/>
        </w:rPr>
        <w:t> </w:t>
      </w:r>
      <w:r>
        <w:rPr>
          <w:i/>
          <w:sz w:val="20"/>
        </w:rPr>
        <w:t>the</w:t>
      </w:r>
      <w:r>
        <w:rPr>
          <w:i/>
          <w:spacing w:val="-2"/>
          <w:sz w:val="20"/>
        </w:rPr>
        <w:t> </w:t>
      </w:r>
      <w:r>
        <w:rPr>
          <w:i/>
          <w:sz w:val="20"/>
        </w:rPr>
        <w:t>retail</w:t>
      </w:r>
      <w:r>
        <w:rPr>
          <w:i/>
          <w:spacing w:val="-3"/>
          <w:sz w:val="20"/>
        </w:rPr>
        <w:t> </w:t>
      </w:r>
      <w:r>
        <w:rPr>
          <w:i/>
          <w:sz w:val="20"/>
        </w:rPr>
        <w:t>outlet,</w:t>
      </w:r>
      <w:r>
        <w:rPr>
          <w:i/>
          <w:spacing w:val="-4"/>
          <w:sz w:val="20"/>
        </w:rPr>
        <w:t> </w:t>
      </w:r>
      <w:r>
        <w:rPr>
          <w:i/>
          <w:sz w:val="20"/>
        </w:rPr>
        <w:t>or</w:t>
      </w:r>
      <w:r>
        <w:rPr>
          <w:i/>
          <w:spacing w:val="-4"/>
          <w:sz w:val="20"/>
        </w:rPr>
        <w:t> </w:t>
      </w:r>
      <w:r>
        <w:rPr>
          <w:i/>
          <w:sz w:val="20"/>
        </w:rPr>
        <w:t>any</w:t>
      </w:r>
      <w:r>
        <w:rPr>
          <w:i/>
          <w:spacing w:val="-4"/>
          <w:sz w:val="20"/>
        </w:rPr>
        <w:t> </w:t>
      </w:r>
      <w:r>
        <w:rPr>
          <w:i/>
          <w:sz w:val="20"/>
        </w:rPr>
        <w:t>other</w:t>
      </w:r>
      <w:r>
        <w:rPr>
          <w:i/>
          <w:spacing w:val="-4"/>
          <w:sz w:val="20"/>
        </w:rPr>
        <w:t> </w:t>
      </w:r>
      <w:r>
        <w:rPr>
          <w:i/>
          <w:sz w:val="20"/>
        </w:rPr>
        <w:t>locations</w:t>
      </w:r>
      <w:r>
        <w:rPr>
          <w:i/>
          <w:spacing w:val="-3"/>
          <w:sz w:val="20"/>
        </w:rPr>
        <w:t> </w:t>
      </w:r>
      <w:r>
        <w:rPr>
          <w:i/>
          <w:sz w:val="20"/>
        </w:rPr>
        <w:t>must</w:t>
      </w:r>
      <w:r>
        <w:rPr>
          <w:i/>
          <w:spacing w:val="-3"/>
          <w:sz w:val="20"/>
        </w:rPr>
        <w:t> </w:t>
      </w:r>
      <w:r>
        <w:rPr>
          <w:i/>
          <w:sz w:val="20"/>
        </w:rPr>
        <w:t>be</w:t>
      </w:r>
      <w:r>
        <w:rPr>
          <w:i/>
          <w:spacing w:val="-4"/>
          <w:sz w:val="20"/>
        </w:rPr>
        <w:t> </w:t>
      </w:r>
      <w:r>
        <w:rPr>
          <w:i/>
          <w:sz w:val="20"/>
        </w:rPr>
        <w:t>in</w:t>
      </w:r>
      <w:r>
        <w:rPr>
          <w:i/>
          <w:spacing w:val="-2"/>
          <w:sz w:val="20"/>
        </w:rPr>
        <w:t> </w:t>
      </w:r>
      <w:r>
        <w:rPr>
          <w:i/>
          <w:sz w:val="20"/>
        </w:rPr>
        <w:t>accordance</w:t>
      </w:r>
      <w:r>
        <w:rPr>
          <w:i/>
          <w:spacing w:val="-5"/>
          <w:sz w:val="20"/>
        </w:rPr>
        <w:t> </w:t>
      </w:r>
      <w:r>
        <w:rPr>
          <w:i/>
          <w:sz w:val="20"/>
        </w:rPr>
        <w:t>with</w:t>
      </w:r>
      <w:r>
        <w:rPr>
          <w:i/>
          <w:spacing w:val="-1"/>
          <w:sz w:val="20"/>
        </w:rPr>
        <w:t> </w:t>
      </w:r>
      <w:r>
        <w:rPr>
          <w:i/>
          <w:sz w:val="20"/>
        </w:rPr>
        <w:t>state</w:t>
      </w:r>
      <w:r>
        <w:rPr>
          <w:i/>
          <w:spacing w:val="-3"/>
          <w:sz w:val="20"/>
        </w:rPr>
        <w:t> </w:t>
      </w:r>
      <w:r>
        <w:rPr>
          <w:i/>
          <w:sz w:val="20"/>
        </w:rPr>
        <w:t>and</w:t>
      </w:r>
      <w:r>
        <w:rPr>
          <w:i/>
          <w:spacing w:val="-1"/>
          <w:sz w:val="20"/>
        </w:rPr>
        <w:t> </w:t>
      </w:r>
      <w:r>
        <w:rPr>
          <w:i/>
          <w:sz w:val="20"/>
        </w:rPr>
        <w:t>local</w:t>
      </w:r>
      <w:r>
        <w:rPr>
          <w:i/>
          <w:spacing w:val="-3"/>
          <w:sz w:val="20"/>
        </w:rPr>
        <w:t> </w:t>
      </w:r>
      <w:r>
        <w:rPr>
          <w:i/>
          <w:sz w:val="20"/>
        </w:rPr>
        <w:t>laws,</w:t>
      </w:r>
      <w:r>
        <w:rPr>
          <w:i/>
          <w:spacing w:val="-2"/>
          <w:sz w:val="20"/>
        </w:rPr>
        <w:t> </w:t>
      </w:r>
      <w:r>
        <w:rPr>
          <w:i/>
          <w:sz w:val="20"/>
        </w:rPr>
        <w:t>regula- tions, and ordinances, and in a manner that facilitates consumer comparisons between the per gallon price and the per liter price. Additional requirements may be necessary to avoid uncertainty as to nomenclature, location, and size of information on</w:t>
      </w:r>
      <w:r>
        <w:rPr>
          <w:i/>
          <w:spacing w:val="-2"/>
          <w:sz w:val="20"/>
        </w:rPr>
        <w:t> </w:t>
      </w:r>
      <w:r>
        <w:rPr>
          <w:i/>
          <w:sz w:val="20"/>
        </w:rPr>
        <w:t>signs.</w:t>
      </w:r>
    </w:p>
    <w:p>
      <w:pPr>
        <w:pStyle w:val="BodyText"/>
        <w:spacing w:before="10"/>
        <w:rPr>
          <w:i/>
        </w:rPr>
      </w:pPr>
    </w:p>
    <w:p>
      <w:pPr>
        <w:pStyle w:val="BodyText"/>
        <w:ind w:left="900"/>
      </w:pPr>
      <w:r>
        <w:rPr/>
        <w:t>It is recommended that:</w:t>
      </w:r>
    </w:p>
    <w:p>
      <w:pPr>
        <w:pStyle w:val="BodyText"/>
        <w:spacing w:before="11"/>
      </w:pPr>
    </w:p>
    <w:p>
      <w:pPr>
        <w:pStyle w:val="ListParagraph"/>
        <w:numPr>
          <w:ilvl w:val="4"/>
          <w:numId w:val="11"/>
        </w:numPr>
        <w:tabs>
          <w:tab w:pos="1260" w:val="left" w:leader="none"/>
          <w:tab w:pos="1261" w:val="left" w:leader="none"/>
        </w:tabs>
        <w:spacing w:line="240" w:lineRule="auto" w:before="0" w:after="0"/>
        <w:ind w:left="1260" w:right="415" w:hanging="360"/>
        <w:jc w:val="left"/>
        <w:rPr>
          <w:sz w:val="20"/>
        </w:rPr>
      </w:pPr>
      <w:r>
        <w:rPr>
          <w:sz w:val="20"/>
        </w:rPr>
        <w:t>Current</w:t>
      </w:r>
      <w:r>
        <w:rPr>
          <w:spacing w:val="-10"/>
          <w:sz w:val="20"/>
        </w:rPr>
        <w:t> </w:t>
      </w:r>
      <w:r>
        <w:rPr>
          <w:sz w:val="20"/>
        </w:rPr>
        <w:t>and</w:t>
      </w:r>
      <w:r>
        <w:rPr>
          <w:spacing w:val="-9"/>
          <w:sz w:val="20"/>
        </w:rPr>
        <w:t> </w:t>
      </w:r>
      <w:r>
        <w:rPr>
          <w:sz w:val="20"/>
        </w:rPr>
        <w:t>accurate</w:t>
      </w:r>
      <w:r>
        <w:rPr>
          <w:spacing w:val="-10"/>
          <w:sz w:val="20"/>
        </w:rPr>
        <w:t> </w:t>
      </w:r>
      <w:r>
        <w:rPr>
          <w:sz w:val="20"/>
        </w:rPr>
        <w:t>price</w:t>
      </w:r>
      <w:r>
        <w:rPr>
          <w:spacing w:val="-10"/>
          <w:sz w:val="20"/>
        </w:rPr>
        <w:t> </w:t>
      </w:r>
      <w:r>
        <w:rPr>
          <w:sz w:val="20"/>
        </w:rPr>
        <w:t>comparisons</w:t>
      </w:r>
      <w:r>
        <w:rPr>
          <w:spacing w:val="-10"/>
          <w:sz w:val="20"/>
        </w:rPr>
        <w:t> </w:t>
      </w:r>
      <w:r>
        <w:rPr>
          <w:sz w:val="20"/>
        </w:rPr>
        <w:t>between</w:t>
      </w:r>
      <w:r>
        <w:rPr>
          <w:spacing w:val="-9"/>
          <w:sz w:val="20"/>
        </w:rPr>
        <w:t> </w:t>
      </w:r>
      <w:r>
        <w:rPr>
          <w:sz w:val="20"/>
        </w:rPr>
        <w:t>gallon</w:t>
      </w:r>
      <w:r>
        <w:rPr>
          <w:spacing w:val="-11"/>
          <w:sz w:val="20"/>
        </w:rPr>
        <w:t> </w:t>
      </w:r>
      <w:r>
        <w:rPr>
          <w:sz w:val="20"/>
        </w:rPr>
        <w:t>and</w:t>
      </w:r>
      <w:r>
        <w:rPr>
          <w:spacing w:val="-7"/>
          <w:sz w:val="20"/>
        </w:rPr>
        <w:t> </w:t>
      </w:r>
      <w:r>
        <w:rPr>
          <w:sz w:val="20"/>
        </w:rPr>
        <w:t>liter</w:t>
      </w:r>
      <w:r>
        <w:rPr>
          <w:spacing w:val="-9"/>
          <w:sz w:val="20"/>
        </w:rPr>
        <w:t> </w:t>
      </w:r>
      <w:r>
        <w:rPr>
          <w:sz w:val="20"/>
        </w:rPr>
        <w:t>values</w:t>
      </w:r>
      <w:r>
        <w:rPr>
          <w:spacing w:val="-10"/>
          <w:sz w:val="20"/>
        </w:rPr>
        <w:t> </w:t>
      </w:r>
      <w:r>
        <w:rPr>
          <w:sz w:val="20"/>
        </w:rPr>
        <w:t>be</w:t>
      </w:r>
      <w:r>
        <w:rPr>
          <w:spacing w:val="-10"/>
          <w:sz w:val="20"/>
        </w:rPr>
        <w:t> </w:t>
      </w:r>
      <w:r>
        <w:rPr>
          <w:sz w:val="20"/>
        </w:rPr>
        <w:t>posted</w:t>
      </w:r>
      <w:r>
        <w:rPr>
          <w:spacing w:val="-9"/>
          <w:sz w:val="20"/>
        </w:rPr>
        <w:t> </w:t>
      </w:r>
      <w:r>
        <w:rPr>
          <w:sz w:val="20"/>
        </w:rPr>
        <w:t>at</w:t>
      </w:r>
      <w:r>
        <w:rPr>
          <w:spacing w:val="-10"/>
          <w:sz w:val="20"/>
        </w:rPr>
        <w:t> </w:t>
      </w:r>
      <w:r>
        <w:rPr>
          <w:sz w:val="20"/>
        </w:rPr>
        <w:t>the</w:t>
      </w:r>
      <w:r>
        <w:rPr>
          <w:spacing w:val="-9"/>
          <w:sz w:val="20"/>
        </w:rPr>
        <w:t> </w:t>
      </w:r>
      <w:r>
        <w:rPr>
          <w:sz w:val="20"/>
        </w:rPr>
        <w:t>dispenser</w:t>
      </w:r>
      <w:r>
        <w:rPr>
          <w:spacing w:val="-7"/>
          <w:sz w:val="20"/>
        </w:rPr>
        <w:t> </w:t>
      </w:r>
      <w:r>
        <w:rPr>
          <w:sz w:val="20"/>
        </w:rPr>
        <w:t>within easy view of the customer and visible from either side of the</w:t>
      </w:r>
      <w:r>
        <w:rPr>
          <w:spacing w:val="-8"/>
          <w:sz w:val="20"/>
        </w:rPr>
        <w:t> </w:t>
      </w:r>
      <w:r>
        <w:rPr>
          <w:sz w:val="20"/>
        </w:rPr>
        <w:t>island.</w:t>
      </w:r>
    </w:p>
    <w:p>
      <w:pPr>
        <w:pStyle w:val="BodyText"/>
        <w:spacing w:before="10"/>
      </w:pPr>
    </w:p>
    <w:p>
      <w:pPr>
        <w:pStyle w:val="ListParagraph"/>
        <w:numPr>
          <w:ilvl w:val="4"/>
          <w:numId w:val="11"/>
        </w:numPr>
        <w:tabs>
          <w:tab w:pos="1260" w:val="left" w:leader="none"/>
          <w:tab w:pos="1261" w:val="left" w:leader="none"/>
        </w:tabs>
        <w:spacing w:line="240" w:lineRule="auto" w:before="1" w:after="0"/>
        <w:ind w:left="1260" w:right="0" w:hanging="360"/>
        <w:jc w:val="left"/>
        <w:rPr>
          <w:sz w:val="20"/>
        </w:rPr>
      </w:pPr>
      <w:r>
        <w:rPr>
          <w:sz w:val="20"/>
        </w:rPr>
        <w:t>The sign should show equivalent quantity and price</w:t>
      </w:r>
      <w:r>
        <w:rPr>
          <w:spacing w:val="-4"/>
          <w:sz w:val="20"/>
        </w:rPr>
        <w:t> </w:t>
      </w:r>
      <w:r>
        <w:rPr>
          <w:sz w:val="20"/>
        </w:rPr>
        <w:t>information.</w:t>
      </w:r>
    </w:p>
    <w:p>
      <w:pPr>
        <w:pStyle w:val="BodyText"/>
        <w:spacing w:before="7"/>
      </w:pPr>
    </w:p>
    <w:p>
      <w:pPr>
        <w:pStyle w:val="Heading1"/>
        <w:spacing w:before="1"/>
        <w:ind w:left="1620"/>
      </w:pPr>
      <w:r>
        <w:rPr/>
        <w:t>Examples:</w:t>
      </w:r>
    </w:p>
    <w:p>
      <w:pPr>
        <w:pStyle w:val="BodyText"/>
        <w:ind w:left="1620" w:right="5574"/>
      </w:pPr>
      <w:r>
        <w:rPr/>
        <w:t>27.1¢ per liter = $1.026 per gallon 3.785 liters = 1 gallon</w:t>
      </w:r>
    </w:p>
    <w:p>
      <w:pPr>
        <w:pStyle w:val="BodyText"/>
        <w:spacing w:before="11"/>
      </w:pPr>
    </w:p>
    <w:p>
      <w:pPr>
        <w:pStyle w:val="ListParagraph"/>
        <w:numPr>
          <w:ilvl w:val="4"/>
          <w:numId w:val="11"/>
        </w:numPr>
        <w:tabs>
          <w:tab w:pos="1259" w:val="left" w:leader="none"/>
          <w:tab w:pos="1261" w:val="left" w:leader="none"/>
        </w:tabs>
        <w:spacing w:line="240" w:lineRule="auto" w:before="0" w:after="0"/>
        <w:ind w:left="1260" w:right="0" w:hanging="360"/>
        <w:jc w:val="left"/>
        <w:rPr>
          <w:sz w:val="20"/>
        </w:rPr>
      </w:pPr>
      <w:r>
        <w:rPr>
          <w:sz w:val="20"/>
        </w:rPr>
        <w:t>Letters and numerals should be at least ¾ in (19 mm) in height and ⅛ in (3 </w:t>
      </w:r>
      <w:r>
        <w:rPr>
          <w:spacing w:val="-2"/>
          <w:sz w:val="20"/>
        </w:rPr>
        <w:t>mm) </w:t>
      </w:r>
      <w:r>
        <w:rPr>
          <w:sz w:val="20"/>
        </w:rPr>
        <w:t>in width of</w:t>
      </w:r>
      <w:r>
        <w:rPr>
          <w:spacing w:val="-18"/>
          <w:sz w:val="20"/>
        </w:rPr>
        <w:t> </w:t>
      </w:r>
      <w:r>
        <w:rPr>
          <w:sz w:val="20"/>
        </w:rPr>
        <w:t>stroke.</w:t>
      </w:r>
    </w:p>
    <w:p>
      <w:pPr>
        <w:pStyle w:val="BodyText"/>
        <w:spacing w:before="10"/>
      </w:pPr>
    </w:p>
    <w:p>
      <w:pPr>
        <w:pStyle w:val="ListParagraph"/>
        <w:numPr>
          <w:ilvl w:val="3"/>
          <w:numId w:val="11"/>
        </w:numPr>
        <w:tabs>
          <w:tab w:pos="900" w:val="left" w:leader="none"/>
          <w:tab w:pos="901" w:val="left" w:leader="none"/>
        </w:tabs>
        <w:spacing w:line="240" w:lineRule="auto" w:before="0" w:after="0"/>
        <w:ind w:left="900" w:right="0" w:hanging="360"/>
        <w:jc w:val="left"/>
        <w:rPr>
          <w:sz w:val="20"/>
        </w:rPr>
      </w:pPr>
      <w:r>
        <w:rPr>
          <w:sz w:val="20"/>
        </w:rPr>
        <w:t>Quantity and Price Display on</w:t>
      </w:r>
      <w:r>
        <w:rPr>
          <w:spacing w:val="-7"/>
          <w:sz w:val="20"/>
        </w:rPr>
        <w:t> </w:t>
      </w:r>
      <w:r>
        <w:rPr>
          <w:sz w:val="20"/>
        </w:rPr>
        <w:t>Dispensers</w:t>
      </w:r>
    </w:p>
    <w:p>
      <w:pPr>
        <w:pStyle w:val="BodyText"/>
        <w:spacing w:before="8"/>
      </w:pPr>
    </w:p>
    <w:p>
      <w:pPr>
        <w:pStyle w:val="BodyText"/>
        <w:ind w:left="900" w:right="420"/>
        <w:jc w:val="both"/>
      </w:pPr>
      <w:r>
        <w:rPr/>
        <w:t>It is required that dispensers be designed to clearly show all required quantity and price information on the face(s) of a motor fuel dispenser in accordance with Handbook 44.</w:t>
      </w:r>
    </w:p>
    <w:p>
      <w:pPr>
        <w:pStyle w:val="BodyText"/>
        <w:spacing w:before="11"/>
      </w:pPr>
    </w:p>
    <w:p>
      <w:pPr>
        <w:pStyle w:val="ListParagraph"/>
        <w:numPr>
          <w:ilvl w:val="3"/>
          <w:numId w:val="11"/>
        </w:numPr>
        <w:tabs>
          <w:tab w:pos="900" w:val="left" w:leader="none"/>
          <w:tab w:pos="901" w:val="left" w:leader="none"/>
        </w:tabs>
        <w:spacing w:line="240" w:lineRule="auto" w:before="0" w:after="0"/>
        <w:ind w:left="900" w:right="0" w:hanging="360"/>
        <w:jc w:val="left"/>
        <w:rPr>
          <w:sz w:val="20"/>
        </w:rPr>
      </w:pPr>
      <w:r>
        <w:rPr>
          <w:sz w:val="20"/>
        </w:rPr>
        <w:t>Dispenser Modification</w:t>
      </w:r>
      <w:r>
        <w:rPr>
          <w:spacing w:val="-1"/>
          <w:sz w:val="20"/>
        </w:rPr>
        <w:t> </w:t>
      </w:r>
      <w:r>
        <w:rPr>
          <w:sz w:val="20"/>
        </w:rPr>
        <w:t>Kits</w:t>
      </w:r>
    </w:p>
    <w:p>
      <w:pPr>
        <w:pStyle w:val="BodyText"/>
        <w:spacing w:before="10"/>
      </w:pPr>
    </w:p>
    <w:p>
      <w:pPr>
        <w:pStyle w:val="BodyText"/>
        <w:ind w:left="900" w:right="416"/>
        <w:jc w:val="both"/>
      </w:pPr>
      <w:r>
        <w:rPr/>
        <w:t>As an interim alternative to “half pricing,” a number of computer modification kits have been installed to modify</w:t>
      </w:r>
      <w:r>
        <w:rPr>
          <w:spacing w:val="-11"/>
        </w:rPr>
        <w:t> </w:t>
      </w:r>
      <w:r>
        <w:rPr/>
        <w:t>existing</w:t>
      </w:r>
      <w:r>
        <w:rPr>
          <w:spacing w:val="-11"/>
        </w:rPr>
        <w:t> </w:t>
      </w:r>
      <w:r>
        <w:rPr/>
        <w:t>retail</w:t>
      </w:r>
      <w:r>
        <w:rPr>
          <w:spacing w:val="-9"/>
        </w:rPr>
        <w:t> </w:t>
      </w:r>
      <w:r>
        <w:rPr/>
        <w:t>motor</w:t>
      </w:r>
      <w:r>
        <w:rPr>
          <w:spacing w:val="-9"/>
        </w:rPr>
        <w:t> </w:t>
      </w:r>
      <w:r>
        <w:rPr/>
        <w:t>fuel</w:t>
      </w:r>
      <w:r>
        <w:rPr>
          <w:spacing w:val="-10"/>
        </w:rPr>
        <w:t> </w:t>
      </w:r>
      <w:r>
        <w:rPr/>
        <w:t>dispensers</w:t>
      </w:r>
      <w:r>
        <w:rPr>
          <w:spacing w:val="-9"/>
        </w:rPr>
        <w:t> </w:t>
      </w:r>
      <w:r>
        <w:rPr/>
        <w:t>that</w:t>
      </w:r>
      <w:r>
        <w:rPr>
          <w:spacing w:val="-6"/>
        </w:rPr>
        <w:t> </w:t>
      </w:r>
      <w:r>
        <w:rPr/>
        <w:t>were</w:t>
      </w:r>
      <w:r>
        <w:rPr>
          <w:spacing w:val="-10"/>
        </w:rPr>
        <w:t> </w:t>
      </w:r>
      <w:r>
        <w:rPr/>
        <w:t>not</w:t>
      </w:r>
      <w:r>
        <w:rPr>
          <w:spacing w:val="-10"/>
        </w:rPr>
        <w:t> </w:t>
      </w:r>
      <w:r>
        <w:rPr/>
        <w:t>designed</w:t>
      </w:r>
      <w:r>
        <w:rPr>
          <w:spacing w:val="-9"/>
        </w:rPr>
        <w:t> </w:t>
      </w:r>
      <w:r>
        <w:rPr/>
        <w:t>to</w:t>
      </w:r>
      <w:r>
        <w:rPr>
          <w:spacing w:val="-10"/>
        </w:rPr>
        <w:t> </w:t>
      </w:r>
      <w:r>
        <w:rPr/>
        <w:t>compute</w:t>
      </w:r>
      <w:r>
        <w:rPr>
          <w:spacing w:val="-10"/>
        </w:rPr>
        <w:t> </w:t>
      </w:r>
      <w:r>
        <w:rPr/>
        <w:t>and</w:t>
      </w:r>
      <w:r>
        <w:rPr>
          <w:spacing w:val="-9"/>
        </w:rPr>
        <w:t> </w:t>
      </w:r>
      <w:r>
        <w:rPr/>
        <w:t>indicate</w:t>
      </w:r>
      <w:r>
        <w:rPr>
          <w:spacing w:val="-7"/>
        </w:rPr>
        <w:t> </w:t>
      </w:r>
      <w:r>
        <w:rPr/>
        <w:t>prices</w:t>
      </w:r>
      <w:r>
        <w:rPr>
          <w:spacing w:val="-11"/>
        </w:rPr>
        <w:t> </w:t>
      </w:r>
      <w:r>
        <w:rPr/>
        <w:t>over</w:t>
      </w:r>
      <w:r>
        <w:rPr>
          <w:spacing w:val="-9"/>
        </w:rPr>
        <w:t> </w:t>
      </w:r>
      <w:r>
        <w:rPr/>
        <w:t>99.9¢ per gallon.</w:t>
      </w:r>
    </w:p>
    <w:p>
      <w:pPr>
        <w:pStyle w:val="BodyText"/>
        <w:spacing w:before="9"/>
      </w:pPr>
    </w:p>
    <w:p>
      <w:pPr>
        <w:spacing w:before="0"/>
        <w:ind w:left="900" w:right="414" w:firstLine="0"/>
        <w:jc w:val="both"/>
        <w:rPr>
          <w:i/>
          <w:sz w:val="20"/>
        </w:rPr>
      </w:pPr>
      <w:r>
        <w:rPr>
          <w:i/>
          <w:sz w:val="20"/>
        </w:rPr>
        <w:t>Some of the modification kits that have been referred to state weights and measures officials for approval </w:t>
      </w:r>
      <w:r>
        <w:rPr>
          <w:i/>
          <w:sz w:val="20"/>
        </w:rPr>
        <w:t>have been rejected as failing to conform to Handbook 44 requirements. It is recommended that all modifi- cation kits and future modifications of dispensers be so designed and made as to be in full compliance with all applicable requirements of Handbook 44.</w:t>
      </w:r>
    </w:p>
    <w:p>
      <w:pPr>
        <w:spacing w:after="0"/>
        <w:jc w:val="both"/>
        <w:rPr>
          <w:sz w:val="20"/>
        </w:rPr>
        <w:sectPr>
          <w:pgSz w:w="12240" w:h="15840"/>
          <w:pgMar w:header="730" w:footer="740" w:top="1340" w:bottom="940" w:left="1260" w:right="1020"/>
        </w:sectPr>
      </w:pPr>
    </w:p>
    <w:p>
      <w:pPr>
        <w:pStyle w:val="Heading1"/>
        <w:numPr>
          <w:ilvl w:val="2"/>
          <w:numId w:val="11"/>
        </w:numPr>
        <w:tabs>
          <w:tab w:pos="732" w:val="left" w:leader="none"/>
        </w:tabs>
        <w:spacing w:line="240" w:lineRule="auto" w:before="88" w:after="0"/>
        <w:ind w:left="732" w:right="0" w:hanging="552"/>
        <w:jc w:val="both"/>
      </w:pPr>
      <w:bookmarkStart w:name="_bookmark18" w:id="31"/>
      <w:bookmarkEnd w:id="31"/>
      <w:r>
        <w:rPr>
          <w:b w:val="0"/>
        </w:rPr>
      </w:r>
      <w:bookmarkStart w:name="_bookmark18" w:id="32"/>
      <w:bookmarkEnd w:id="32"/>
      <w:r>
        <w:rPr/>
        <w:t>O</w:t>
      </w:r>
      <w:r>
        <w:rPr/>
        <w:t>ctane Posting Regulations.</w:t>
      </w:r>
    </w:p>
    <w:p>
      <w:pPr>
        <w:pStyle w:val="BodyText"/>
        <w:spacing w:before="1"/>
        <w:ind w:left="179"/>
        <w:jc w:val="both"/>
      </w:pPr>
      <w:r>
        <w:rPr/>
        <w:t>(Liaison, 1979, p. 240)</w:t>
      </w:r>
    </w:p>
    <w:p>
      <w:pPr>
        <w:pStyle w:val="BodyText"/>
        <w:spacing w:before="10"/>
      </w:pPr>
    </w:p>
    <w:p>
      <w:pPr>
        <w:pStyle w:val="Heading1"/>
        <w:jc w:val="both"/>
      </w:pPr>
      <w:r>
        <w:rPr/>
        <w:t>Guideline</w:t>
      </w:r>
    </w:p>
    <w:p>
      <w:pPr>
        <w:pStyle w:val="BodyText"/>
        <w:spacing w:before="8"/>
        <w:rPr>
          <w:b/>
        </w:rPr>
      </w:pPr>
    </w:p>
    <w:p>
      <w:pPr>
        <w:pStyle w:val="BodyText"/>
        <w:ind w:left="179" w:right="419"/>
        <w:jc w:val="both"/>
      </w:pPr>
      <w:r>
        <w:rPr/>
        <w:t>Weights and Measures officials should report to the FTC any instances of failure to post octane ratings by service stations. These would most likely occur during routine inspections of service station gasoline dispensers. Reports should be made to the appropriate FTC regional offices as listed below.</w:t>
      </w:r>
    </w:p>
    <w:p>
      <w:pPr>
        <w:pStyle w:val="BodyText"/>
        <w:rPr>
          <w:sz w:val="21"/>
        </w:rPr>
      </w:pPr>
    </w:p>
    <w:p>
      <w:pPr>
        <w:pStyle w:val="Heading1"/>
        <w:jc w:val="both"/>
      </w:pPr>
      <w:r>
        <w:rPr/>
        <w:t>Background</w:t>
      </w:r>
    </w:p>
    <w:p>
      <w:pPr>
        <w:pStyle w:val="BodyText"/>
        <w:spacing w:before="10"/>
        <w:rPr>
          <w:b/>
        </w:rPr>
      </w:pPr>
    </w:p>
    <w:p>
      <w:pPr>
        <w:pStyle w:val="BodyText"/>
        <w:ind w:left="179" w:right="414"/>
        <w:jc w:val="both"/>
      </w:pPr>
      <w:r>
        <w:rPr/>
        <w:t>As</w:t>
      </w:r>
      <w:r>
        <w:rPr>
          <w:spacing w:val="-9"/>
        </w:rPr>
        <w:t> </w:t>
      </w:r>
      <w:r>
        <w:rPr/>
        <w:t>of</w:t>
      </w:r>
      <w:r>
        <w:rPr>
          <w:spacing w:val="-8"/>
        </w:rPr>
        <w:t> </w:t>
      </w:r>
      <w:r>
        <w:rPr/>
        <w:t>June</w:t>
      </w:r>
      <w:r>
        <w:rPr>
          <w:spacing w:val="-3"/>
        </w:rPr>
        <w:t> </w:t>
      </w:r>
      <w:r>
        <w:rPr/>
        <w:t>1,</w:t>
      </w:r>
      <w:r>
        <w:rPr>
          <w:spacing w:val="-2"/>
        </w:rPr>
        <w:t> </w:t>
      </w:r>
      <w:r>
        <w:rPr/>
        <w:t>1979,</w:t>
      </w:r>
      <w:r>
        <w:rPr>
          <w:spacing w:val="-9"/>
        </w:rPr>
        <w:t> </w:t>
      </w:r>
      <w:r>
        <w:rPr/>
        <w:t>the</w:t>
      </w:r>
      <w:r>
        <w:rPr>
          <w:spacing w:val="-7"/>
        </w:rPr>
        <w:t> </w:t>
      </w:r>
      <w:r>
        <w:rPr/>
        <w:t>FTC</w:t>
      </w:r>
      <w:r>
        <w:rPr>
          <w:spacing w:val="-9"/>
        </w:rPr>
        <w:t> </w:t>
      </w:r>
      <w:r>
        <w:rPr/>
        <w:t>requires</w:t>
      </w:r>
      <w:r>
        <w:rPr>
          <w:spacing w:val="-8"/>
        </w:rPr>
        <w:t> </w:t>
      </w:r>
      <w:r>
        <w:rPr/>
        <w:t>the</w:t>
      </w:r>
      <w:r>
        <w:rPr>
          <w:spacing w:val="-7"/>
        </w:rPr>
        <w:t> </w:t>
      </w:r>
      <w:r>
        <w:rPr/>
        <w:t>determination</w:t>
      </w:r>
      <w:r>
        <w:rPr>
          <w:spacing w:val="-8"/>
        </w:rPr>
        <w:t> </w:t>
      </w:r>
      <w:r>
        <w:rPr/>
        <w:t>of</w:t>
      </w:r>
      <w:r>
        <w:rPr>
          <w:spacing w:val="-9"/>
        </w:rPr>
        <w:t> </w:t>
      </w:r>
      <w:r>
        <w:rPr/>
        <w:t>octane</w:t>
      </w:r>
      <w:r>
        <w:rPr>
          <w:spacing w:val="-6"/>
        </w:rPr>
        <w:t> </w:t>
      </w:r>
      <w:r>
        <w:rPr/>
        <w:t>ratings</w:t>
      </w:r>
      <w:r>
        <w:rPr>
          <w:spacing w:val="-9"/>
        </w:rPr>
        <w:t> </w:t>
      </w:r>
      <w:r>
        <w:rPr/>
        <w:t>by</w:t>
      </w:r>
      <w:r>
        <w:rPr>
          <w:spacing w:val="-10"/>
        </w:rPr>
        <w:t> </w:t>
      </w:r>
      <w:r>
        <w:rPr/>
        <w:t>refiners,</w:t>
      </w:r>
      <w:r>
        <w:rPr>
          <w:spacing w:val="-6"/>
        </w:rPr>
        <w:t> </w:t>
      </w:r>
      <w:r>
        <w:rPr/>
        <w:t>the</w:t>
      </w:r>
      <w:r>
        <w:rPr>
          <w:spacing w:val="-7"/>
        </w:rPr>
        <w:t> </w:t>
      </w:r>
      <w:r>
        <w:rPr/>
        <w:t>certification</w:t>
      </w:r>
      <w:r>
        <w:rPr>
          <w:spacing w:val="-9"/>
        </w:rPr>
        <w:t> </w:t>
      </w:r>
      <w:r>
        <w:rPr/>
        <w:t>of</w:t>
      </w:r>
      <w:r>
        <w:rPr>
          <w:spacing w:val="-8"/>
        </w:rPr>
        <w:t> </w:t>
      </w:r>
      <w:r>
        <w:rPr/>
        <w:t>octane</w:t>
      </w:r>
      <w:r>
        <w:rPr>
          <w:spacing w:val="-7"/>
        </w:rPr>
        <w:t> </w:t>
      </w:r>
      <w:r>
        <w:rPr/>
        <w:t>ratings by</w:t>
      </w:r>
      <w:r>
        <w:rPr>
          <w:spacing w:val="-11"/>
        </w:rPr>
        <w:t> </w:t>
      </w:r>
      <w:r>
        <w:rPr/>
        <w:t>refiners</w:t>
      </w:r>
      <w:r>
        <w:rPr>
          <w:spacing w:val="-9"/>
        </w:rPr>
        <w:t> </w:t>
      </w:r>
      <w:r>
        <w:rPr/>
        <w:t>and</w:t>
      </w:r>
      <w:r>
        <w:rPr>
          <w:spacing w:val="-7"/>
        </w:rPr>
        <w:t> </w:t>
      </w:r>
      <w:r>
        <w:rPr/>
        <w:t>distributors,</w:t>
      </w:r>
      <w:r>
        <w:rPr>
          <w:spacing w:val="-7"/>
        </w:rPr>
        <w:t> </w:t>
      </w:r>
      <w:r>
        <w:rPr/>
        <w:t>and</w:t>
      </w:r>
      <w:r>
        <w:rPr>
          <w:spacing w:val="-7"/>
        </w:rPr>
        <w:t> </w:t>
      </w:r>
      <w:r>
        <w:rPr/>
        <w:t>the</w:t>
      </w:r>
      <w:r>
        <w:rPr>
          <w:spacing w:val="-7"/>
        </w:rPr>
        <w:t> </w:t>
      </w:r>
      <w:r>
        <w:rPr/>
        <w:t>posting</w:t>
      </w:r>
      <w:r>
        <w:rPr>
          <w:spacing w:val="-8"/>
        </w:rPr>
        <w:t> </w:t>
      </w:r>
      <w:r>
        <w:rPr/>
        <w:t>of</w:t>
      </w:r>
      <w:r>
        <w:rPr>
          <w:spacing w:val="-9"/>
        </w:rPr>
        <w:t> </w:t>
      </w:r>
      <w:r>
        <w:rPr/>
        <w:t>octane</w:t>
      </w:r>
      <w:r>
        <w:rPr>
          <w:spacing w:val="-8"/>
        </w:rPr>
        <w:t> </w:t>
      </w:r>
      <w:r>
        <w:rPr/>
        <w:t>ratings</w:t>
      </w:r>
      <w:r>
        <w:rPr>
          <w:spacing w:val="-6"/>
        </w:rPr>
        <w:t> </w:t>
      </w:r>
      <w:r>
        <w:rPr/>
        <w:t>by</w:t>
      </w:r>
      <w:r>
        <w:rPr>
          <w:spacing w:val="-11"/>
        </w:rPr>
        <w:t> </w:t>
      </w:r>
      <w:r>
        <w:rPr/>
        <w:t>retailers</w:t>
      </w:r>
      <w:r>
        <w:rPr>
          <w:spacing w:val="-9"/>
        </w:rPr>
        <w:t> </w:t>
      </w:r>
      <w:r>
        <w:rPr/>
        <w:t>on</w:t>
      </w:r>
      <w:r>
        <w:rPr>
          <w:spacing w:val="-8"/>
        </w:rPr>
        <w:t> </w:t>
      </w:r>
      <w:r>
        <w:rPr/>
        <w:t>all</w:t>
      </w:r>
      <w:r>
        <w:rPr>
          <w:spacing w:val="-6"/>
        </w:rPr>
        <w:t> </w:t>
      </w:r>
      <w:r>
        <w:rPr/>
        <w:t>gasoline</w:t>
      </w:r>
      <w:r>
        <w:rPr>
          <w:spacing w:val="-7"/>
        </w:rPr>
        <w:t> </w:t>
      </w:r>
      <w:r>
        <w:rPr/>
        <w:t>pumps.</w:t>
      </w:r>
      <w:r>
        <w:rPr>
          <w:spacing w:val="35"/>
        </w:rPr>
        <w:t> </w:t>
      </w:r>
      <w:r>
        <w:rPr/>
        <w:t>The</w:t>
      </w:r>
      <w:r>
        <w:rPr>
          <w:spacing w:val="-8"/>
        </w:rPr>
        <w:t> </w:t>
      </w:r>
      <w:r>
        <w:rPr/>
        <w:t>requirements</w:t>
      </w:r>
      <w:r>
        <w:rPr>
          <w:spacing w:val="-9"/>
        </w:rPr>
        <w:t> </w:t>
      </w:r>
      <w:r>
        <w:rPr/>
        <w:t>are set forth in Public Law 95 297, the Petroleum Marketing Practices Act (PMPA), passed in June 1978 and the FTC’s Octane Rule, 16 CFR 306. Although the octane posting rule has no effect on most FTC programs administered by state weights and measures officials with respect to checking gasoline dispensing devices for accuracy, the Liaison Committee feels that the Conference should be generally informed about the law and the FTC rule, if only to be prepared to answer inquiries about it or for some probable future enforcement demands. Keeping apprised of devel- opments associated with the rule may be advisable. In addition, it will affect states which have octane certification and posting</w:t>
      </w:r>
      <w:r>
        <w:rPr>
          <w:spacing w:val="-1"/>
        </w:rPr>
        <w:t> </w:t>
      </w:r>
      <w:r>
        <w:rPr/>
        <w:t>programs.</w:t>
      </w:r>
    </w:p>
    <w:p>
      <w:pPr>
        <w:pStyle w:val="BodyText"/>
        <w:spacing w:before="10"/>
      </w:pPr>
    </w:p>
    <w:p>
      <w:pPr>
        <w:spacing w:before="0"/>
        <w:ind w:left="179" w:right="414" w:firstLine="0"/>
        <w:jc w:val="both"/>
        <w:rPr>
          <w:sz w:val="20"/>
        </w:rPr>
      </w:pPr>
      <w:r>
        <w:rPr>
          <w:sz w:val="20"/>
        </w:rPr>
        <w:t>Information on the FTC Regional Offices can be obtained at </w:t>
      </w:r>
      <w:hyperlink r:id="rId26">
        <w:r>
          <w:rPr>
            <w:b/>
            <w:sz w:val="20"/>
          </w:rPr>
          <w:t>www.ftc.gov/about-ftc/bureaus-offices/regional-of-</w:t>
        </w:r>
      </w:hyperlink>
      <w:r>
        <w:rPr>
          <w:b/>
          <w:sz w:val="20"/>
        </w:rPr>
        <w:t> </w:t>
      </w:r>
      <w:hyperlink r:id="rId26">
        <w:r>
          <w:rPr>
            <w:b/>
            <w:sz w:val="20"/>
          </w:rPr>
          <w:t>fices </w:t>
        </w:r>
      </w:hyperlink>
      <w:r>
        <w:rPr>
          <w:sz w:val="20"/>
        </w:rPr>
        <w:t>or by mail Consumer Response Center, Federal Trade Commission, 600 Pennsylvania Avenue, NW, Washing- ton, DC 20580. Telephone: (877) 382-4358.</w:t>
      </w:r>
    </w:p>
    <w:p>
      <w:pPr>
        <w:pStyle w:val="BodyText"/>
        <w:spacing w:before="11"/>
      </w:pPr>
    </w:p>
    <w:p>
      <w:pPr>
        <w:pStyle w:val="BodyText"/>
        <w:ind w:left="179"/>
        <w:jc w:val="both"/>
      </w:pPr>
      <w:r>
        <w:rPr/>
        <w:t>The preemption section of PMPA (204) reads as follows:</w:t>
      </w:r>
    </w:p>
    <w:p>
      <w:pPr>
        <w:pStyle w:val="BodyText"/>
        <w:spacing w:before="8"/>
      </w:pPr>
    </w:p>
    <w:p>
      <w:pPr>
        <w:pStyle w:val="BodyText"/>
        <w:ind w:left="179" w:right="416"/>
        <w:jc w:val="both"/>
      </w:pPr>
      <w:r>
        <w:rPr/>
        <w:t>Section 204. To the extent that any provision of this title applies to any act or omission, no state or any political subdivision thereof may adopt, enforce, or continue in effect any provision of any law or regulation (including any remedy or penalty applicable to any violation thereof) with respect to such act or omission, unless such provision of such law or regulation is the same as the applicable provision of this title.</w:t>
      </w:r>
    </w:p>
    <w:p>
      <w:pPr>
        <w:pStyle w:val="BodyText"/>
        <w:rPr>
          <w:sz w:val="21"/>
        </w:rPr>
      </w:pPr>
    </w:p>
    <w:p>
      <w:pPr>
        <w:pStyle w:val="BodyText"/>
        <w:ind w:left="179" w:right="422"/>
        <w:jc w:val="both"/>
      </w:pPr>
      <w:r>
        <w:rPr/>
        <w:t>Section 204 prohibits states and other political subdivisions from enforcing requirements that are not the same as the applicable provisions of this law. Jurisdictions having octane requirements should carefully review with their legal advisors the effect of this law.</w:t>
      </w:r>
    </w:p>
    <w:p>
      <w:pPr>
        <w:pStyle w:val="BodyText"/>
        <w:spacing w:before="9"/>
      </w:pPr>
    </w:p>
    <w:p>
      <w:pPr>
        <w:pStyle w:val="BodyText"/>
        <w:ind w:left="179" w:right="415"/>
        <w:jc w:val="both"/>
      </w:pPr>
      <w:r>
        <w:rPr/>
        <w:t>The FTC’s Octane rule was published in final form on March 30, 1979, in the Federal Register (Vol. 44, No. 63, Part V, pp. 19160 19172). The rule became effective June 1,</w:t>
      </w:r>
      <w:r>
        <w:rPr>
          <w:spacing w:val="-1"/>
        </w:rPr>
        <w:t> </w:t>
      </w:r>
      <w:r>
        <w:rPr/>
        <w:t>1979.</w:t>
      </w:r>
    </w:p>
    <w:p>
      <w:pPr>
        <w:pStyle w:val="BodyText"/>
        <w:spacing w:before="11"/>
      </w:pPr>
    </w:p>
    <w:p>
      <w:pPr>
        <w:pStyle w:val="BodyText"/>
        <w:ind w:left="179" w:right="419"/>
        <w:jc w:val="both"/>
      </w:pPr>
      <w:r>
        <w:rPr/>
        <w:t>The law requires that refiners determine octane ratings of their products, and certify them to their distributors. The distributors must pass along the certification to the retailer, unless he blends the gas, in which case he may have to certify his blend.</w:t>
      </w:r>
    </w:p>
    <w:p>
      <w:pPr>
        <w:pStyle w:val="BodyText"/>
        <w:spacing w:before="9"/>
      </w:pPr>
    </w:p>
    <w:p>
      <w:pPr>
        <w:pStyle w:val="BodyText"/>
        <w:ind w:left="179" w:right="418"/>
        <w:jc w:val="both"/>
      </w:pPr>
      <w:r>
        <w:rPr/>
        <w:t>A similar procedure relating to the posting of octane ratings is set forth for the retailer. The FTC is responsible for enforcement</w:t>
      </w:r>
      <w:r>
        <w:rPr>
          <w:spacing w:val="-7"/>
        </w:rPr>
        <w:t> </w:t>
      </w:r>
      <w:r>
        <w:rPr/>
        <w:t>with</w:t>
      </w:r>
      <w:r>
        <w:rPr>
          <w:spacing w:val="-9"/>
        </w:rPr>
        <w:t> </w:t>
      </w:r>
      <w:r>
        <w:rPr/>
        <w:t>respect</w:t>
      </w:r>
      <w:r>
        <w:rPr>
          <w:spacing w:val="-8"/>
        </w:rPr>
        <w:t> </w:t>
      </w:r>
      <w:r>
        <w:rPr/>
        <w:t>to</w:t>
      </w:r>
      <w:r>
        <w:rPr>
          <w:spacing w:val="-8"/>
        </w:rPr>
        <w:t> </w:t>
      </w:r>
      <w:r>
        <w:rPr/>
        <w:t>the</w:t>
      </w:r>
      <w:r>
        <w:rPr>
          <w:spacing w:val="-7"/>
        </w:rPr>
        <w:t> </w:t>
      </w:r>
      <w:r>
        <w:rPr/>
        <w:t>accuracy</w:t>
      </w:r>
      <w:r>
        <w:rPr>
          <w:spacing w:val="-11"/>
        </w:rPr>
        <w:t> </w:t>
      </w:r>
      <w:r>
        <w:rPr/>
        <w:t>of</w:t>
      </w:r>
      <w:r>
        <w:rPr>
          <w:spacing w:val="-9"/>
        </w:rPr>
        <w:t> </w:t>
      </w:r>
      <w:r>
        <w:rPr/>
        <w:t>the</w:t>
      </w:r>
      <w:r>
        <w:rPr>
          <w:spacing w:val="-8"/>
        </w:rPr>
        <w:t> </w:t>
      </w:r>
      <w:r>
        <w:rPr/>
        <w:t>certified</w:t>
      </w:r>
      <w:r>
        <w:rPr>
          <w:spacing w:val="-7"/>
        </w:rPr>
        <w:t> </w:t>
      </w:r>
      <w:r>
        <w:rPr/>
        <w:t>ratings.</w:t>
      </w:r>
      <w:r>
        <w:rPr>
          <w:spacing w:val="32"/>
        </w:rPr>
        <w:t> </w:t>
      </w:r>
      <w:r>
        <w:rPr/>
        <w:t>The</w:t>
      </w:r>
      <w:r>
        <w:rPr>
          <w:spacing w:val="-7"/>
        </w:rPr>
        <w:t> </w:t>
      </w:r>
      <w:r>
        <w:rPr/>
        <w:t>FTC</w:t>
      </w:r>
      <w:r>
        <w:rPr>
          <w:spacing w:val="-9"/>
        </w:rPr>
        <w:t> </w:t>
      </w:r>
      <w:r>
        <w:rPr/>
        <w:t>is</w:t>
      </w:r>
      <w:r>
        <w:rPr>
          <w:spacing w:val="-9"/>
        </w:rPr>
        <w:t> </w:t>
      </w:r>
      <w:r>
        <w:rPr/>
        <w:t>also</w:t>
      </w:r>
      <w:r>
        <w:rPr>
          <w:spacing w:val="-8"/>
        </w:rPr>
        <w:t> </w:t>
      </w:r>
      <w:r>
        <w:rPr/>
        <w:t>empowered</w:t>
      </w:r>
      <w:r>
        <w:rPr>
          <w:spacing w:val="-7"/>
        </w:rPr>
        <w:t> </w:t>
      </w:r>
      <w:r>
        <w:rPr/>
        <w:t>to</w:t>
      </w:r>
      <w:r>
        <w:rPr>
          <w:spacing w:val="-9"/>
        </w:rPr>
        <w:t> </w:t>
      </w:r>
      <w:r>
        <w:rPr/>
        <w:t>check</w:t>
      </w:r>
      <w:r>
        <w:rPr>
          <w:spacing w:val="-9"/>
        </w:rPr>
        <w:t> </w:t>
      </w:r>
      <w:r>
        <w:rPr/>
        <w:t>records,</w:t>
      </w:r>
      <w:r>
        <w:rPr>
          <w:spacing w:val="-8"/>
        </w:rPr>
        <w:t> </w:t>
      </w:r>
      <w:r>
        <w:rPr/>
        <w:t>which must be retained for one year by each link in the distribution</w:t>
      </w:r>
      <w:r>
        <w:rPr>
          <w:spacing w:val="-3"/>
        </w:rPr>
        <w:t> </w:t>
      </w:r>
      <w:r>
        <w:rPr/>
        <w:t>chain.</w:t>
      </w:r>
    </w:p>
    <w:p>
      <w:pPr>
        <w:pStyle w:val="BodyText"/>
        <w:rPr>
          <w:sz w:val="21"/>
        </w:rPr>
      </w:pPr>
    </w:p>
    <w:p>
      <w:pPr>
        <w:pStyle w:val="BodyText"/>
        <w:ind w:left="179" w:right="417"/>
        <w:jc w:val="both"/>
      </w:pPr>
      <w:r>
        <w:rPr/>
        <w:t>The</w:t>
      </w:r>
      <w:r>
        <w:rPr>
          <w:spacing w:val="-11"/>
        </w:rPr>
        <w:t> </w:t>
      </w:r>
      <w:r>
        <w:rPr/>
        <w:t>FTC</w:t>
      </w:r>
      <w:r>
        <w:rPr>
          <w:spacing w:val="-13"/>
        </w:rPr>
        <w:t> </w:t>
      </w:r>
      <w:r>
        <w:rPr/>
        <w:t>is</w:t>
      </w:r>
      <w:r>
        <w:rPr>
          <w:spacing w:val="-12"/>
        </w:rPr>
        <w:t> </w:t>
      </w:r>
      <w:r>
        <w:rPr/>
        <w:t>in</w:t>
      </w:r>
      <w:r>
        <w:rPr>
          <w:spacing w:val="-10"/>
        </w:rPr>
        <w:t> </w:t>
      </w:r>
      <w:r>
        <w:rPr/>
        <w:t>need</w:t>
      </w:r>
      <w:r>
        <w:rPr>
          <w:spacing w:val="-10"/>
        </w:rPr>
        <w:t> </w:t>
      </w:r>
      <w:r>
        <w:rPr/>
        <w:t>of</w:t>
      </w:r>
      <w:r>
        <w:rPr>
          <w:spacing w:val="-11"/>
        </w:rPr>
        <w:t> </w:t>
      </w:r>
      <w:r>
        <w:rPr/>
        <w:t>help</w:t>
      </w:r>
      <w:r>
        <w:rPr>
          <w:spacing w:val="-10"/>
        </w:rPr>
        <w:t> </w:t>
      </w:r>
      <w:r>
        <w:rPr/>
        <w:t>from</w:t>
      </w:r>
      <w:r>
        <w:rPr>
          <w:spacing w:val="-13"/>
        </w:rPr>
        <w:t> </w:t>
      </w:r>
      <w:r>
        <w:rPr/>
        <w:t>the</w:t>
      </w:r>
      <w:r>
        <w:rPr>
          <w:spacing w:val="-11"/>
        </w:rPr>
        <w:t> </w:t>
      </w:r>
      <w:r>
        <w:rPr/>
        <w:t>state</w:t>
      </w:r>
      <w:r>
        <w:rPr>
          <w:spacing w:val="-11"/>
        </w:rPr>
        <w:t> </w:t>
      </w:r>
      <w:r>
        <w:rPr/>
        <w:t>and</w:t>
      </w:r>
      <w:r>
        <w:rPr>
          <w:spacing w:val="-10"/>
        </w:rPr>
        <w:t> </w:t>
      </w:r>
      <w:r>
        <w:rPr/>
        <w:t>local</w:t>
      </w:r>
      <w:r>
        <w:rPr>
          <w:spacing w:val="-12"/>
        </w:rPr>
        <w:t> </w:t>
      </w:r>
      <w:r>
        <w:rPr/>
        <w:t>jurisdictions</w:t>
      </w:r>
      <w:r>
        <w:rPr>
          <w:spacing w:val="-12"/>
        </w:rPr>
        <w:t> </w:t>
      </w:r>
      <w:r>
        <w:rPr/>
        <w:t>in</w:t>
      </w:r>
      <w:r>
        <w:rPr>
          <w:spacing w:val="-13"/>
        </w:rPr>
        <w:t> </w:t>
      </w:r>
      <w:r>
        <w:rPr/>
        <w:t>the</w:t>
      </w:r>
      <w:r>
        <w:rPr>
          <w:spacing w:val="-11"/>
        </w:rPr>
        <w:t> </w:t>
      </w:r>
      <w:r>
        <w:rPr/>
        <w:t>area</w:t>
      </w:r>
      <w:r>
        <w:rPr>
          <w:spacing w:val="-11"/>
        </w:rPr>
        <w:t> </w:t>
      </w:r>
      <w:r>
        <w:rPr/>
        <w:t>of</w:t>
      </w:r>
      <w:r>
        <w:rPr>
          <w:spacing w:val="-13"/>
        </w:rPr>
        <w:t> </w:t>
      </w:r>
      <w:r>
        <w:rPr/>
        <w:t>surveillance</w:t>
      </w:r>
      <w:r>
        <w:rPr>
          <w:spacing w:val="-9"/>
        </w:rPr>
        <w:t> </w:t>
      </w:r>
      <w:r>
        <w:rPr/>
        <w:t>and</w:t>
      </w:r>
      <w:r>
        <w:rPr>
          <w:spacing w:val="-10"/>
        </w:rPr>
        <w:t> </w:t>
      </w:r>
      <w:r>
        <w:rPr/>
        <w:t>testing.</w:t>
      </w:r>
      <w:r>
        <w:rPr>
          <w:spacing w:val="28"/>
        </w:rPr>
        <w:t> </w:t>
      </w:r>
      <w:r>
        <w:rPr/>
        <w:t>Such</w:t>
      </w:r>
      <w:r>
        <w:rPr>
          <w:spacing w:val="-13"/>
        </w:rPr>
        <w:t> </w:t>
      </w:r>
      <w:r>
        <w:rPr/>
        <w:t>assistance could occur at a number of levels. Notice of octane mislabeling and failure to post octane ratings is</w:t>
      </w:r>
      <w:r>
        <w:rPr>
          <w:spacing w:val="-32"/>
        </w:rPr>
        <w:t> </w:t>
      </w:r>
      <w:r>
        <w:rPr/>
        <w:t>requested.</w:t>
      </w:r>
    </w:p>
    <w:p>
      <w:pPr>
        <w:pStyle w:val="BodyText"/>
        <w:spacing w:before="8"/>
      </w:pPr>
    </w:p>
    <w:p>
      <w:pPr>
        <w:pStyle w:val="BodyText"/>
        <w:ind w:left="179" w:right="420"/>
        <w:jc w:val="both"/>
      </w:pPr>
      <w:r>
        <w:rPr/>
        <w:t>Other levels of assistance would concern jurisdictions that have octane testing programs and would be interested in cooperating with FTC in testing or in reporting discrepancies in octane rating.</w:t>
      </w:r>
    </w:p>
    <w:p>
      <w:pPr>
        <w:spacing w:after="0"/>
        <w:jc w:val="both"/>
        <w:sectPr>
          <w:footerReference w:type="even" r:id="rId24"/>
          <w:footerReference w:type="default" r:id="rId25"/>
          <w:pgSz w:w="12240" w:h="15840"/>
          <w:pgMar w:footer="741" w:header="730" w:top="1340" w:bottom="940" w:left="1260" w:right="1020"/>
        </w:sectPr>
      </w:pPr>
    </w:p>
    <w:p>
      <w:pPr>
        <w:pStyle w:val="BodyText"/>
        <w:spacing w:before="1"/>
        <w:rPr>
          <w:sz w:val="17"/>
        </w:rPr>
      </w:pPr>
    </w:p>
    <w:p>
      <w:pPr>
        <w:pStyle w:val="Heading1"/>
        <w:numPr>
          <w:ilvl w:val="2"/>
          <w:numId w:val="11"/>
        </w:numPr>
        <w:tabs>
          <w:tab w:pos="730" w:val="left" w:leader="none"/>
        </w:tabs>
        <w:spacing w:line="240" w:lineRule="auto" w:before="91" w:after="0"/>
        <w:ind w:left="729" w:right="0" w:hanging="549"/>
        <w:jc w:val="left"/>
      </w:pPr>
      <w:r>
        <w:rPr/>
        <w:t>Multi-Tier Pricing: Motor Fuel Deliveries (Computing Pumps or</w:t>
      </w:r>
      <w:r>
        <w:rPr>
          <w:spacing w:val="-8"/>
        </w:rPr>
        <w:t> </w:t>
      </w:r>
      <w:r>
        <w:rPr/>
        <w:t>Dispensers).</w:t>
      </w:r>
    </w:p>
    <w:p>
      <w:pPr>
        <w:pStyle w:val="BodyText"/>
        <w:spacing w:before="1"/>
        <w:ind w:left="179"/>
      </w:pPr>
      <w:r>
        <w:rPr/>
        <w:t>(L&amp;R, 1982, p. 150; L&amp;R, 1985, p. 100) (L&amp;R, 1988, p. 162)</w:t>
      </w:r>
    </w:p>
    <w:p>
      <w:pPr>
        <w:pStyle w:val="BodyText"/>
        <w:spacing w:before="10"/>
      </w:pPr>
    </w:p>
    <w:p>
      <w:pPr>
        <w:pStyle w:val="Heading1"/>
        <w:ind w:left="180"/>
      </w:pPr>
      <w:r>
        <w:rPr/>
        <w:t>Policy</w:t>
      </w:r>
    </w:p>
    <w:p>
      <w:pPr>
        <w:pStyle w:val="BodyText"/>
        <w:spacing w:before="10"/>
        <w:rPr>
          <w:b/>
        </w:rPr>
      </w:pPr>
    </w:p>
    <w:p>
      <w:pPr>
        <w:pStyle w:val="BodyText"/>
        <w:ind w:left="179" w:right="416"/>
        <w:jc w:val="both"/>
      </w:pPr>
      <w:r>
        <w:rPr/>
        <w:t>Charging different prices for the same product depending upon the manner of payment, other purchases, amount of service, etc., is a management decision of the merchandiser. Those merchants who elect to offer multiple prices for motor fuel must comply with the state and local weights and measure laws and regulations, including Handbook 44. They</w:t>
      </w:r>
      <w:r>
        <w:rPr>
          <w:spacing w:val="-11"/>
        </w:rPr>
        <w:t> </w:t>
      </w:r>
      <w:r>
        <w:rPr/>
        <w:t>must</w:t>
      </w:r>
      <w:r>
        <w:rPr>
          <w:spacing w:val="-10"/>
        </w:rPr>
        <w:t> </w:t>
      </w:r>
      <w:r>
        <w:rPr/>
        <w:t>also</w:t>
      </w:r>
      <w:r>
        <w:rPr>
          <w:spacing w:val="-7"/>
        </w:rPr>
        <w:t> </w:t>
      </w:r>
      <w:r>
        <w:rPr/>
        <w:t>make</w:t>
      </w:r>
      <w:r>
        <w:rPr>
          <w:spacing w:val="-8"/>
        </w:rPr>
        <w:t> </w:t>
      </w:r>
      <w:r>
        <w:rPr/>
        <w:t>marketing</w:t>
      </w:r>
      <w:r>
        <w:rPr>
          <w:spacing w:val="-11"/>
        </w:rPr>
        <w:t> </w:t>
      </w:r>
      <w:r>
        <w:rPr/>
        <w:t>decisions</w:t>
      </w:r>
      <w:r>
        <w:rPr>
          <w:spacing w:val="-10"/>
        </w:rPr>
        <w:t> </w:t>
      </w:r>
      <w:r>
        <w:rPr/>
        <w:t>that</w:t>
      </w:r>
      <w:r>
        <w:rPr>
          <w:spacing w:val="-10"/>
        </w:rPr>
        <w:t> </w:t>
      </w:r>
      <w:r>
        <w:rPr/>
        <w:t>comply</w:t>
      </w:r>
      <w:r>
        <w:rPr>
          <w:spacing w:val="-9"/>
        </w:rPr>
        <w:t> </w:t>
      </w:r>
      <w:r>
        <w:rPr/>
        <w:t>with</w:t>
      </w:r>
      <w:r>
        <w:rPr>
          <w:spacing w:val="-10"/>
        </w:rPr>
        <w:t> </w:t>
      </w:r>
      <w:r>
        <w:rPr/>
        <w:t>state</w:t>
      </w:r>
      <w:r>
        <w:rPr>
          <w:spacing w:val="-10"/>
        </w:rPr>
        <w:t> </w:t>
      </w:r>
      <w:r>
        <w:rPr/>
        <w:t>truth</w:t>
      </w:r>
      <w:r>
        <w:rPr>
          <w:spacing w:val="-11"/>
        </w:rPr>
        <w:t> </w:t>
      </w:r>
      <w:r>
        <w:rPr/>
        <w:t>in</w:t>
      </w:r>
      <w:r>
        <w:rPr>
          <w:spacing w:val="-9"/>
        </w:rPr>
        <w:t> </w:t>
      </w:r>
      <w:r>
        <w:rPr/>
        <w:t>lending,</w:t>
      </w:r>
      <w:r>
        <w:rPr>
          <w:spacing w:val="-10"/>
        </w:rPr>
        <w:t> </w:t>
      </w:r>
      <w:r>
        <w:rPr/>
        <w:t>cash</w:t>
      </w:r>
      <w:r>
        <w:rPr>
          <w:spacing w:val="-10"/>
        </w:rPr>
        <w:t> </w:t>
      </w:r>
      <w:r>
        <w:rPr/>
        <w:t>discount,</w:t>
      </w:r>
      <w:r>
        <w:rPr>
          <w:spacing w:val="-10"/>
        </w:rPr>
        <w:t> </w:t>
      </w:r>
      <w:r>
        <w:rPr/>
        <w:t>price</w:t>
      </w:r>
      <w:r>
        <w:rPr>
          <w:spacing w:val="-10"/>
        </w:rPr>
        <w:t> </w:t>
      </w:r>
      <w:r>
        <w:rPr/>
        <w:t>advertising,</w:t>
      </w:r>
      <w:r>
        <w:rPr>
          <w:spacing w:val="-10"/>
        </w:rPr>
        <w:t> </w:t>
      </w:r>
      <w:r>
        <w:rPr/>
        <w:t>and usury</w:t>
      </w:r>
      <w:r>
        <w:rPr>
          <w:spacing w:val="-17"/>
        </w:rPr>
        <w:t> </w:t>
      </w:r>
      <w:r>
        <w:rPr/>
        <w:t>laws.</w:t>
      </w:r>
      <w:r>
        <w:rPr>
          <w:spacing w:val="25"/>
        </w:rPr>
        <w:t> </w:t>
      </w:r>
      <w:r>
        <w:rPr/>
        <w:t>All</w:t>
      </w:r>
      <w:r>
        <w:rPr>
          <w:spacing w:val="-14"/>
        </w:rPr>
        <w:t> </w:t>
      </w:r>
      <w:r>
        <w:rPr/>
        <w:t>such</w:t>
      </w:r>
      <w:r>
        <w:rPr>
          <w:spacing w:val="-15"/>
        </w:rPr>
        <w:t> </w:t>
      </w:r>
      <w:r>
        <w:rPr/>
        <w:t>laws</w:t>
      </w:r>
      <w:r>
        <w:rPr>
          <w:spacing w:val="-14"/>
        </w:rPr>
        <w:t> </w:t>
      </w:r>
      <w:r>
        <w:rPr/>
        <w:t>are</w:t>
      </w:r>
      <w:r>
        <w:rPr>
          <w:spacing w:val="-14"/>
        </w:rPr>
        <w:t> </w:t>
      </w:r>
      <w:r>
        <w:rPr/>
        <w:t>intended</w:t>
      </w:r>
      <w:r>
        <w:rPr>
          <w:spacing w:val="-12"/>
        </w:rPr>
        <w:t> </w:t>
      </w:r>
      <w:r>
        <w:rPr/>
        <w:t>to</w:t>
      </w:r>
      <w:r>
        <w:rPr>
          <w:spacing w:val="-12"/>
        </w:rPr>
        <w:t> </w:t>
      </w:r>
      <w:r>
        <w:rPr/>
        <w:t>prohibit</w:t>
      </w:r>
      <w:r>
        <w:rPr>
          <w:spacing w:val="-15"/>
        </w:rPr>
        <w:t> </w:t>
      </w:r>
      <w:r>
        <w:rPr/>
        <w:t>deceptive,</w:t>
      </w:r>
      <w:r>
        <w:rPr>
          <w:spacing w:val="-13"/>
        </w:rPr>
        <w:t> </w:t>
      </w:r>
      <w:r>
        <w:rPr/>
        <w:t>misleading,</w:t>
      </w:r>
      <w:r>
        <w:rPr>
          <w:spacing w:val="-13"/>
        </w:rPr>
        <w:t> </w:t>
      </w:r>
      <w:r>
        <w:rPr/>
        <w:t>or</w:t>
      </w:r>
      <w:r>
        <w:rPr>
          <w:spacing w:val="-13"/>
        </w:rPr>
        <w:t> </w:t>
      </w:r>
      <w:r>
        <w:rPr/>
        <w:t>misrepresentative</w:t>
      </w:r>
      <w:r>
        <w:rPr>
          <w:spacing w:val="-14"/>
        </w:rPr>
        <w:t> </w:t>
      </w:r>
      <w:r>
        <w:rPr/>
        <w:t>information</w:t>
      </w:r>
      <w:r>
        <w:rPr>
          <w:spacing w:val="-15"/>
        </w:rPr>
        <w:t> </w:t>
      </w:r>
      <w:r>
        <w:rPr/>
        <w:t>being</w:t>
      </w:r>
      <w:r>
        <w:rPr>
          <w:spacing w:val="-12"/>
        </w:rPr>
        <w:t> </w:t>
      </w:r>
      <w:r>
        <w:rPr/>
        <w:t>given to the consumer. The following guidelines are intended to apply to price advertising or posting at the street side or highway</w:t>
      </w:r>
      <w:r>
        <w:rPr>
          <w:spacing w:val="-9"/>
        </w:rPr>
        <w:t> </w:t>
      </w:r>
      <w:r>
        <w:rPr/>
        <w:t>as</w:t>
      </w:r>
      <w:r>
        <w:rPr>
          <w:spacing w:val="-5"/>
        </w:rPr>
        <w:t> </w:t>
      </w:r>
      <w:r>
        <w:rPr/>
        <w:t>well</w:t>
      </w:r>
      <w:r>
        <w:rPr>
          <w:spacing w:val="-7"/>
        </w:rPr>
        <w:t> </w:t>
      </w:r>
      <w:r>
        <w:rPr/>
        <w:t>as</w:t>
      </w:r>
      <w:r>
        <w:rPr>
          <w:spacing w:val="-5"/>
        </w:rPr>
        <w:t> </w:t>
      </w:r>
      <w:r>
        <w:rPr/>
        <w:t>at</w:t>
      </w:r>
      <w:r>
        <w:rPr>
          <w:spacing w:val="-8"/>
        </w:rPr>
        <w:t> </w:t>
      </w:r>
      <w:r>
        <w:rPr/>
        <w:t>the</w:t>
      </w:r>
      <w:r>
        <w:rPr>
          <w:spacing w:val="-6"/>
        </w:rPr>
        <w:t> </w:t>
      </w:r>
      <w:r>
        <w:rPr/>
        <w:t>pump</w:t>
      </w:r>
      <w:r>
        <w:rPr>
          <w:spacing w:val="-6"/>
        </w:rPr>
        <w:t> </w:t>
      </w:r>
      <w:r>
        <w:rPr/>
        <w:t>or</w:t>
      </w:r>
      <w:r>
        <w:rPr>
          <w:spacing w:val="-6"/>
        </w:rPr>
        <w:t> </w:t>
      </w:r>
      <w:r>
        <w:rPr/>
        <w:t>dispenser,</w:t>
      </w:r>
      <w:r>
        <w:rPr>
          <w:spacing w:val="-6"/>
        </w:rPr>
        <w:t> </w:t>
      </w:r>
      <w:r>
        <w:rPr/>
        <w:t>and</w:t>
      </w:r>
      <w:r>
        <w:rPr>
          <w:spacing w:val="-4"/>
        </w:rPr>
        <w:t> </w:t>
      </w:r>
      <w:r>
        <w:rPr/>
        <w:t>to</w:t>
      </w:r>
      <w:r>
        <w:rPr>
          <w:spacing w:val="-3"/>
        </w:rPr>
        <w:t> </w:t>
      </w:r>
      <w:r>
        <w:rPr/>
        <w:t>the</w:t>
      </w:r>
      <w:r>
        <w:rPr>
          <w:spacing w:val="-6"/>
        </w:rPr>
        <w:t> </w:t>
      </w:r>
      <w:r>
        <w:rPr/>
        <w:t>price</w:t>
      </w:r>
      <w:r>
        <w:rPr>
          <w:spacing w:val="-7"/>
        </w:rPr>
        <w:t> </w:t>
      </w:r>
      <w:r>
        <w:rPr/>
        <w:t>computed</w:t>
      </w:r>
      <w:r>
        <w:rPr>
          <w:spacing w:val="-6"/>
        </w:rPr>
        <w:t> </w:t>
      </w:r>
      <w:r>
        <w:rPr/>
        <w:t>at</w:t>
      </w:r>
      <w:r>
        <w:rPr>
          <w:spacing w:val="-5"/>
        </w:rPr>
        <w:t> </w:t>
      </w:r>
      <w:r>
        <w:rPr/>
        <w:t>the</w:t>
      </w:r>
      <w:r>
        <w:rPr>
          <w:spacing w:val="-6"/>
        </w:rPr>
        <w:t> </w:t>
      </w:r>
      <w:r>
        <w:rPr/>
        <w:t>device.</w:t>
      </w:r>
      <w:r>
        <w:rPr>
          <w:spacing w:val="41"/>
        </w:rPr>
        <w:t> </w:t>
      </w:r>
      <w:r>
        <w:rPr/>
        <w:t>These</w:t>
      </w:r>
      <w:r>
        <w:rPr>
          <w:spacing w:val="-6"/>
        </w:rPr>
        <w:t> </w:t>
      </w:r>
      <w:r>
        <w:rPr/>
        <w:t>guidelines</w:t>
      </w:r>
      <w:r>
        <w:rPr>
          <w:spacing w:val="-8"/>
        </w:rPr>
        <w:t> </w:t>
      </w:r>
      <w:r>
        <w:rPr/>
        <w:t>are</w:t>
      </w:r>
      <w:r>
        <w:rPr>
          <w:spacing w:val="-7"/>
        </w:rPr>
        <w:t> </w:t>
      </w:r>
      <w:r>
        <w:rPr/>
        <w:t>applicable to other discount or combination offers (such as combination purchases of car wash and gas, for</w:t>
      </w:r>
      <w:r>
        <w:rPr>
          <w:spacing w:val="-21"/>
        </w:rPr>
        <w:t> </w:t>
      </w:r>
      <w:r>
        <w:rPr/>
        <w:t>example).</w:t>
      </w:r>
    </w:p>
    <w:p>
      <w:pPr>
        <w:pStyle w:val="BodyText"/>
        <w:spacing w:before="9"/>
      </w:pPr>
    </w:p>
    <w:p>
      <w:pPr>
        <w:pStyle w:val="ListParagraph"/>
        <w:numPr>
          <w:ilvl w:val="3"/>
          <w:numId w:val="11"/>
        </w:numPr>
        <w:tabs>
          <w:tab w:pos="900" w:val="left" w:leader="none"/>
        </w:tabs>
        <w:spacing w:line="240" w:lineRule="auto" w:before="0" w:after="0"/>
        <w:ind w:left="899" w:right="418" w:hanging="360"/>
        <w:jc w:val="both"/>
        <w:rPr>
          <w:sz w:val="20"/>
        </w:rPr>
      </w:pPr>
      <w:r>
        <w:rPr>
          <w:sz w:val="20"/>
        </w:rPr>
        <w:t>If a price is posted or advertised, it must be available to all qualified customers. If any condition or qualifi- cation is required to obtain the posted price, that condition must also be posted clearly and understandably, in conjunction with the price wherever it is</w:t>
      </w:r>
      <w:r>
        <w:rPr>
          <w:spacing w:val="-3"/>
          <w:sz w:val="20"/>
        </w:rPr>
        <w:t> </w:t>
      </w:r>
      <w:r>
        <w:rPr>
          <w:sz w:val="20"/>
        </w:rPr>
        <w:t>posted.</w:t>
      </w:r>
    </w:p>
    <w:p>
      <w:pPr>
        <w:pStyle w:val="BodyText"/>
        <w:rPr>
          <w:sz w:val="21"/>
        </w:rPr>
      </w:pPr>
    </w:p>
    <w:p>
      <w:pPr>
        <w:pStyle w:val="ListParagraph"/>
        <w:numPr>
          <w:ilvl w:val="3"/>
          <w:numId w:val="11"/>
        </w:numPr>
        <w:tabs>
          <w:tab w:pos="900" w:val="left" w:leader="none"/>
        </w:tabs>
        <w:spacing w:line="240" w:lineRule="auto" w:before="0" w:after="0"/>
        <w:ind w:left="899" w:right="417" w:hanging="360"/>
        <w:jc w:val="both"/>
        <w:rPr>
          <w:sz w:val="20"/>
        </w:rPr>
      </w:pPr>
      <w:r>
        <w:rPr>
          <w:sz w:val="20"/>
        </w:rPr>
        <w:t>The</w:t>
      </w:r>
      <w:r>
        <w:rPr>
          <w:spacing w:val="-4"/>
          <w:sz w:val="20"/>
        </w:rPr>
        <w:t> </w:t>
      </w:r>
      <w:r>
        <w:rPr>
          <w:sz w:val="20"/>
        </w:rPr>
        <w:t>lowest</w:t>
      </w:r>
      <w:r>
        <w:rPr>
          <w:spacing w:val="-2"/>
          <w:sz w:val="20"/>
        </w:rPr>
        <w:t> </w:t>
      </w:r>
      <w:r>
        <w:rPr>
          <w:sz w:val="20"/>
        </w:rPr>
        <w:t>price</w:t>
      </w:r>
      <w:r>
        <w:rPr>
          <w:spacing w:val="-3"/>
          <w:sz w:val="20"/>
        </w:rPr>
        <w:t> </w:t>
      </w:r>
      <w:r>
        <w:rPr>
          <w:sz w:val="20"/>
        </w:rPr>
        <w:t>may</w:t>
      </w:r>
      <w:r>
        <w:rPr>
          <w:spacing w:val="-5"/>
          <w:sz w:val="20"/>
        </w:rPr>
        <w:t> </w:t>
      </w:r>
      <w:r>
        <w:rPr>
          <w:sz w:val="20"/>
        </w:rPr>
        <w:t>be</w:t>
      </w:r>
      <w:r>
        <w:rPr>
          <w:spacing w:val="-4"/>
          <w:sz w:val="20"/>
        </w:rPr>
        <w:t> </w:t>
      </w:r>
      <w:r>
        <w:rPr>
          <w:sz w:val="20"/>
        </w:rPr>
        <w:t>posted</w:t>
      </w:r>
      <w:r>
        <w:rPr>
          <w:spacing w:val="-3"/>
          <w:sz w:val="20"/>
        </w:rPr>
        <w:t> </w:t>
      </w:r>
      <w:r>
        <w:rPr>
          <w:sz w:val="20"/>
        </w:rPr>
        <w:t>or</w:t>
      </w:r>
      <w:r>
        <w:rPr>
          <w:spacing w:val="-4"/>
          <w:sz w:val="20"/>
        </w:rPr>
        <w:t> </w:t>
      </w:r>
      <w:r>
        <w:rPr>
          <w:sz w:val="20"/>
        </w:rPr>
        <w:t>advertised</w:t>
      </w:r>
      <w:r>
        <w:rPr>
          <w:spacing w:val="-3"/>
          <w:sz w:val="20"/>
        </w:rPr>
        <w:t> </w:t>
      </w:r>
      <w:r>
        <w:rPr>
          <w:sz w:val="20"/>
        </w:rPr>
        <w:t>by</w:t>
      </w:r>
      <w:r>
        <w:rPr>
          <w:spacing w:val="-6"/>
          <w:sz w:val="20"/>
        </w:rPr>
        <w:t> </w:t>
      </w:r>
      <w:r>
        <w:rPr>
          <w:sz w:val="20"/>
        </w:rPr>
        <w:t>itself</w:t>
      </w:r>
      <w:r>
        <w:rPr>
          <w:spacing w:val="-4"/>
          <w:sz w:val="20"/>
        </w:rPr>
        <w:t> </w:t>
      </w:r>
      <w:r>
        <w:rPr>
          <w:sz w:val="20"/>
        </w:rPr>
        <w:t>as</w:t>
      </w:r>
      <w:r>
        <w:rPr>
          <w:spacing w:val="-5"/>
          <w:sz w:val="20"/>
        </w:rPr>
        <w:t> </w:t>
      </w:r>
      <w:r>
        <w:rPr>
          <w:sz w:val="20"/>
        </w:rPr>
        <w:t>long</w:t>
      </w:r>
      <w:r>
        <w:rPr>
          <w:spacing w:val="-6"/>
          <w:sz w:val="20"/>
        </w:rPr>
        <w:t> </w:t>
      </w:r>
      <w:r>
        <w:rPr>
          <w:sz w:val="20"/>
        </w:rPr>
        <w:t>as</w:t>
      </w:r>
      <w:r>
        <w:rPr>
          <w:spacing w:val="-5"/>
          <w:sz w:val="20"/>
        </w:rPr>
        <w:t> </w:t>
      </w:r>
      <w:r>
        <w:rPr>
          <w:sz w:val="20"/>
        </w:rPr>
        <w:t>any</w:t>
      </w:r>
      <w:r>
        <w:rPr>
          <w:spacing w:val="-6"/>
          <w:sz w:val="20"/>
        </w:rPr>
        <w:t> </w:t>
      </w:r>
      <w:r>
        <w:rPr>
          <w:sz w:val="20"/>
        </w:rPr>
        <w:t>restrictions</w:t>
      </w:r>
      <w:r>
        <w:rPr>
          <w:spacing w:val="-3"/>
          <w:sz w:val="20"/>
        </w:rPr>
        <w:t> </w:t>
      </w:r>
      <w:r>
        <w:rPr>
          <w:sz w:val="20"/>
        </w:rPr>
        <w:t>for</w:t>
      </w:r>
      <w:r>
        <w:rPr>
          <w:spacing w:val="-4"/>
          <w:sz w:val="20"/>
        </w:rPr>
        <w:t> </w:t>
      </w:r>
      <w:r>
        <w:rPr>
          <w:sz w:val="20"/>
        </w:rPr>
        <w:t>receiving</w:t>
      </w:r>
      <w:r>
        <w:rPr>
          <w:spacing w:val="-3"/>
          <w:sz w:val="20"/>
        </w:rPr>
        <w:t> </w:t>
      </w:r>
      <w:r>
        <w:rPr>
          <w:sz w:val="20"/>
        </w:rPr>
        <w:t>that</w:t>
      </w:r>
      <w:r>
        <w:rPr>
          <w:spacing w:val="-5"/>
          <w:sz w:val="20"/>
        </w:rPr>
        <w:t> </w:t>
      </w:r>
      <w:r>
        <w:rPr>
          <w:sz w:val="20"/>
        </w:rPr>
        <w:t>price</w:t>
      </w:r>
      <w:r>
        <w:rPr>
          <w:spacing w:val="-3"/>
          <w:sz w:val="20"/>
        </w:rPr>
        <w:t> </w:t>
      </w:r>
      <w:r>
        <w:rPr>
          <w:sz w:val="20"/>
        </w:rPr>
        <w:t>(for example,</w:t>
      </w:r>
      <w:r>
        <w:rPr>
          <w:spacing w:val="-3"/>
          <w:sz w:val="20"/>
        </w:rPr>
        <w:t> </w:t>
      </w:r>
      <w:r>
        <w:rPr>
          <w:sz w:val="20"/>
        </w:rPr>
        <w:t>“cash</w:t>
      </w:r>
      <w:r>
        <w:rPr>
          <w:spacing w:val="-7"/>
          <w:sz w:val="20"/>
        </w:rPr>
        <w:t> </w:t>
      </w:r>
      <w:r>
        <w:rPr>
          <w:sz w:val="20"/>
        </w:rPr>
        <w:t>only”)</w:t>
      </w:r>
      <w:r>
        <w:rPr>
          <w:spacing w:val="-5"/>
          <w:sz w:val="20"/>
        </w:rPr>
        <w:t> </w:t>
      </w:r>
      <w:r>
        <w:rPr>
          <w:sz w:val="20"/>
        </w:rPr>
        <w:t>are</w:t>
      </w:r>
      <w:r>
        <w:rPr>
          <w:spacing w:val="-5"/>
          <w:sz w:val="20"/>
        </w:rPr>
        <w:t> </w:t>
      </w:r>
      <w:r>
        <w:rPr>
          <w:sz w:val="20"/>
        </w:rPr>
        <w:t>also</w:t>
      </w:r>
      <w:r>
        <w:rPr>
          <w:spacing w:val="-4"/>
          <w:sz w:val="20"/>
        </w:rPr>
        <w:t> </w:t>
      </w:r>
      <w:r>
        <w:rPr>
          <w:sz w:val="20"/>
        </w:rPr>
        <w:t>clearly</w:t>
      </w:r>
      <w:r>
        <w:rPr>
          <w:spacing w:val="-9"/>
          <w:sz w:val="20"/>
        </w:rPr>
        <w:t> </w:t>
      </w:r>
      <w:r>
        <w:rPr>
          <w:sz w:val="20"/>
        </w:rPr>
        <w:t>posted</w:t>
      </w:r>
      <w:r>
        <w:rPr>
          <w:spacing w:val="-4"/>
          <w:sz w:val="20"/>
        </w:rPr>
        <w:t> </w:t>
      </w:r>
      <w:r>
        <w:rPr>
          <w:sz w:val="20"/>
        </w:rPr>
        <w:t>or</w:t>
      </w:r>
      <w:r>
        <w:rPr>
          <w:spacing w:val="-5"/>
          <w:sz w:val="20"/>
        </w:rPr>
        <w:t> </w:t>
      </w:r>
      <w:r>
        <w:rPr>
          <w:sz w:val="20"/>
        </w:rPr>
        <w:t>advertised</w:t>
      </w:r>
      <w:r>
        <w:rPr>
          <w:spacing w:val="-4"/>
          <w:sz w:val="20"/>
        </w:rPr>
        <w:t> </w:t>
      </w:r>
      <w:r>
        <w:rPr>
          <w:sz w:val="20"/>
        </w:rPr>
        <w:t>in</w:t>
      </w:r>
      <w:r>
        <w:rPr>
          <w:spacing w:val="-7"/>
          <w:sz w:val="20"/>
        </w:rPr>
        <w:t> </w:t>
      </w:r>
      <w:r>
        <w:rPr>
          <w:sz w:val="20"/>
        </w:rPr>
        <w:t>conjunction</w:t>
      </w:r>
      <w:r>
        <w:rPr>
          <w:spacing w:val="-4"/>
          <w:sz w:val="20"/>
        </w:rPr>
        <w:t> </w:t>
      </w:r>
      <w:r>
        <w:rPr>
          <w:sz w:val="20"/>
        </w:rPr>
        <w:t>with</w:t>
      </w:r>
      <w:r>
        <w:rPr>
          <w:spacing w:val="-7"/>
          <w:sz w:val="20"/>
        </w:rPr>
        <w:t> </w:t>
      </w:r>
      <w:r>
        <w:rPr>
          <w:sz w:val="20"/>
        </w:rPr>
        <w:t>the</w:t>
      </w:r>
      <w:r>
        <w:rPr>
          <w:spacing w:val="-5"/>
          <w:sz w:val="20"/>
        </w:rPr>
        <w:t> </w:t>
      </w:r>
      <w:r>
        <w:rPr>
          <w:sz w:val="20"/>
        </w:rPr>
        <w:t>price</w:t>
      </w:r>
      <w:r>
        <w:rPr>
          <w:spacing w:val="-5"/>
          <w:sz w:val="20"/>
        </w:rPr>
        <w:t> </w:t>
      </w:r>
      <w:r>
        <w:rPr>
          <w:sz w:val="20"/>
        </w:rPr>
        <w:t>and</w:t>
      </w:r>
      <w:r>
        <w:rPr>
          <w:spacing w:val="-5"/>
          <w:sz w:val="20"/>
        </w:rPr>
        <w:t> </w:t>
      </w:r>
      <w:r>
        <w:rPr>
          <w:sz w:val="20"/>
        </w:rPr>
        <w:t>as</w:t>
      </w:r>
      <w:r>
        <w:rPr>
          <w:spacing w:val="-6"/>
          <w:sz w:val="20"/>
        </w:rPr>
        <w:t> </w:t>
      </w:r>
      <w:r>
        <w:rPr>
          <w:sz w:val="20"/>
        </w:rPr>
        <w:t>long</w:t>
      </w:r>
      <w:r>
        <w:rPr>
          <w:spacing w:val="-6"/>
          <w:sz w:val="20"/>
        </w:rPr>
        <w:t> </w:t>
      </w:r>
      <w:r>
        <w:rPr>
          <w:sz w:val="20"/>
        </w:rPr>
        <w:t>as</w:t>
      </w:r>
      <w:r>
        <w:rPr>
          <w:spacing w:val="-6"/>
          <w:sz w:val="20"/>
        </w:rPr>
        <w:t> </w:t>
      </w:r>
      <w:r>
        <w:rPr>
          <w:sz w:val="20"/>
        </w:rPr>
        <w:t>other state</w:t>
      </w:r>
      <w:r>
        <w:rPr>
          <w:spacing w:val="-8"/>
          <w:sz w:val="20"/>
        </w:rPr>
        <w:t> </w:t>
      </w:r>
      <w:r>
        <w:rPr>
          <w:sz w:val="20"/>
        </w:rPr>
        <w:t>requirements</w:t>
      </w:r>
      <w:r>
        <w:rPr>
          <w:spacing w:val="-9"/>
          <w:sz w:val="20"/>
        </w:rPr>
        <w:t> </w:t>
      </w:r>
      <w:r>
        <w:rPr>
          <w:sz w:val="20"/>
        </w:rPr>
        <w:t>do</w:t>
      </w:r>
      <w:r>
        <w:rPr>
          <w:spacing w:val="-7"/>
          <w:sz w:val="20"/>
        </w:rPr>
        <w:t> </w:t>
      </w:r>
      <w:r>
        <w:rPr>
          <w:sz w:val="20"/>
        </w:rPr>
        <w:t>not</w:t>
      </w:r>
      <w:r>
        <w:rPr>
          <w:spacing w:val="-9"/>
          <w:sz w:val="20"/>
        </w:rPr>
        <w:t> </w:t>
      </w:r>
      <w:r>
        <w:rPr>
          <w:sz w:val="20"/>
        </w:rPr>
        <w:t>prohibit</w:t>
      </w:r>
      <w:r>
        <w:rPr>
          <w:spacing w:val="-8"/>
          <w:sz w:val="20"/>
        </w:rPr>
        <w:t> </w:t>
      </w:r>
      <w:r>
        <w:rPr>
          <w:sz w:val="20"/>
        </w:rPr>
        <w:t>it.</w:t>
      </w:r>
      <w:r>
        <w:rPr>
          <w:spacing w:val="34"/>
          <w:sz w:val="20"/>
        </w:rPr>
        <w:t> </w:t>
      </w:r>
      <w:r>
        <w:rPr>
          <w:sz w:val="20"/>
        </w:rPr>
        <w:t>For</w:t>
      </w:r>
      <w:r>
        <w:rPr>
          <w:spacing w:val="-9"/>
          <w:sz w:val="20"/>
        </w:rPr>
        <w:t> </w:t>
      </w:r>
      <w:r>
        <w:rPr>
          <w:sz w:val="20"/>
        </w:rPr>
        <w:t>example,</w:t>
      </w:r>
      <w:r>
        <w:rPr>
          <w:spacing w:val="-7"/>
          <w:sz w:val="20"/>
        </w:rPr>
        <w:t> </w:t>
      </w:r>
      <w:r>
        <w:rPr>
          <w:sz w:val="20"/>
        </w:rPr>
        <w:t>certain</w:t>
      </w:r>
      <w:r>
        <w:rPr>
          <w:spacing w:val="-10"/>
          <w:sz w:val="20"/>
        </w:rPr>
        <w:t> </w:t>
      </w:r>
      <w:r>
        <w:rPr>
          <w:sz w:val="20"/>
        </w:rPr>
        <w:t>states</w:t>
      </w:r>
      <w:r>
        <w:rPr>
          <w:spacing w:val="-9"/>
          <w:sz w:val="20"/>
        </w:rPr>
        <w:t> </w:t>
      </w:r>
      <w:r>
        <w:rPr>
          <w:sz w:val="20"/>
        </w:rPr>
        <w:t>require</w:t>
      </w:r>
      <w:r>
        <w:rPr>
          <w:spacing w:val="-7"/>
          <w:sz w:val="20"/>
        </w:rPr>
        <w:t> </w:t>
      </w:r>
      <w:r>
        <w:rPr>
          <w:sz w:val="20"/>
        </w:rPr>
        <w:t>that</w:t>
      </w:r>
      <w:r>
        <w:rPr>
          <w:spacing w:val="-9"/>
          <w:sz w:val="20"/>
        </w:rPr>
        <w:t> </w:t>
      </w:r>
      <w:r>
        <w:rPr>
          <w:sz w:val="20"/>
        </w:rPr>
        <w:t>all</w:t>
      </w:r>
      <w:r>
        <w:rPr>
          <w:spacing w:val="-8"/>
          <w:sz w:val="20"/>
        </w:rPr>
        <w:t> </w:t>
      </w:r>
      <w:r>
        <w:rPr>
          <w:sz w:val="20"/>
        </w:rPr>
        <w:t>prices</w:t>
      </w:r>
      <w:r>
        <w:rPr>
          <w:spacing w:val="-9"/>
          <w:sz w:val="20"/>
        </w:rPr>
        <w:t> </w:t>
      </w:r>
      <w:r>
        <w:rPr>
          <w:sz w:val="20"/>
        </w:rPr>
        <w:t>available</w:t>
      </w:r>
      <w:r>
        <w:rPr>
          <w:spacing w:val="-7"/>
          <w:sz w:val="20"/>
        </w:rPr>
        <w:t> </w:t>
      </w:r>
      <w:r>
        <w:rPr>
          <w:sz w:val="20"/>
        </w:rPr>
        <w:t>from</w:t>
      </w:r>
      <w:r>
        <w:rPr>
          <w:spacing w:val="-12"/>
          <w:sz w:val="20"/>
        </w:rPr>
        <w:t> </w:t>
      </w:r>
      <w:r>
        <w:rPr>
          <w:sz w:val="20"/>
        </w:rPr>
        <w:t>a</w:t>
      </w:r>
      <w:r>
        <w:rPr>
          <w:spacing w:val="-9"/>
          <w:sz w:val="20"/>
        </w:rPr>
        <w:t> </w:t>
      </w:r>
      <w:r>
        <w:rPr>
          <w:sz w:val="20"/>
        </w:rPr>
        <w:t>given retail location must be posted on street side signs if any prices are</w:t>
      </w:r>
      <w:r>
        <w:rPr>
          <w:spacing w:val="-9"/>
          <w:sz w:val="20"/>
        </w:rPr>
        <w:t> </w:t>
      </w:r>
      <w:r>
        <w:rPr>
          <w:sz w:val="20"/>
        </w:rPr>
        <w:t>posted.</w:t>
      </w:r>
    </w:p>
    <w:p>
      <w:pPr>
        <w:pStyle w:val="BodyText"/>
        <w:spacing w:before="9"/>
      </w:pPr>
    </w:p>
    <w:p>
      <w:pPr>
        <w:pStyle w:val="ListParagraph"/>
        <w:numPr>
          <w:ilvl w:val="3"/>
          <w:numId w:val="11"/>
        </w:numPr>
        <w:tabs>
          <w:tab w:pos="900" w:val="left" w:leader="none"/>
        </w:tabs>
        <w:spacing w:line="240" w:lineRule="auto" w:before="1" w:after="0"/>
        <w:ind w:left="899" w:right="416" w:hanging="360"/>
        <w:jc w:val="both"/>
        <w:rPr>
          <w:sz w:val="20"/>
        </w:rPr>
      </w:pPr>
      <w:r>
        <w:rPr>
          <w:sz w:val="20"/>
        </w:rPr>
        <w:t>If the merchandiser elects to establish separate devices or islands for sale of the same product at different prices,</w:t>
      </w:r>
      <w:r>
        <w:rPr>
          <w:spacing w:val="-3"/>
          <w:sz w:val="20"/>
        </w:rPr>
        <w:t> </w:t>
      </w:r>
      <w:r>
        <w:rPr>
          <w:sz w:val="20"/>
        </w:rPr>
        <w:t>the</w:t>
      </w:r>
      <w:r>
        <w:rPr>
          <w:spacing w:val="-4"/>
          <w:sz w:val="20"/>
        </w:rPr>
        <w:t> </w:t>
      </w:r>
      <w:r>
        <w:rPr>
          <w:sz w:val="20"/>
        </w:rPr>
        <w:t>devices</w:t>
      </w:r>
      <w:r>
        <w:rPr>
          <w:spacing w:val="-4"/>
          <w:sz w:val="20"/>
        </w:rPr>
        <w:t> </w:t>
      </w:r>
      <w:r>
        <w:rPr>
          <w:sz w:val="20"/>
        </w:rPr>
        <w:t>or</w:t>
      </w:r>
      <w:r>
        <w:rPr>
          <w:spacing w:val="-3"/>
          <w:sz w:val="20"/>
        </w:rPr>
        <w:t> </w:t>
      </w:r>
      <w:r>
        <w:rPr>
          <w:sz w:val="20"/>
        </w:rPr>
        <w:t>islands</w:t>
      </w:r>
      <w:r>
        <w:rPr>
          <w:spacing w:val="-4"/>
          <w:sz w:val="20"/>
        </w:rPr>
        <w:t> </w:t>
      </w:r>
      <w:r>
        <w:rPr>
          <w:sz w:val="20"/>
        </w:rPr>
        <w:t>shall</w:t>
      </w:r>
      <w:r>
        <w:rPr>
          <w:spacing w:val="-4"/>
          <w:sz w:val="20"/>
        </w:rPr>
        <w:t> </w:t>
      </w:r>
      <w:r>
        <w:rPr>
          <w:sz w:val="20"/>
        </w:rPr>
        <w:t>be</w:t>
      </w:r>
      <w:r>
        <w:rPr>
          <w:spacing w:val="-4"/>
          <w:sz w:val="20"/>
        </w:rPr>
        <w:t> </w:t>
      </w:r>
      <w:r>
        <w:rPr>
          <w:sz w:val="20"/>
        </w:rPr>
        <w:t>clearly</w:t>
      </w:r>
      <w:r>
        <w:rPr>
          <w:spacing w:val="-7"/>
          <w:sz w:val="20"/>
        </w:rPr>
        <w:t> </w:t>
      </w:r>
      <w:r>
        <w:rPr>
          <w:sz w:val="20"/>
        </w:rPr>
        <w:t>identified</w:t>
      </w:r>
      <w:r>
        <w:rPr>
          <w:spacing w:val="-3"/>
          <w:sz w:val="20"/>
        </w:rPr>
        <w:t> </w:t>
      </w:r>
      <w:r>
        <w:rPr>
          <w:sz w:val="20"/>
        </w:rPr>
        <w:t>as</w:t>
      </w:r>
      <w:r>
        <w:rPr>
          <w:spacing w:val="-4"/>
          <w:sz w:val="20"/>
        </w:rPr>
        <w:t> </w:t>
      </w:r>
      <w:r>
        <w:rPr>
          <w:sz w:val="20"/>
        </w:rPr>
        <w:t>“cash,”</w:t>
      </w:r>
      <w:r>
        <w:rPr>
          <w:spacing w:val="-1"/>
          <w:sz w:val="20"/>
        </w:rPr>
        <w:t> </w:t>
      </w:r>
      <w:r>
        <w:rPr>
          <w:sz w:val="20"/>
        </w:rPr>
        <w:t>“credit,”</w:t>
      </w:r>
      <w:r>
        <w:rPr>
          <w:spacing w:val="-3"/>
          <w:sz w:val="20"/>
        </w:rPr>
        <w:t> </w:t>
      </w:r>
      <w:r>
        <w:rPr>
          <w:sz w:val="20"/>
        </w:rPr>
        <w:t>“self-serve,”</w:t>
      </w:r>
      <w:r>
        <w:rPr>
          <w:spacing w:val="-4"/>
          <w:sz w:val="20"/>
        </w:rPr>
        <w:t> </w:t>
      </w:r>
      <w:r>
        <w:rPr>
          <w:sz w:val="20"/>
        </w:rPr>
        <w:t>or</w:t>
      </w:r>
      <w:r>
        <w:rPr>
          <w:spacing w:val="-3"/>
          <w:sz w:val="20"/>
        </w:rPr>
        <w:t> </w:t>
      </w:r>
      <w:r>
        <w:rPr>
          <w:sz w:val="20"/>
        </w:rPr>
        <w:t>other</w:t>
      </w:r>
      <w:r>
        <w:rPr>
          <w:spacing w:val="-2"/>
          <w:sz w:val="20"/>
        </w:rPr>
        <w:t> </w:t>
      </w:r>
      <w:r>
        <w:rPr>
          <w:sz w:val="20"/>
        </w:rPr>
        <w:t>appropriate wording to avoid customer</w:t>
      </w:r>
      <w:r>
        <w:rPr>
          <w:spacing w:val="1"/>
          <w:sz w:val="20"/>
        </w:rPr>
        <w:t> </w:t>
      </w:r>
      <w:r>
        <w:rPr>
          <w:sz w:val="20"/>
        </w:rPr>
        <w:t>confusion.</w:t>
      </w:r>
    </w:p>
    <w:p>
      <w:pPr>
        <w:pStyle w:val="BodyText"/>
        <w:spacing w:before="8"/>
      </w:pPr>
    </w:p>
    <w:p>
      <w:pPr>
        <w:pStyle w:val="ListParagraph"/>
        <w:numPr>
          <w:ilvl w:val="3"/>
          <w:numId w:val="11"/>
        </w:numPr>
        <w:tabs>
          <w:tab w:pos="900" w:val="left" w:leader="none"/>
        </w:tabs>
        <w:spacing w:line="240" w:lineRule="auto" w:before="1" w:after="0"/>
        <w:ind w:left="899" w:right="417" w:hanging="360"/>
        <w:jc w:val="both"/>
        <w:rPr>
          <w:sz w:val="20"/>
        </w:rPr>
      </w:pPr>
      <w:r>
        <w:rPr>
          <w:sz w:val="20"/>
        </w:rPr>
        <w:t>The use of a single-price-computing dispenser for sale of motor fuel at multiple unit prices is inappropriate, facilitates fraud, and should be eliminated. The NCWM should adopt a plan and timetable for changeover to devices that can compute and display final money values for multiple</w:t>
      </w:r>
      <w:r>
        <w:rPr>
          <w:spacing w:val="-3"/>
          <w:sz w:val="20"/>
        </w:rPr>
        <w:t> </w:t>
      </w:r>
      <w:r>
        <w:rPr>
          <w:sz w:val="20"/>
        </w:rPr>
        <w:t>prices.</w:t>
      </w:r>
    </w:p>
    <w:p>
      <w:pPr>
        <w:pStyle w:val="BodyText"/>
        <w:spacing w:before="4"/>
        <w:rPr>
          <w:sz w:val="31"/>
        </w:rPr>
      </w:pPr>
    </w:p>
    <w:p>
      <w:pPr>
        <w:pStyle w:val="Heading1"/>
        <w:numPr>
          <w:ilvl w:val="2"/>
          <w:numId w:val="11"/>
        </w:numPr>
        <w:tabs>
          <w:tab w:pos="732" w:val="left" w:leader="none"/>
        </w:tabs>
        <w:spacing w:line="240" w:lineRule="auto" w:before="1" w:after="0"/>
        <w:ind w:left="731" w:right="0" w:hanging="552"/>
        <w:jc w:val="left"/>
      </w:pPr>
      <w:bookmarkStart w:name="_bookmark19" w:id="33"/>
      <w:bookmarkEnd w:id="33"/>
      <w:r>
        <w:rPr>
          <w:b w:val="0"/>
        </w:rPr>
      </w:r>
      <w:bookmarkStart w:name="_bookmark19" w:id="34"/>
      <w:bookmarkEnd w:id="34"/>
      <w:r>
        <w:rPr/>
        <w:t>C</w:t>
      </w:r>
      <w:r>
        <w:rPr/>
        <w:t>ereal Grains and Oil Seeds.</w:t>
      </w:r>
    </w:p>
    <w:p>
      <w:pPr>
        <w:pStyle w:val="BodyText"/>
        <w:ind w:left="179"/>
      </w:pPr>
      <w:r>
        <w:rPr/>
        <w:t>(L&amp;R, 1981, p. 95; L&amp;R, 1996, p. 135)</w:t>
      </w:r>
    </w:p>
    <w:p>
      <w:pPr>
        <w:pStyle w:val="BodyText"/>
        <w:spacing w:before="10"/>
      </w:pPr>
    </w:p>
    <w:p>
      <w:pPr>
        <w:pStyle w:val="Heading1"/>
      </w:pPr>
      <w:r>
        <w:rPr/>
        <w:t>Interpretation</w:t>
      </w:r>
    </w:p>
    <w:p>
      <w:pPr>
        <w:pStyle w:val="BodyText"/>
        <w:spacing w:before="8"/>
        <w:rPr>
          <w:b/>
        </w:rPr>
      </w:pPr>
    </w:p>
    <w:p>
      <w:pPr>
        <w:pStyle w:val="BodyText"/>
        <w:ind w:left="179" w:right="349"/>
      </w:pPr>
      <w:r>
        <w:rPr/>
        <w:t>The addition of water to grain for the purpose of adding weight prior to selling grain by weight is an illegal practice under federal laws.</w:t>
      </w:r>
    </w:p>
    <w:p>
      <w:pPr>
        <w:pStyle w:val="BodyText"/>
        <w:spacing w:before="11"/>
      </w:pPr>
    </w:p>
    <w:p>
      <w:pPr>
        <w:spacing w:before="0"/>
        <w:ind w:left="179" w:right="415" w:hanging="1"/>
        <w:jc w:val="both"/>
        <w:rPr>
          <w:i/>
          <w:sz w:val="20"/>
        </w:rPr>
      </w:pPr>
      <w:r>
        <w:rPr>
          <w:b/>
          <w:i/>
          <w:sz w:val="20"/>
        </w:rPr>
        <w:t>NOTE</w:t>
      </w:r>
      <w:r>
        <w:rPr>
          <w:sz w:val="20"/>
        </w:rPr>
        <w:t>: </w:t>
      </w:r>
      <w:r>
        <w:rPr>
          <w:i/>
          <w:sz w:val="20"/>
        </w:rPr>
        <w:t>Effective February 11, 1995, the Federal Grain Inspection Service adopted a regulation in 7 CFR 800.61 </w:t>
      </w:r>
      <w:r>
        <w:rPr>
          <w:i/>
          <w:sz w:val="20"/>
        </w:rPr>
        <w:t>prohibiting the application of water to grain except for milling, malting, or similar processing operations. See Vol- ume 59, No. 198 for Friday, October 14, 1994, or page 52 071, for additional information.</w:t>
      </w:r>
    </w:p>
    <w:p>
      <w:pPr>
        <w:pStyle w:val="BodyText"/>
        <w:rPr>
          <w:i/>
          <w:sz w:val="21"/>
        </w:rPr>
      </w:pPr>
    </w:p>
    <w:p>
      <w:pPr>
        <w:pStyle w:val="Heading1"/>
      </w:pPr>
      <w:r>
        <w:rPr/>
        <w:t>Background</w:t>
      </w:r>
    </w:p>
    <w:p>
      <w:pPr>
        <w:pStyle w:val="BodyText"/>
        <w:spacing w:before="8"/>
        <w:rPr>
          <w:b/>
        </w:rPr>
      </w:pPr>
    </w:p>
    <w:p>
      <w:pPr>
        <w:pStyle w:val="BodyText"/>
        <w:ind w:left="179" w:right="416"/>
        <w:jc w:val="both"/>
      </w:pPr>
      <w:r>
        <w:rPr/>
        <w:t>A</w:t>
      </w:r>
      <w:r>
        <w:rPr>
          <w:spacing w:val="-10"/>
        </w:rPr>
        <w:t> </w:t>
      </w:r>
      <w:r>
        <w:rPr/>
        <w:t>letter</w:t>
      </w:r>
      <w:r>
        <w:rPr>
          <w:spacing w:val="-8"/>
        </w:rPr>
        <w:t> </w:t>
      </w:r>
      <w:r>
        <w:rPr/>
        <w:t>from</w:t>
      </w:r>
      <w:r>
        <w:rPr>
          <w:spacing w:val="-11"/>
        </w:rPr>
        <w:t> </w:t>
      </w:r>
      <w:r>
        <w:rPr/>
        <w:t>the</w:t>
      </w:r>
      <w:r>
        <w:rPr>
          <w:spacing w:val="-8"/>
        </w:rPr>
        <w:t> </w:t>
      </w:r>
      <w:r>
        <w:rPr/>
        <w:t>Oklahoma</w:t>
      </w:r>
      <w:r>
        <w:rPr>
          <w:spacing w:val="-7"/>
        </w:rPr>
        <w:t> </w:t>
      </w:r>
      <w:r>
        <w:rPr/>
        <w:t>Grain</w:t>
      </w:r>
      <w:r>
        <w:rPr>
          <w:spacing w:val="-9"/>
        </w:rPr>
        <w:t> </w:t>
      </w:r>
      <w:r>
        <w:rPr/>
        <w:t>and</w:t>
      </w:r>
      <w:r>
        <w:rPr>
          <w:spacing w:val="-7"/>
        </w:rPr>
        <w:t> </w:t>
      </w:r>
      <w:r>
        <w:rPr/>
        <w:t>Feed</w:t>
      </w:r>
      <w:r>
        <w:rPr>
          <w:spacing w:val="-4"/>
        </w:rPr>
        <w:t> </w:t>
      </w:r>
      <w:r>
        <w:rPr/>
        <w:t>Association</w:t>
      </w:r>
      <w:r>
        <w:rPr>
          <w:spacing w:val="-8"/>
        </w:rPr>
        <w:t> </w:t>
      </w:r>
      <w:r>
        <w:rPr/>
        <w:t>was</w:t>
      </w:r>
      <w:r>
        <w:rPr>
          <w:spacing w:val="-6"/>
        </w:rPr>
        <w:t> </w:t>
      </w:r>
      <w:r>
        <w:rPr/>
        <w:t>forwarded</w:t>
      </w:r>
      <w:r>
        <w:rPr>
          <w:spacing w:val="-7"/>
        </w:rPr>
        <w:t> </w:t>
      </w:r>
      <w:r>
        <w:rPr/>
        <w:t>to</w:t>
      </w:r>
      <w:r>
        <w:rPr>
          <w:spacing w:val="-7"/>
        </w:rPr>
        <w:t> </w:t>
      </w:r>
      <w:r>
        <w:rPr/>
        <w:t>the</w:t>
      </w:r>
      <w:r>
        <w:rPr>
          <w:spacing w:val="-6"/>
        </w:rPr>
        <w:t> </w:t>
      </w:r>
      <w:r>
        <w:rPr/>
        <w:t>Committee</w:t>
      </w:r>
      <w:r>
        <w:rPr>
          <w:spacing w:val="-7"/>
        </w:rPr>
        <w:t> </w:t>
      </w:r>
      <w:r>
        <w:rPr/>
        <w:t>asking</w:t>
      </w:r>
      <w:r>
        <w:rPr>
          <w:spacing w:val="-7"/>
        </w:rPr>
        <w:t> </w:t>
      </w:r>
      <w:r>
        <w:rPr/>
        <w:t>whether</w:t>
      </w:r>
      <w:r>
        <w:rPr>
          <w:spacing w:val="-7"/>
        </w:rPr>
        <w:t> </w:t>
      </w:r>
      <w:r>
        <w:rPr/>
        <w:t>the</w:t>
      </w:r>
      <w:r>
        <w:rPr>
          <w:spacing w:val="-7"/>
        </w:rPr>
        <w:t> </w:t>
      </w:r>
      <w:r>
        <w:rPr/>
        <w:t>addition of water to grain is legal. The request was prompted by an article reporting on methods of adding water to grain to bring</w:t>
      </w:r>
      <w:r>
        <w:rPr>
          <w:spacing w:val="9"/>
        </w:rPr>
        <w:t> </w:t>
      </w:r>
      <w:r>
        <w:rPr/>
        <w:t>the</w:t>
      </w:r>
      <w:r>
        <w:rPr>
          <w:spacing w:val="13"/>
        </w:rPr>
        <w:t> </w:t>
      </w:r>
      <w:r>
        <w:rPr/>
        <w:t>moisture</w:t>
      </w:r>
      <w:r>
        <w:rPr>
          <w:spacing w:val="11"/>
        </w:rPr>
        <w:t> </w:t>
      </w:r>
      <w:r>
        <w:rPr/>
        <w:t>content</w:t>
      </w:r>
      <w:r>
        <w:rPr>
          <w:spacing w:val="10"/>
        </w:rPr>
        <w:t> </w:t>
      </w:r>
      <w:r>
        <w:rPr/>
        <w:t>up</w:t>
      </w:r>
      <w:r>
        <w:rPr>
          <w:spacing w:val="14"/>
        </w:rPr>
        <w:t> </w:t>
      </w:r>
      <w:r>
        <w:rPr/>
        <w:t>to</w:t>
      </w:r>
      <w:r>
        <w:rPr>
          <w:spacing w:val="12"/>
        </w:rPr>
        <w:t> </w:t>
      </w:r>
      <w:r>
        <w:rPr/>
        <w:t>market</w:t>
      </w:r>
      <w:r>
        <w:rPr>
          <w:spacing w:val="10"/>
        </w:rPr>
        <w:t> </w:t>
      </w:r>
      <w:r>
        <w:rPr/>
        <w:t>standards.</w:t>
      </w:r>
      <w:r>
        <w:rPr>
          <w:spacing w:val="22"/>
        </w:rPr>
        <w:t> </w:t>
      </w:r>
      <w:r>
        <w:rPr/>
        <w:t>For</w:t>
      </w:r>
      <w:r>
        <w:rPr>
          <w:spacing w:val="10"/>
        </w:rPr>
        <w:t> </w:t>
      </w:r>
      <w:r>
        <w:rPr/>
        <w:t>example,</w:t>
      </w:r>
      <w:r>
        <w:rPr>
          <w:spacing w:val="14"/>
        </w:rPr>
        <w:t> </w:t>
      </w:r>
      <w:r>
        <w:rPr/>
        <w:t>when</w:t>
      </w:r>
      <w:r>
        <w:rPr>
          <w:spacing w:val="9"/>
        </w:rPr>
        <w:t> </w:t>
      </w:r>
      <w:r>
        <w:rPr/>
        <w:t>soybeans</w:t>
      </w:r>
      <w:r>
        <w:rPr>
          <w:spacing w:val="10"/>
        </w:rPr>
        <w:t> </w:t>
      </w:r>
      <w:r>
        <w:rPr/>
        <w:t>are</w:t>
      </w:r>
      <w:r>
        <w:rPr>
          <w:spacing w:val="12"/>
        </w:rPr>
        <w:t> </w:t>
      </w:r>
      <w:r>
        <w:rPr/>
        <w:t>sold</w:t>
      </w:r>
      <w:r>
        <w:rPr>
          <w:spacing w:val="11"/>
        </w:rPr>
        <w:t> </w:t>
      </w:r>
      <w:r>
        <w:rPr/>
        <w:t>at</w:t>
      </w:r>
      <w:r>
        <w:rPr>
          <w:spacing w:val="10"/>
        </w:rPr>
        <w:t> </w:t>
      </w:r>
      <w:r>
        <w:rPr/>
        <w:t>8</w:t>
      </w:r>
      <w:r>
        <w:rPr>
          <w:spacing w:val="-4"/>
        </w:rPr>
        <w:t> </w:t>
      </w:r>
      <w:r>
        <w:rPr/>
        <w:t>%</w:t>
      </w:r>
      <w:r>
        <w:rPr>
          <w:spacing w:val="10"/>
        </w:rPr>
        <w:t> </w:t>
      </w:r>
      <w:r>
        <w:rPr/>
        <w:t>moisture</w:t>
      </w:r>
      <w:r>
        <w:rPr>
          <w:spacing w:val="12"/>
        </w:rPr>
        <w:t> </w:t>
      </w:r>
      <w:r>
        <w:rPr/>
        <w:t>content,</w:t>
      </w:r>
    </w:p>
    <w:p>
      <w:pPr>
        <w:spacing w:after="0"/>
        <w:jc w:val="both"/>
        <w:sectPr>
          <w:pgSz w:w="12240" w:h="15840"/>
          <w:pgMar w:header="730" w:footer="740" w:top="1340" w:bottom="940" w:left="1260" w:right="1020"/>
        </w:sectPr>
      </w:pPr>
    </w:p>
    <w:p>
      <w:pPr>
        <w:pStyle w:val="BodyText"/>
        <w:spacing w:before="88"/>
        <w:ind w:left="179" w:right="416"/>
        <w:jc w:val="both"/>
      </w:pPr>
      <w:r>
        <w:rPr/>
        <w:t>there</w:t>
      </w:r>
      <w:r>
        <w:rPr>
          <w:spacing w:val="-11"/>
        </w:rPr>
        <w:t> </w:t>
      </w:r>
      <w:r>
        <w:rPr/>
        <w:t>is</w:t>
      </w:r>
      <w:r>
        <w:rPr>
          <w:spacing w:val="-11"/>
        </w:rPr>
        <w:t> </w:t>
      </w:r>
      <w:r>
        <w:rPr/>
        <w:t>less</w:t>
      </w:r>
      <w:r>
        <w:rPr>
          <w:spacing w:val="-9"/>
        </w:rPr>
        <w:t> </w:t>
      </w:r>
      <w:r>
        <w:rPr/>
        <w:t>weight</w:t>
      </w:r>
      <w:r>
        <w:rPr>
          <w:spacing w:val="-11"/>
        </w:rPr>
        <w:t> </w:t>
      </w:r>
      <w:r>
        <w:rPr/>
        <w:t>sold</w:t>
      </w:r>
      <w:r>
        <w:rPr>
          <w:spacing w:val="-9"/>
        </w:rPr>
        <w:t> </w:t>
      </w:r>
      <w:r>
        <w:rPr/>
        <w:t>(and</w:t>
      </w:r>
      <w:r>
        <w:rPr>
          <w:spacing w:val="-9"/>
        </w:rPr>
        <w:t> </w:t>
      </w:r>
      <w:r>
        <w:rPr/>
        <w:t>less</w:t>
      </w:r>
      <w:r>
        <w:rPr>
          <w:spacing w:val="-12"/>
        </w:rPr>
        <w:t> </w:t>
      </w:r>
      <w:r>
        <w:rPr/>
        <w:t>revenue</w:t>
      </w:r>
      <w:r>
        <w:rPr>
          <w:spacing w:val="-7"/>
        </w:rPr>
        <w:t> </w:t>
      </w:r>
      <w:r>
        <w:rPr/>
        <w:t>for</w:t>
      </w:r>
      <w:r>
        <w:rPr>
          <w:spacing w:val="-9"/>
        </w:rPr>
        <w:t> </w:t>
      </w:r>
      <w:r>
        <w:rPr/>
        <w:t>the</w:t>
      </w:r>
      <w:r>
        <w:rPr>
          <w:spacing w:val="-11"/>
        </w:rPr>
        <w:t> </w:t>
      </w:r>
      <w:r>
        <w:rPr/>
        <w:t>soybeans</w:t>
      </w:r>
      <w:r>
        <w:rPr>
          <w:spacing w:val="-11"/>
        </w:rPr>
        <w:t> </w:t>
      </w:r>
      <w:r>
        <w:rPr/>
        <w:t>to</w:t>
      </w:r>
      <w:r>
        <w:rPr>
          <w:spacing w:val="-9"/>
        </w:rPr>
        <w:t> </w:t>
      </w:r>
      <w:r>
        <w:rPr/>
        <w:t>the</w:t>
      </w:r>
      <w:r>
        <w:rPr>
          <w:spacing w:val="-11"/>
        </w:rPr>
        <w:t> </w:t>
      </w:r>
      <w:r>
        <w:rPr/>
        <w:t>seller)</w:t>
      </w:r>
      <w:r>
        <w:rPr>
          <w:spacing w:val="-9"/>
        </w:rPr>
        <w:t> </w:t>
      </w:r>
      <w:r>
        <w:rPr/>
        <w:t>than</w:t>
      </w:r>
      <w:r>
        <w:rPr>
          <w:spacing w:val="-11"/>
        </w:rPr>
        <w:t> </w:t>
      </w:r>
      <w:r>
        <w:rPr/>
        <w:t>if</w:t>
      </w:r>
      <w:r>
        <w:rPr>
          <w:spacing w:val="-9"/>
        </w:rPr>
        <w:t> </w:t>
      </w:r>
      <w:r>
        <w:rPr/>
        <w:t>water</w:t>
      </w:r>
      <w:r>
        <w:rPr>
          <w:spacing w:val="-8"/>
        </w:rPr>
        <w:t> </w:t>
      </w:r>
      <w:r>
        <w:rPr/>
        <w:t>were</w:t>
      </w:r>
      <w:r>
        <w:rPr>
          <w:spacing w:val="-10"/>
        </w:rPr>
        <w:t> </w:t>
      </w:r>
      <w:r>
        <w:rPr/>
        <w:t>added</w:t>
      </w:r>
      <w:r>
        <w:rPr>
          <w:spacing w:val="-10"/>
        </w:rPr>
        <w:t> </w:t>
      </w:r>
      <w:r>
        <w:rPr/>
        <w:t>to</w:t>
      </w:r>
      <w:r>
        <w:rPr>
          <w:spacing w:val="-9"/>
        </w:rPr>
        <w:t> </w:t>
      </w:r>
      <w:r>
        <w:rPr/>
        <w:t>the</w:t>
      </w:r>
      <w:r>
        <w:rPr>
          <w:spacing w:val="-10"/>
        </w:rPr>
        <w:t> </w:t>
      </w:r>
      <w:r>
        <w:rPr/>
        <w:t>same</w:t>
      </w:r>
      <w:r>
        <w:rPr>
          <w:spacing w:val="-11"/>
        </w:rPr>
        <w:t> </w:t>
      </w:r>
      <w:r>
        <w:rPr/>
        <w:t>soybeans to bring them to 10 % moisture</w:t>
      </w:r>
      <w:r>
        <w:rPr>
          <w:spacing w:val="1"/>
        </w:rPr>
        <w:t> </w:t>
      </w:r>
      <w:r>
        <w:rPr/>
        <w:t>content.</w:t>
      </w:r>
    </w:p>
    <w:p>
      <w:pPr>
        <w:pStyle w:val="BodyText"/>
        <w:spacing w:before="8"/>
      </w:pPr>
    </w:p>
    <w:p>
      <w:pPr>
        <w:pStyle w:val="BodyText"/>
        <w:spacing w:before="1"/>
        <w:ind w:left="179" w:right="419"/>
        <w:jc w:val="both"/>
      </w:pPr>
      <w:r>
        <w:rPr/>
        <w:t>However, the Committee is greatly concerned about the ramifications of such practices. Many grain experts do not believe</w:t>
      </w:r>
      <w:r>
        <w:rPr>
          <w:spacing w:val="-15"/>
        </w:rPr>
        <w:t> </w:t>
      </w:r>
      <w:r>
        <w:rPr/>
        <w:t>that</w:t>
      </w:r>
      <w:r>
        <w:rPr>
          <w:spacing w:val="-15"/>
        </w:rPr>
        <w:t> </w:t>
      </w:r>
      <w:r>
        <w:rPr/>
        <w:t>over-dried</w:t>
      </w:r>
      <w:r>
        <w:rPr>
          <w:spacing w:val="-14"/>
        </w:rPr>
        <w:t> </w:t>
      </w:r>
      <w:r>
        <w:rPr/>
        <w:t>grain</w:t>
      </w:r>
      <w:r>
        <w:rPr>
          <w:spacing w:val="-14"/>
        </w:rPr>
        <w:t> </w:t>
      </w:r>
      <w:r>
        <w:rPr/>
        <w:t>should</w:t>
      </w:r>
      <w:r>
        <w:rPr>
          <w:spacing w:val="-13"/>
        </w:rPr>
        <w:t> </w:t>
      </w:r>
      <w:r>
        <w:rPr/>
        <w:t>be</w:t>
      </w:r>
      <w:r>
        <w:rPr>
          <w:spacing w:val="-15"/>
        </w:rPr>
        <w:t> </w:t>
      </w:r>
      <w:r>
        <w:rPr/>
        <w:t>valued</w:t>
      </w:r>
      <w:r>
        <w:rPr>
          <w:spacing w:val="-14"/>
        </w:rPr>
        <w:t> </w:t>
      </w:r>
      <w:r>
        <w:rPr/>
        <w:t>as</w:t>
      </w:r>
      <w:r>
        <w:rPr>
          <w:spacing w:val="-13"/>
        </w:rPr>
        <w:t> </w:t>
      </w:r>
      <w:r>
        <w:rPr/>
        <w:t>highly</w:t>
      </w:r>
      <w:r>
        <w:rPr>
          <w:spacing w:val="-15"/>
        </w:rPr>
        <w:t> </w:t>
      </w:r>
      <w:r>
        <w:rPr/>
        <w:t>as</w:t>
      </w:r>
      <w:r>
        <w:rPr>
          <w:spacing w:val="-13"/>
        </w:rPr>
        <w:t> </w:t>
      </w:r>
      <w:r>
        <w:rPr/>
        <w:t>grain</w:t>
      </w:r>
      <w:r>
        <w:rPr>
          <w:spacing w:val="-16"/>
        </w:rPr>
        <w:t> </w:t>
      </w:r>
      <w:r>
        <w:rPr/>
        <w:t>at</w:t>
      </w:r>
      <w:r>
        <w:rPr>
          <w:spacing w:val="-13"/>
        </w:rPr>
        <w:t> </w:t>
      </w:r>
      <w:r>
        <w:rPr/>
        <w:t>moisture</w:t>
      </w:r>
      <w:r>
        <w:rPr>
          <w:spacing w:val="-14"/>
        </w:rPr>
        <w:t> </w:t>
      </w:r>
      <w:r>
        <w:rPr/>
        <w:t>contents</w:t>
      </w:r>
      <w:r>
        <w:rPr>
          <w:spacing w:val="-16"/>
        </w:rPr>
        <w:t> </w:t>
      </w:r>
      <w:r>
        <w:rPr/>
        <w:t>close</w:t>
      </w:r>
      <w:r>
        <w:rPr>
          <w:spacing w:val="-15"/>
        </w:rPr>
        <w:t> </w:t>
      </w:r>
      <w:r>
        <w:rPr/>
        <w:t>to</w:t>
      </w:r>
      <w:r>
        <w:rPr>
          <w:spacing w:val="-9"/>
        </w:rPr>
        <w:t> </w:t>
      </w:r>
      <w:r>
        <w:rPr/>
        <w:t>market</w:t>
      </w:r>
      <w:r>
        <w:rPr>
          <w:spacing w:val="-15"/>
        </w:rPr>
        <w:t> </w:t>
      </w:r>
      <w:r>
        <w:rPr/>
        <w:t>standards.</w:t>
      </w:r>
      <w:r>
        <w:rPr>
          <w:spacing w:val="22"/>
        </w:rPr>
        <w:t> </w:t>
      </w:r>
      <w:r>
        <w:rPr/>
        <w:t>Overly dry grain is more susceptible to breakage, for example.</w:t>
      </w:r>
    </w:p>
    <w:p>
      <w:pPr>
        <w:pStyle w:val="BodyText"/>
        <w:spacing w:before="11"/>
      </w:pPr>
    </w:p>
    <w:p>
      <w:pPr>
        <w:pStyle w:val="BodyText"/>
        <w:ind w:left="179" w:right="416"/>
        <w:jc w:val="both"/>
      </w:pPr>
      <w:r>
        <w:rPr/>
        <w:t>Water added after harvest will not be taken up chemically the way that naturally moist grain binds water. Errors in adding</w:t>
      </w:r>
      <w:r>
        <w:rPr>
          <w:spacing w:val="-9"/>
        </w:rPr>
        <w:t> </w:t>
      </w:r>
      <w:r>
        <w:rPr/>
        <w:t>water</w:t>
      </w:r>
      <w:r>
        <w:rPr>
          <w:spacing w:val="-9"/>
        </w:rPr>
        <w:t> </w:t>
      </w:r>
      <w:r>
        <w:rPr/>
        <w:t>or</w:t>
      </w:r>
      <w:r>
        <w:rPr>
          <w:spacing w:val="-9"/>
        </w:rPr>
        <w:t> </w:t>
      </w:r>
      <w:r>
        <w:rPr/>
        <w:t>the</w:t>
      </w:r>
      <w:r>
        <w:rPr>
          <w:spacing w:val="-7"/>
        </w:rPr>
        <w:t> </w:t>
      </w:r>
      <w:r>
        <w:rPr/>
        <w:t>particular</w:t>
      </w:r>
      <w:r>
        <w:rPr>
          <w:spacing w:val="-7"/>
        </w:rPr>
        <w:t> </w:t>
      </w:r>
      <w:r>
        <w:rPr/>
        <w:t>biochemical</w:t>
      </w:r>
      <w:r>
        <w:rPr>
          <w:spacing w:val="-8"/>
        </w:rPr>
        <w:t> </w:t>
      </w:r>
      <w:r>
        <w:rPr/>
        <w:t>nature</w:t>
      </w:r>
      <w:r>
        <w:rPr>
          <w:spacing w:val="-9"/>
        </w:rPr>
        <w:t> </w:t>
      </w:r>
      <w:r>
        <w:rPr/>
        <w:t>of</w:t>
      </w:r>
      <w:r>
        <w:rPr>
          <w:spacing w:val="-12"/>
        </w:rPr>
        <w:t> </w:t>
      </w:r>
      <w:r>
        <w:rPr/>
        <w:t>the</w:t>
      </w:r>
      <w:r>
        <w:rPr>
          <w:spacing w:val="-7"/>
        </w:rPr>
        <w:t> </w:t>
      </w:r>
      <w:r>
        <w:rPr/>
        <w:t>grain</w:t>
      </w:r>
      <w:r>
        <w:rPr>
          <w:spacing w:val="-10"/>
        </w:rPr>
        <w:t> </w:t>
      </w:r>
      <w:r>
        <w:rPr/>
        <w:t>after</w:t>
      </w:r>
      <w:r>
        <w:rPr>
          <w:spacing w:val="-9"/>
        </w:rPr>
        <w:t> </w:t>
      </w:r>
      <w:r>
        <w:rPr/>
        <w:t>addition</w:t>
      </w:r>
      <w:r>
        <w:rPr>
          <w:spacing w:val="-11"/>
        </w:rPr>
        <w:t> </w:t>
      </w:r>
      <w:r>
        <w:rPr/>
        <w:t>of</w:t>
      </w:r>
      <w:r>
        <w:rPr>
          <w:spacing w:val="-9"/>
        </w:rPr>
        <w:t> </w:t>
      </w:r>
      <w:r>
        <w:rPr/>
        <w:t>water</w:t>
      </w:r>
      <w:r>
        <w:rPr>
          <w:spacing w:val="-8"/>
        </w:rPr>
        <w:t> </w:t>
      </w:r>
      <w:r>
        <w:rPr/>
        <w:t>can</w:t>
      </w:r>
      <w:r>
        <w:rPr>
          <w:spacing w:val="-11"/>
        </w:rPr>
        <w:t> </w:t>
      </w:r>
      <w:r>
        <w:rPr/>
        <w:t>lead</w:t>
      </w:r>
      <w:r>
        <w:rPr>
          <w:spacing w:val="-9"/>
        </w:rPr>
        <w:t> </w:t>
      </w:r>
      <w:r>
        <w:rPr/>
        <w:t>to</w:t>
      </w:r>
      <w:r>
        <w:rPr>
          <w:spacing w:val="-9"/>
        </w:rPr>
        <w:t> </w:t>
      </w:r>
      <w:r>
        <w:rPr/>
        <w:t>spoiled</w:t>
      </w:r>
      <w:r>
        <w:rPr>
          <w:spacing w:val="-8"/>
        </w:rPr>
        <w:t> </w:t>
      </w:r>
      <w:r>
        <w:rPr/>
        <w:t>grain.</w:t>
      </w:r>
      <w:r>
        <w:rPr>
          <w:spacing w:val="31"/>
        </w:rPr>
        <w:t> </w:t>
      </w:r>
      <w:r>
        <w:rPr/>
        <w:t>Studies on the long term keeping qualities of grain with water added have not been carried out. The calibration of moisture meters</w:t>
      </w:r>
      <w:r>
        <w:rPr>
          <w:spacing w:val="-7"/>
        </w:rPr>
        <w:t> </w:t>
      </w:r>
      <w:r>
        <w:rPr/>
        <w:t>is</w:t>
      </w:r>
      <w:r>
        <w:rPr>
          <w:spacing w:val="-7"/>
        </w:rPr>
        <w:t> </w:t>
      </w:r>
      <w:r>
        <w:rPr/>
        <w:t>based</w:t>
      </w:r>
      <w:r>
        <w:rPr>
          <w:spacing w:val="-5"/>
        </w:rPr>
        <w:t> </w:t>
      </w:r>
      <w:r>
        <w:rPr/>
        <w:t>on</w:t>
      </w:r>
      <w:r>
        <w:rPr>
          <w:spacing w:val="-7"/>
        </w:rPr>
        <w:t> </w:t>
      </w:r>
      <w:r>
        <w:rPr/>
        <w:t>naturally</w:t>
      </w:r>
      <w:r>
        <w:rPr>
          <w:spacing w:val="-8"/>
        </w:rPr>
        <w:t> </w:t>
      </w:r>
      <w:r>
        <w:rPr/>
        <w:t>moist</w:t>
      </w:r>
      <w:r>
        <w:rPr>
          <w:spacing w:val="-7"/>
        </w:rPr>
        <w:t> </w:t>
      </w:r>
      <w:r>
        <w:rPr/>
        <w:t>grain,</w:t>
      </w:r>
      <w:r>
        <w:rPr>
          <w:spacing w:val="-5"/>
        </w:rPr>
        <w:t> </w:t>
      </w:r>
      <w:r>
        <w:rPr/>
        <w:t>and</w:t>
      </w:r>
      <w:r>
        <w:rPr>
          <w:spacing w:val="-5"/>
        </w:rPr>
        <w:t> </w:t>
      </w:r>
      <w:r>
        <w:rPr/>
        <w:t>there</w:t>
      </w:r>
      <w:r>
        <w:rPr>
          <w:spacing w:val="-6"/>
        </w:rPr>
        <w:t> </w:t>
      </w:r>
      <w:r>
        <w:rPr/>
        <w:t>is</w:t>
      </w:r>
      <w:r>
        <w:rPr>
          <w:spacing w:val="-7"/>
        </w:rPr>
        <w:t> </w:t>
      </w:r>
      <w:r>
        <w:rPr/>
        <w:t>a</w:t>
      </w:r>
      <w:r>
        <w:rPr>
          <w:spacing w:val="-5"/>
        </w:rPr>
        <w:t> </w:t>
      </w:r>
      <w:r>
        <w:rPr/>
        <w:t>known</w:t>
      </w:r>
      <w:r>
        <w:rPr>
          <w:spacing w:val="-8"/>
        </w:rPr>
        <w:t> </w:t>
      </w:r>
      <w:r>
        <w:rPr/>
        <w:t>difference</w:t>
      </w:r>
      <w:r>
        <w:rPr>
          <w:spacing w:val="-6"/>
        </w:rPr>
        <w:t> </w:t>
      </w:r>
      <w:r>
        <w:rPr/>
        <w:t>between</w:t>
      </w:r>
      <w:r>
        <w:rPr>
          <w:spacing w:val="-7"/>
        </w:rPr>
        <w:t> </w:t>
      </w:r>
      <w:r>
        <w:rPr/>
        <w:t>the</w:t>
      </w:r>
      <w:r>
        <w:rPr>
          <w:spacing w:val="-6"/>
        </w:rPr>
        <w:t> </w:t>
      </w:r>
      <w:r>
        <w:rPr/>
        <w:t>electrical</w:t>
      </w:r>
      <w:r>
        <w:rPr>
          <w:spacing w:val="-7"/>
        </w:rPr>
        <w:t> </w:t>
      </w:r>
      <w:r>
        <w:rPr/>
        <w:t>properties</w:t>
      </w:r>
      <w:r>
        <w:rPr>
          <w:spacing w:val="-6"/>
        </w:rPr>
        <w:t> </w:t>
      </w:r>
      <w:r>
        <w:rPr/>
        <w:t>of</w:t>
      </w:r>
      <w:r>
        <w:rPr>
          <w:spacing w:val="-8"/>
        </w:rPr>
        <w:t> </w:t>
      </w:r>
      <w:r>
        <w:rPr/>
        <w:t>naturally moist grain and grain with moisture</w:t>
      </w:r>
      <w:r>
        <w:rPr>
          <w:spacing w:val="2"/>
        </w:rPr>
        <w:t> </w:t>
      </w:r>
      <w:r>
        <w:rPr/>
        <w:t>added.</w:t>
      </w:r>
    </w:p>
    <w:p>
      <w:pPr>
        <w:pStyle w:val="BodyText"/>
        <w:spacing w:before="10"/>
      </w:pPr>
    </w:p>
    <w:p>
      <w:pPr>
        <w:pStyle w:val="BodyText"/>
        <w:ind w:left="179" w:right="418"/>
        <w:jc w:val="both"/>
      </w:pPr>
      <w:r>
        <w:rPr/>
        <w:t>Of</w:t>
      </w:r>
      <w:r>
        <w:rPr>
          <w:spacing w:val="-9"/>
        </w:rPr>
        <w:t> </w:t>
      </w:r>
      <w:r>
        <w:rPr/>
        <w:t>a</w:t>
      </w:r>
      <w:r>
        <w:rPr>
          <w:spacing w:val="-5"/>
        </w:rPr>
        <w:t> </w:t>
      </w:r>
      <w:r>
        <w:rPr/>
        <w:t>more</w:t>
      </w:r>
      <w:r>
        <w:rPr>
          <w:spacing w:val="-6"/>
        </w:rPr>
        <w:t> </w:t>
      </w:r>
      <w:r>
        <w:rPr/>
        <w:t>basic</w:t>
      </w:r>
      <w:r>
        <w:rPr>
          <w:spacing w:val="-5"/>
        </w:rPr>
        <w:t> </w:t>
      </w:r>
      <w:r>
        <w:rPr/>
        <w:t>nature,</w:t>
      </w:r>
      <w:r>
        <w:rPr>
          <w:spacing w:val="-7"/>
        </w:rPr>
        <w:t> </w:t>
      </w:r>
      <w:r>
        <w:rPr/>
        <w:t>however,</w:t>
      </w:r>
      <w:r>
        <w:rPr>
          <w:spacing w:val="-7"/>
        </w:rPr>
        <w:t> </w:t>
      </w:r>
      <w:r>
        <w:rPr/>
        <w:t>the</w:t>
      </w:r>
      <w:r>
        <w:rPr>
          <w:spacing w:val="-6"/>
        </w:rPr>
        <w:t> </w:t>
      </w:r>
      <w:r>
        <w:rPr/>
        <w:t>Committee</w:t>
      </w:r>
      <w:r>
        <w:rPr>
          <w:spacing w:val="-7"/>
        </w:rPr>
        <w:t> </w:t>
      </w:r>
      <w:r>
        <w:rPr/>
        <w:t>recognizes</w:t>
      </w:r>
      <w:r>
        <w:rPr>
          <w:spacing w:val="-8"/>
        </w:rPr>
        <w:t> </w:t>
      </w:r>
      <w:r>
        <w:rPr/>
        <w:t>the</w:t>
      </w:r>
      <w:r>
        <w:rPr>
          <w:spacing w:val="-7"/>
        </w:rPr>
        <w:t> </w:t>
      </w:r>
      <w:r>
        <w:rPr/>
        <w:t>fact</w:t>
      </w:r>
      <w:r>
        <w:rPr>
          <w:spacing w:val="-8"/>
        </w:rPr>
        <w:t> </w:t>
      </w:r>
      <w:r>
        <w:rPr/>
        <w:t>that</w:t>
      </w:r>
      <w:r>
        <w:rPr>
          <w:spacing w:val="-7"/>
        </w:rPr>
        <w:t> </w:t>
      </w:r>
      <w:r>
        <w:rPr/>
        <w:t>a</w:t>
      </w:r>
      <w:r>
        <w:rPr>
          <w:spacing w:val="-5"/>
        </w:rPr>
        <w:t> </w:t>
      </w:r>
      <w:r>
        <w:rPr/>
        <w:t>grain</w:t>
      </w:r>
      <w:r>
        <w:rPr>
          <w:spacing w:val="-9"/>
        </w:rPr>
        <w:t> </w:t>
      </w:r>
      <w:r>
        <w:rPr/>
        <w:t>buyer</w:t>
      </w:r>
      <w:r>
        <w:rPr>
          <w:spacing w:val="-6"/>
        </w:rPr>
        <w:t> </w:t>
      </w:r>
      <w:r>
        <w:rPr/>
        <w:t>purchases</w:t>
      </w:r>
      <w:r>
        <w:rPr>
          <w:spacing w:val="-9"/>
        </w:rPr>
        <w:t> </w:t>
      </w:r>
      <w:r>
        <w:rPr/>
        <w:t>grain</w:t>
      </w:r>
      <w:r>
        <w:rPr>
          <w:spacing w:val="-8"/>
        </w:rPr>
        <w:t> </w:t>
      </w:r>
      <w:r>
        <w:rPr/>
        <w:t>expecting</w:t>
      </w:r>
      <w:r>
        <w:rPr>
          <w:spacing w:val="-9"/>
        </w:rPr>
        <w:t> </w:t>
      </w:r>
      <w:r>
        <w:rPr/>
        <w:t>such grain to be naturally moist or dried, not to be with water added. The seller who adds water to grain solely to add weight, therefore, misrepresents his</w:t>
      </w:r>
      <w:r>
        <w:rPr>
          <w:spacing w:val="1"/>
        </w:rPr>
        <w:t> </w:t>
      </w:r>
      <w:r>
        <w:rPr/>
        <w:t>product.</w:t>
      </w:r>
    </w:p>
    <w:p>
      <w:pPr>
        <w:pStyle w:val="BodyText"/>
        <w:rPr>
          <w:sz w:val="21"/>
        </w:rPr>
      </w:pPr>
    </w:p>
    <w:p>
      <w:pPr>
        <w:pStyle w:val="BodyText"/>
        <w:ind w:left="179" w:right="418"/>
        <w:jc w:val="both"/>
      </w:pPr>
      <w:r>
        <w:rPr/>
        <w:t>Both the FDA and USDA have sent letters to the Committee indicating that the addition of water to grain solely for the purpose of adding weight is an illegal practice. Because existing federal laws already prohibit this practice, the Committee recommends no further action on the part of the Conference at this time.</w:t>
      </w:r>
    </w:p>
    <w:p>
      <w:pPr>
        <w:pStyle w:val="BodyText"/>
        <w:spacing w:before="2"/>
        <w:rPr>
          <w:sz w:val="31"/>
        </w:rPr>
      </w:pPr>
    </w:p>
    <w:p>
      <w:pPr>
        <w:pStyle w:val="Heading1"/>
        <w:numPr>
          <w:ilvl w:val="2"/>
          <w:numId w:val="11"/>
        </w:numPr>
        <w:tabs>
          <w:tab w:pos="732" w:val="left" w:leader="none"/>
        </w:tabs>
        <w:spacing w:line="240" w:lineRule="auto" w:before="0" w:after="0"/>
        <w:ind w:left="731" w:right="0" w:hanging="552"/>
        <w:jc w:val="both"/>
      </w:pPr>
      <w:bookmarkStart w:name="_bookmark20" w:id="35"/>
      <w:bookmarkEnd w:id="35"/>
      <w:r>
        <w:rPr>
          <w:b w:val="0"/>
        </w:rPr>
      </w:r>
      <w:bookmarkStart w:name="_bookmark20" w:id="36"/>
      <w:bookmarkEnd w:id="36"/>
      <w:r>
        <w:rPr/>
        <w:t>B</w:t>
      </w:r>
      <w:r>
        <w:rPr/>
        <w:t>asic Engine Fuels, Petroleum Products, and Lubricants</w:t>
      </w:r>
      <w:r>
        <w:rPr>
          <w:spacing w:val="-6"/>
        </w:rPr>
        <w:t> </w:t>
      </w:r>
      <w:r>
        <w:rPr/>
        <w:t>Laboratory.</w:t>
      </w:r>
    </w:p>
    <w:p>
      <w:pPr>
        <w:pStyle w:val="BodyText"/>
        <w:spacing w:before="1"/>
        <w:ind w:left="179"/>
        <w:jc w:val="both"/>
      </w:pPr>
      <w:r>
        <w:rPr/>
        <w:t>(L&amp;R, 1994, p. 129-135; L&amp;R, 2006, p. L&amp;R-8) (Developed by the Petroleum Subcommittee.)</w:t>
      </w:r>
    </w:p>
    <w:p>
      <w:pPr>
        <w:pStyle w:val="BodyText"/>
        <w:spacing w:before="10"/>
        <w:rPr>
          <w:sz w:val="19"/>
        </w:rPr>
      </w:pPr>
    </w:p>
    <w:p>
      <w:pPr>
        <w:pStyle w:val="BodyText"/>
        <w:ind w:left="179" w:right="417"/>
        <w:jc w:val="both"/>
      </w:pPr>
      <w:r>
        <w:rPr/>
        <w:t>The petroleum fuels and lubricants laboratory is an integral element of an inspection program and is generally devel- oped to satisfy the testing requirements as described in the laws and rules of the regulating agency. Guidelines have been developed to assist states in evaluating their options of employing a private lab or building or expanding their own lab. (Refer to NIST SP 1053 Report of the 91st NCWM Annual Meeting from 2006 - See Appendix C Item 250-1: Basic Engine Fuels, Petroleum Products, and Lubricants Laboratory Guidelines on L&amp;R C-1. (</w:t>
      </w:r>
      <w:hyperlink r:id="rId29">
        <w:r>
          <w:rPr>
            <w:b/>
          </w:rPr>
          <w:t>www.nist.gov/pml/weights-and-measures/publications/ncwm-annual-reports</w:t>
        </w:r>
      </w:hyperlink>
      <w:r>
        <w:rPr/>
        <w:t>)</w:t>
      </w:r>
    </w:p>
    <w:p>
      <w:pPr>
        <w:pStyle w:val="BodyText"/>
        <w:rPr>
          <w:sz w:val="22"/>
        </w:rPr>
      </w:pPr>
    </w:p>
    <w:p>
      <w:pPr>
        <w:pStyle w:val="BodyText"/>
        <w:spacing w:before="4"/>
        <w:rPr>
          <w:sz w:val="29"/>
        </w:rPr>
      </w:pPr>
    </w:p>
    <w:p>
      <w:pPr>
        <w:pStyle w:val="Heading1"/>
        <w:numPr>
          <w:ilvl w:val="2"/>
          <w:numId w:val="11"/>
        </w:numPr>
        <w:tabs>
          <w:tab w:pos="731" w:val="left" w:leader="none"/>
        </w:tabs>
        <w:spacing w:line="240" w:lineRule="auto" w:before="0" w:after="0"/>
        <w:ind w:left="730" w:right="0" w:hanging="552"/>
        <w:jc w:val="both"/>
      </w:pPr>
      <w:bookmarkStart w:name="_bookmark21" w:id="37"/>
      <w:bookmarkEnd w:id="37"/>
      <w:r>
        <w:rPr>
          <w:b w:val="0"/>
        </w:rPr>
      </w:r>
      <w:bookmarkStart w:name="_bookmark21" w:id="38"/>
      <w:bookmarkEnd w:id="38"/>
      <w:r>
        <w:rPr/>
        <w:t>Pr</w:t>
      </w:r>
      <w:r>
        <w:rPr/>
        <w:t>oduct Conformance</w:t>
      </w:r>
      <w:r>
        <w:rPr>
          <w:spacing w:val="3"/>
        </w:rPr>
        <w:t> </w:t>
      </w:r>
      <w:r>
        <w:rPr/>
        <w:t>Statements.</w:t>
      </w:r>
    </w:p>
    <w:p>
      <w:pPr>
        <w:pStyle w:val="BodyText"/>
        <w:spacing w:before="1"/>
        <w:ind w:left="178"/>
        <w:jc w:val="both"/>
      </w:pPr>
      <w:r>
        <w:rPr/>
        <w:t>(L&amp;R, 1992, p. 148)</w:t>
      </w:r>
    </w:p>
    <w:p>
      <w:pPr>
        <w:pStyle w:val="BodyText"/>
        <w:spacing w:before="10"/>
      </w:pPr>
    </w:p>
    <w:p>
      <w:pPr>
        <w:pStyle w:val="Heading1"/>
        <w:ind w:left="178"/>
        <w:jc w:val="both"/>
      </w:pPr>
      <w:r>
        <w:rPr/>
        <w:t>Interpretation</w:t>
      </w:r>
    </w:p>
    <w:p>
      <w:pPr>
        <w:pStyle w:val="BodyText"/>
        <w:spacing w:before="10"/>
        <w:rPr>
          <w:b/>
        </w:rPr>
      </w:pPr>
    </w:p>
    <w:p>
      <w:pPr>
        <w:pStyle w:val="BodyText"/>
        <w:spacing w:before="1"/>
        <w:ind w:left="178" w:right="418"/>
        <w:jc w:val="both"/>
      </w:pPr>
      <w:r>
        <w:rPr/>
        <w:t>References to a product’s conformance with product standards (for example, “manufactured to standard EN235” or similar product conformance statements) on labels for wallcovering or other products, are not considered qualifying terms</w:t>
      </w:r>
      <w:r>
        <w:rPr>
          <w:spacing w:val="-13"/>
        </w:rPr>
        <w:t> </w:t>
      </w:r>
      <w:r>
        <w:rPr/>
        <w:t>and</w:t>
      </w:r>
      <w:r>
        <w:rPr>
          <w:spacing w:val="-10"/>
        </w:rPr>
        <w:t> </w:t>
      </w:r>
      <w:r>
        <w:rPr/>
        <w:t>do</w:t>
      </w:r>
      <w:r>
        <w:rPr>
          <w:spacing w:val="-10"/>
        </w:rPr>
        <w:t> </w:t>
      </w:r>
      <w:r>
        <w:rPr/>
        <w:t>not</w:t>
      </w:r>
      <w:r>
        <w:rPr>
          <w:spacing w:val="-13"/>
        </w:rPr>
        <w:t> </w:t>
      </w:r>
      <w:r>
        <w:rPr/>
        <w:t>violate</w:t>
      </w:r>
      <w:r>
        <w:rPr>
          <w:spacing w:val="-9"/>
        </w:rPr>
        <w:t> </w:t>
      </w:r>
      <w:r>
        <w:rPr/>
        <w:t>Section</w:t>
      </w:r>
      <w:r>
        <w:rPr>
          <w:spacing w:val="-4"/>
        </w:rPr>
        <w:t> </w:t>
      </w:r>
      <w:r>
        <w:rPr/>
        <w:t>6.12.1.</w:t>
      </w:r>
      <w:r>
        <w:rPr>
          <w:spacing w:val="-11"/>
        </w:rPr>
        <w:t> </w:t>
      </w:r>
      <w:r>
        <w:rPr/>
        <w:t>Supplementary</w:t>
      </w:r>
      <w:r>
        <w:rPr>
          <w:spacing w:val="-13"/>
        </w:rPr>
        <w:t> </w:t>
      </w:r>
      <w:r>
        <w:rPr/>
        <w:t>Quantity</w:t>
      </w:r>
      <w:r>
        <w:rPr>
          <w:spacing w:val="-15"/>
        </w:rPr>
        <w:t> </w:t>
      </w:r>
      <w:r>
        <w:rPr/>
        <w:t>Declarations</w:t>
      </w:r>
      <w:r>
        <w:rPr>
          <w:spacing w:val="-13"/>
        </w:rPr>
        <w:t> </w:t>
      </w:r>
      <w:r>
        <w:rPr/>
        <w:t>of</w:t>
      </w:r>
      <w:r>
        <w:rPr>
          <w:spacing w:val="-13"/>
        </w:rPr>
        <w:t> </w:t>
      </w:r>
      <w:r>
        <w:rPr/>
        <w:t>the</w:t>
      </w:r>
      <w:r>
        <w:rPr>
          <w:spacing w:val="-11"/>
        </w:rPr>
        <w:t> </w:t>
      </w:r>
      <w:r>
        <w:rPr/>
        <w:t>Uniform</w:t>
      </w:r>
      <w:r>
        <w:rPr>
          <w:spacing w:val="-13"/>
        </w:rPr>
        <w:t> </w:t>
      </w:r>
      <w:r>
        <w:rPr/>
        <w:t>Packaging</w:t>
      </w:r>
      <w:r>
        <w:rPr>
          <w:spacing w:val="-13"/>
        </w:rPr>
        <w:t> </w:t>
      </w:r>
      <w:r>
        <w:rPr/>
        <w:t>and</w:t>
      </w:r>
      <w:r>
        <w:rPr>
          <w:spacing w:val="-11"/>
        </w:rPr>
        <w:t> </w:t>
      </w:r>
      <w:r>
        <w:rPr/>
        <w:t>Labeling Regulation, provided the requirements of Section 8.1.4. Free Area is</w:t>
      </w:r>
      <w:r>
        <w:rPr>
          <w:spacing w:val="-6"/>
        </w:rPr>
        <w:t> </w:t>
      </w:r>
      <w:r>
        <w:rPr/>
        <w:t>met.</w:t>
      </w:r>
    </w:p>
    <w:p>
      <w:pPr>
        <w:pStyle w:val="BodyText"/>
        <w:spacing w:before="9"/>
      </w:pPr>
    </w:p>
    <w:p>
      <w:pPr>
        <w:pStyle w:val="Heading1"/>
        <w:ind w:left="178"/>
        <w:jc w:val="both"/>
      </w:pPr>
      <w:r>
        <w:rPr/>
        <w:t>Background</w:t>
      </w:r>
    </w:p>
    <w:p>
      <w:pPr>
        <w:pStyle w:val="BodyText"/>
        <w:spacing w:before="10"/>
        <w:rPr>
          <w:b/>
        </w:rPr>
      </w:pPr>
    </w:p>
    <w:p>
      <w:pPr>
        <w:pStyle w:val="BodyText"/>
        <w:ind w:left="178" w:right="416"/>
        <w:jc w:val="both"/>
      </w:pPr>
      <w:r>
        <w:rPr/>
        <w:t>The</w:t>
      </w:r>
      <w:r>
        <w:rPr>
          <w:spacing w:val="-11"/>
        </w:rPr>
        <w:t> </w:t>
      </w:r>
      <w:r>
        <w:rPr/>
        <w:t>Wallcovering</w:t>
      </w:r>
      <w:r>
        <w:rPr>
          <w:spacing w:val="-11"/>
        </w:rPr>
        <w:t> </w:t>
      </w:r>
      <w:r>
        <w:rPr/>
        <w:t>Manufacturers</w:t>
      </w:r>
      <w:r>
        <w:rPr>
          <w:spacing w:val="-11"/>
        </w:rPr>
        <w:t> </w:t>
      </w:r>
      <w:r>
        <w:rPr/>
        <w:t>Association</w:t>
      </w:r>
      <w:r>
        <w:rPr>
          <w:spacing w:val="-12"/>
        </w:rPr>
        <w:t> </w:t>
      </w:r>
      <w:r>
        <w:rPr/>
        <w:t>(WMA)</w:t>
      </w:r>
      <w:r>
        <w:rPr>
          <w:spacing w:val="-9"/>
        </w:rPr>
        <w:t> </w:t>
      </w:r>
      <w:r>
        <w:rPr/>
        <w:t>requested</w:t>
      </w:r>
      <w:r>
        <w:rPr>
          <w:spacing w:val="-10"/>
        </w:rPr>
        <w:t> </w:t>
      </w:r>
      <w:r>
        <w:rPr/>
        <w:t>the</w:t>
      </w:r>
      <w:r>
        <w:rPr>
          <w:spacing w:val="-7"/>
        </w:rPr>
        <w:t> </w:t>
      </w:r>
      <w:r>
        <w:rPr/>
        <w:t>Conference’s</w:t>
      </w:r>
      <w:r>
        <w:rPr>
          <w:spacing w:val="-12"/>
        </w:rPr>
        <w:t> </w:t>
      </w:r>
      <w:r>
        <w:rPr/>
        <w:t>position</w:t>
      </w:r>
      <w:r>
        <w:rPr>
          <w:spacing w:val="-9"/>
        </w:rPr>
        <w:t> </w:t>
      </w:r>
      <w:r>
        <w:rPr/>
        <w:t>on</w:t>
      </w:r>
      <w:r>
        <w:rPr>
          <w:spacing w:val="-11"/>
        </w:rPr>
        <w:t> </w:t>
      </w:r>
      <w:r>
        <w:rPr/>
        <w:t>the</w:t>
      </w:r>
      <w:r>
        <w:rPr>
          <w:spacing w:val="-8"/>
        </w:rPr>
        <w:t> </w:t>
      </w:r>
      <w:r>
        <w:rPr/>
        <w:t>use</w:t>
      </w:r>
      <w:r>
        <w:rPr>
          <w:spacing w:val="-10"/>
        </w:rPr>
        <w:t> </w:t>
      </w:r>
      <w:r>
        <w:rPr/>
        <w:t>of</w:t>
      </w:r>
      <w:r>
        <w:rPr>
          <w:spacing w:val="-13"/>
        </w:rPr>
        <w:t> </w:t>
      </w:r>
      <w:r>
        <w:rPr/>
        <w:t>conformance statements</w:t>
      </w:r>
      <w:r>
        <w:rPr>
          <w:spacing w:val="-13"/>
        </w:rPr>
        <w:t> </w:t>
      </w:r>
      <w:r>
        <w:rPr/>
        <w:t>on</w:t>
      </w:r>
      <w:r>
        <w:rPr>
          <w:spacing w:val="-11"/>
        </w:rPr>
        <w:t> </w:t>
      </w:r>
      <w:r>
        <w:rPr/>
        <w:t>the</w:t>
      </w:r>
      <w:r>
        <w:rPr>
          <w:spacing w:val="-11"/>
        </w:rPr>
        <w:t> </w:t>
      </w:r>
      <w:r>
        <w:rPr/>
        <w:t>labels</w:t>
      </w:r>
      <w:r>
        <w:rPr>
          <w:spacing w:val="-13"/>
        </w:rPr>
        <w:t> </w:t>
      </w:r>
      <w:r>
        <w:rPr/>
        <w:t>of</w:t>
      </w:r>
      <w:r>
        <w:rPr>
          <w:spacing w:val="-12"/>
        </w:rPr>
        <w:t> </w:t>
      </w:r>
      <w:r>
        <w:rPr/>
        <w:t>wallcovering</w:t>
      </w:r>
      <w:r>
        <w:rPr>
          <w:spacing w:val="-13"/>
        </w:rPr>
        <w:t> </w:t>
      </w:r>
      <w:r>
        <w:rPr/>
        <w:t>and</w:t>
      </w:r>
      <w:r>
        <w:rPr>
          <w:spacing w:val="-12"/>
        </w:rPr>
        <w:t> </w:t>
      </w:r>
      <w:r>
        <w:rPr/>
        <w:t>border</w:t>
      </w:r>
      <w:r>
        <w:rPr>
          <w:spacing w:val="-12"/>
        </w:rPr>
        <w:t> </w:t>
      </w:r>
      <w:r>
        <w:rPr/>
        <w:t>material.</w:t>
      </w:r>
      <w:r>
        <w:rPr>
          <w:spacing w:val="28"/>
        </w:rPr>
        <w:t> </w:t>
      </w:r>
      <w:r>
        <w:rPr/>
        <w:t>This</w:t>
      </w:r>
      <w:r>
        <w:rPr>
          <w:spacing w:val="-13"/>
        </w:rPr>
        <w:t> </w:t>
      </w:r>
      <w:r>
        <w:rPr/>
        <w:t>issue</w:t>
      </w:r>
      <w:r>
        <w:rPr>
          <w:spacing w:val="-12"/>
        </w:rPr>
        <w:t> </w:t>
      </w:r>
      <w:r>
        <w:rPr/>
        <w:t>relates</w:t>
      </w:r>
      <w:r>
        <w:rPr>
          <w:spacing w:val="-13"/>
        </w:rPr>
        <w:t> </w:t>
      </w:r>
      <w:r>
        <w:rPr/>
        <w:t>to</w:t>
      </w:r>
      <w:r>
        <w:rPr>
          <w:spacing w:val="-9"/>
        </w:rPr>
        <w:t> </w:t>
      </w:r>
      <w:r>
        <w:rPr/>
        <w:t>wallcovering</w:t>
      </w:r>
      <w:r>
        <w:rPr>
          <w:spacing w:val="-11"/>
        </w:rPr>
        <w:t> </w:t>
      </w:r>
      <w:r>
        <w:rPr/>
        <w:t>products</w:t>
      </w:r>
      <w:r>
        <w:rPr>
          <w:spacing w:val="-13"/>
        </w:rPr>
        <w:t> </w:t>
      </w:r>
      <w:r>
        <w:rPr/>
        <w:t>that</w:t>
      </w:r>
      <w:r>
        <w:rPr>
          <w:spacing w:val="-13"/>
        </w:rPr>
        <w:t> </w:t>
      </w:r>
      <w:r>
        <w:rPr/>
        <w:t>originate from manufacturers in Europe where a declaration of conformance to a specific government standard is required on consumer packages. Thousands of product “standards” or “Euronorms” are being established for the European Com- munity. Conformance declarations are required to provide consumers and customs officials with information on the product. The issue relates to the use of such statements as “manufactured to standard EN235” on labels of wallcov- ering that are imported from Europe. The WMA requested the Committee’s opinion on the use of this type of state- ment if a package is labeled in conformance with sections Section 6.12.1. Supplementary Quantity Declarations and Section 8.1.4. Free Area. One question is whether the display of the conformance statement would be permitted provided that it did not include an unacceptable quantity declaration. Another question concerns the need to</w:t>
      </w:r>
      <w:r>
        <w:rPr>
          <w:spacing w:val="-6"/>
        </w:rPr>
        <w:t> </w:t>
      </w:r>
      <w:r>
        <w:rPr/>
        <w:t>comply</w:t>
      </w:r>
    </w:p>
    <w:p>
      <w:pPr>
        <w:spacing w:after="0"/>
        <w:jc w:val="both"/>
        <w:sectPr>
          <w:footerReference w:type="even" r:id="rId27"/>
          <w:footerReference w:type="default" r:id="rId28"/>
          <w:pgSz w:w="12240" w:h="15840"/>
          <w:pgMar w:footer="741" w:header="730" w:top="1340" w:bottom="940" w:left="1260" w:right="1020"/>
          <w:pgNumType w:start="262"/>
        </w:sectPr>
      </w:pPr>
    </w:p>
    <w:p>
      <w:pPr>
        <w:pStyle w:val="BodyText"/>
        <w:spacing w:before="1"/>
        <w:rPr>
          <w:sz w:val="17"/>
        </w:rPr>
      </w:pPr>
    </w:p>
    <w:p>
      <w:pPr>
        <w:pStyle w:val="BodyText"/>
        <w:spacing w:before="91"/>
        <w:ind w:left="179" w:right="416"/>
        <w:jc w:val="both"/>
      </w:pPr>
      <w:r>
        <w:rPr/>
        <w:t>with the requirement for adequate free area around the quantity declaration when the conformance declaration is placed</w:t>
      </w:r>
      <w:r>
        <w:rPr>
          <w:spacing w:val="-7"/>
        </w:rPr>
        <w:t> </w:t>
      </w:r>
      <w:r>
        <w:rPr/>
        <w:t>on</w:t>
      </w:r>
      <w:r>
        <w:rPr>
          <w:spacing w:val="-9"/>
        </w:rPr>
        <w:t> </w:t>
      </w:r>
      <w:r>
        <w:rPr/>
        <w:t>the</w:t>
      </w:r>
      <w:r>
        <w:rPr>
          <w:spacing w:val="-7"/>
        </w:rPr>
        <w:t> </w:t>
      </w:r>
      <w:r>
        <w:rPr/>
        <w:t>label.</w:t>
      </w:r>
      <w:r>
        <w:rPr>
          <w:spacing w:val="35"/>
        </w:rPr>
        <w:t> </w:t>
      </w:r>
      <w:r>
        <w:rPr/>
        <w:t>It</w:t>
      </w:r>
      <w:r>
        <w:rPr>
          <w:spacing w:val="-6"/>
        </w:rPr>
        <w:t> </w:t>
      </w:r>
      <w:r>
        <w:rPr/>
        <w:t>was</w:t>
      </w:r>
      <w:r>
        <w:rPr>
          <w:spacing w:val="-6"/>
        </w:rPr>
        <w:t> </w:t>
      </w:r>
      <w:r>
        <w:rPr/>
        <w:t>the</w:t>
      </w:r>
      <w:r>
        <w:rPr>
          <w:spacing w:val="-5"/>
        </w:rPr>
        <w:t> </w:t>
      </w:r>
      <w:r>
        <w:rPr/>
        <w:t>Committee’s</w:t>
      </w:r>
      <w:r>
        <w:rPr>
          <w:spacing w:val="-8"/>
        </w:rPr>
        <w:t> </w:t>
      </w:r>
      <w:r>
        <w:rPr/>
        <w:t>opinion</w:t>
      </w:r>
      <w:r>
        <w:rPr>
          <w:spacing w:val="-9"/>
        </w:rPr>
        <w:t> </w:t>
      </w:r>
      <w:r>
        <w:rPr/>
        <w:t>that</w:t>
      </w:r>
      <w:r>
        <w:rPr>
          <w:spacing w:val="-8"/>
        </w:rPr>
        <w:t> </w:t>
      </w:r>
      <w:r>
        <w:rPr/>
        <w:t>conformance</w:t>
      </w:r>
      <w:r>
        <w:rPr>
          <w:spacing w:val="-7"/>
        </w:rPr>
        <w:t> </w:t>
      </w:r>
      <w:r>
        <w:rPr/>
        <w:t>statements</w:t>
      </w:r>
      <w:r>
        <w:rPr>
          <w:spacing w:val="-9"/>
        </w:rPr>
        <w:t> </w:t>
      </w:r>
      <w:r>
        <w:rPr/>
        <w:t>on</w:t>
      </w:r>
      <w:r>
        <w:rPr>
          <w:spacing w:val="-8"/>
        </w:rPr>
        <w:t> </w:t>
      </w:r>
      <w:r>
        <w:rPr/>
        <w:t>package</w:t>
      </w:r>
      <w:r>
        <w:rPr>
          <w:spacing w:val="-7"/>
        </w:rPr>
        <w:t> </w:t>
      </w:r>
      <w:r>
        <w:rPr/>
        <w:t>labels</w:t>
      </w:r>
      <w:r>
        <w:rPr>
          <w:spacing w:val="-6"/>
        </w:rPr>
        <w:t> </w:t>
      </w:r>
      <w:r>
        <w:rPr/>
        <w:t>would</w:t>
      </w:r>
      <w:r>
        <w:rPr>
          <w:spacing w:val="-4"/>
        </w:rPr>
        <w:t> </w:t>
      </w:r>
      <w:r>
        <w:rPr/>
        <w:t>not</w:t>
      </w:r>
      <w:r>
        <w:rPr>
          <w:spacing w:val="-8"/>
        </w:rPr>
        <w:t> </w:t>
      </w:r>
      <w:r>
        <w:rPr/>
        <w:t>violate any</w:t>
      </w:r>
      <w:r>
        <w:rPr>
          <w:spacing w:val="39"/>
        </w:rPr>
        <w:t> </w:t>
      </w:r>
      <w:r>
        <w:rPr/>
        <w:t>provisions</w:t>
      </w:r>
      <w:r>
        <w:rPr>
          <w:spacing w:val="43"/>
        </w:rPr>
        <w:t> </w:t>
      </w:r>
      <w:r>
        <w:rPr/>
        <w:t>of</w:t>
      </w:r>
      <w:r>
        <w:rPr>
          <w:spacing w:val="42"/>
        </w:rPr>
        <w:t> </w:t>
      </w:r>
      <w:r>
        <w:rPr/>
        <w:t>the</w:t>
      </w:r>
      <w:r>
        <w:rPr>
          <w:spacing w:val="43"/>
        </w:rPr>
        <w:t> </w:t>
      </w:r>
      <w:r>
        <w:rPr/>
        <w:t>UPLR</w:t>
      </w:r>
      <w:r>
        <w:rPr>
          <w:spacing w:val="45"/>
        </w:rPr>
        <w:t> </w:t>
      </w:r>
      <w:r>
        <w:rPr/>
        <w:t>if</w:t>
      </w:r>
      <w:r>
        <w:rPr>
          <w:spacing w:val="42"/>
        </w:rPr>
        <w:t> </w:t>
      </w:r>
      <w:r>
        <w:rPr/>
        <w:t>the</w:t>
      </w:r>
      <w:r>
        <w:rPr>
          <w:spacing w:val="43"/>
        </w:rPr>
        <w:t> </w:t>
      </w:r>
      <w:r>
        <w:rPr/>
        <w:t>requirements</w:t>
      </w:r>
      <w:r>
        <w:rPr>
          <w:spacing w:val="43"/>
        </w:rPr>
        <w:t> </w:t>
      </w:r>
      <w:r>
        <w:rPr/>
        <w:t>of</w:t>
      </w:r>
      <w:r>
        <w:rPr>
          <w:spacing w:val="42"/>
        </w:rPr>
        <w:t> </w:t>
      </w:r>
      <w:r>
        <w:rPr/>
        <w:t>Sections</w:t>
      </w:r>
      <w:r>
        <w:rPr>
          <w:spacing w:val="-2"/>
        </w:rPr>
        <w:t> </w:t>
      </w:r>
      <w:r>
        <w:rPr/>
        <w:t>6.12.1.</w:t>
      </w:r>
      <w:r>
        <w:rPr>
          <w:spacing w:val="43"/>
        </w:rPr>
        <w:t> </w:t>
      </w:r>
      <w:r>
        <w:rPr/>
        <w:t>Supplementary</w:t>
      </w:r>
      <w:r>
        <w:rPr>
          <w:spacing w:val="45"/>
        </w:rPr>
        <w:t> </w:t>
      </w:r>
      <w:r>
        <w:rPr/>
        <w:t>Quantity</w:t>
      </w:r>
      <w:r>
        <w:rPr>
          <w:spacing w:val="42"/>
        </w:rPr>
        <w:t> </w:t>
      </w:r>
      <w:r>
        <w:rPr/>
        <w:t>Declarations</w:t>
      </w:r>
      <w:r>
        <w:rPr>
          <w:spacing w:val="42"/>
        </w:rPr>
        <w:t> </w:t>
      </w:r>
      <w:r>
        <w:rPr/>
        <w:t>and</w:t>
      </w:r>
    </w:p>
    <w:p>
      <w:pPr>
        <w:pStyle w:val="BodyText"/>
        <w:spacing w:before="2"/>
        <w:ind w:left="179"/>
        <w:jc w:val="both"/>
      </w:pPr>
      <w:r>
        <w:rPr/>
        <w:t>8.1.4. Free Area are met.</w:t>
      </w:r>
    </w:p>
    <w:p>
      <w:pPr>
        <w:pStyle w:val="BodyText"/>
        <w:spacing w:before="7"/>
      </w:pPr>
    </w:p>
    <w:p>
      <w:pPr>
        <w:pStyle w:val="BodyText"/>
        <w:spacing w:before="1"/>
        <w:ind w:left="179" w:right="418"/>
        <w:jc w:val="both"/>
      </w:pPr>
      <w:r>
        <w:rPr/>
        <w:t>The Committee recommended this interpretation for inclusion in Handbook 130 because it is likely that this type of notice will become common as more and more free market trading areas are opened to expand international trade. This interpretation does not indicate acceptance or endorsement of any requirements contained in product conform- ance statements.</w:t>
      </w:r>
    </w:p>
    <w:p>
      <w:pPr>
        <w:pStyle w:val="BodyText"/>
        <w:spacing w:before="5"/>
        <w:rPr>
          <w:sz w:val="31"/>
        </w:rPr>
      </w:pPr>
    </w:p>
    <w:p>
      <w:pPr>
        <w:pStyle w:val="Heading1"/>
        <w:numPr>
          <w:ilvl w:val="2"/>
          <w:numId w:val="12"/>
        </w:numPr>
        <w:tabs>
          <w:tab w:pos="749" w:val="left" w:leader="none"/>
        </w:tabs>
        <w:spacing w:line="240" w:lineRule="auto" w:before="0" w:after="0"/>
        <w:ind w:left="179" w:right="419" w:firstLine="0"/>
        <w:jc w:val="both"/>
      </w:pPr>
      <w:bookmarkStart w:name="_bookmark22" w:id="39"/>
      <w:bookmarkEnd w:id="39"/>
      <w:r>
        <w:rPr>
          <w:b w:val="0"/>
        </w:rPr>
      </w:r>
      <w:bookmarkStart w:name="_bookmark22" w:id="40"/>
      <w:bookmarkEnd w:id="40"/>
      <w:r>
        <w:rPr/>
        <w:t>C</w:t>
      </w:r>
      <w:r>
        <w:rPr/>
        <w:t>ommodities Under FTC Jurisdiction under the Fair Packaging and Labeling Act (FPLA) and Exclu- sions.</w:t>
      </w:r>
    </w:p>
    <w:p>
      <w:pPr>
        <w:pStyle w:val="BodyText"/>
        <w:spacing w:line="229" w:lineRule="exact"/>
        <w:ind w:left="179"/>
        <w:jc w:val="both"/>
      </w:pPr>
      <w:r>
        <w:rPr/>
        <w:t>(L&amp;R, 1993, p. 279; L&amp;R, 1994, p. 294)</w:t>
      </w:r>
    </w:p>
    <w:p>
      <w:pPr>
        <w:pStyle w:val="BodyText"/>
        <w:spacing w:before="10"/>
      </w:pPr>
    </w:p>
    <w:p>
      <w:pPr>
        <w:pStyle w:val="BodyText"/>
        <w:ind w:left="179" w:right="417"/>
        <w:jc w:val="both"/>
      </w:pPr>
      <w:r>
        <w:rPr/>
        <w:t>The following lists indicate the commodities and commodity groups that are and are not within the scope of the Fair Packaging and Labeling Act administered by the FTC. The following codes appear with each excluded commodity and designate the reason that the particular commodity has been excluded.</w:t>
      </w:r>
    </w:p>
    <w:p>
      <w:pPr>
        <w:pStyle w:val="BodyText"/>
        <w:rPr>
          <w:sz w:val="21"/>
        </w:rPr>
      </w:pPr>
    </w:p>
    <w:p>
      <w:pPr>
        <w:pStyle w:val="BodyText"/>
        <w:ind w:left="179" w:right="416"/>
        <w:jc w:val="both"/>
      </w:pPr>
      <w:r>
        <w:rPr/>
        <w:t>CI</w:t>
      </w:r>
      <w:r>
        <w:rPr>
          <w:spacing w:val="-6"/>
        </w:rPr>
        <w:t> </w:t>
      </w:r>
      <w:r>
        <w:rPr/>
        <w:t>(Commission</w:t>
      </w:r>
      <w:r>
        <w:rPr>
          <w:spacing w:val="-7"/>
        </w:rPr>
        <w:t> </w:t>
      </w:r>
      <w:r>
        <w:rPr/>
        <w:t>Interpretation)</w:t>
      </w:r>
      <w:r>
        <w:rPr>
          <w:spacing w:val="-5"/>
        </w:rPr>
        <w:t> </w:t>
      </w:r>
      <w:r>
        <w:rPr/>
        <w:t>–</w:t>
      </w:r>
      <w:r>
        <w:rPr>
          <w:spacing w:val="-4"/>
        </w:rPr>
        <w:t> </w:t>
      </w:r>
      <w:r>
        <w:rPr/>
        <w:t>designates</w:t>
      </w:r>
      <w:r>
        <w:rPr>
          <w:spacing w:val="-6"/>
        </w:rPr>
        <w:t> </w:t>
      </w:r>
      <w:r>
        <w:rPr/>
        <w:t>those</w:t>
      </w:r>
      <w:r>
        <w:rPr>
          <w:spacing w:val="-5"/>
        </w:rPr>
        <w:t> </w:t>
      </w:r>
      <w:r>
        <w:rPr/>
        <w:t>categories</w:t>
      </w:r>
      <w:r>
        <w:rPr>
          <w:spacing w:val="-6"/>
        </w:rPr>
        <w:t> </w:t>
      </w:r>
      <w:r>
        <w:rPr/>
        <w:t>that</w:t>
      </w:r>
      <w:r>
        <w:rPr>
          <w:spacing w:val="-4"/>
        </w:rPr>
        <w:t> </w:t>
      </w:r>
      <w:r>
        <w:rPr/>
        <w:t>have</w:t>
      </w:r>
      <w:r>
        <w:rPr>
          <w:spacing w:val="-5"/>
        </w:rPr>
        <w:t> </w:t>
      </w:r>
      <w:r>
        <w:rPr/>
        <w:t>been</w:t>
      </w:r>
      <w:r>
        <w:rPr>
          <w:spacing w:val="-7"/>
        </w:rPr>
        <w:t> </w:t>
      </w:r>
      <w:r>
        <w:rPr/>
        <w:t>excluded</w:t>
      </w:r>
      <w:r>
        <w:rPr>
          <w:spacing w:val="-4"/>
        </w:rPr>
        <w:t> </w:t>
      </w:r>
      <w:r>
        <w:rPr/>
        <w:t>by</w:t>
      </w:r>
      <w:r>
        <w:rPr>
          <w:spacing w:val="-9"/>
        </w:rPr>
        <w:t> </w:t>
      </w:r>
      <w:r>
        <w:rPr/>
        <w:t>the</w:t>
      </w:r>
      <w:r>
        <w:rPr>
          <w:spacing w:val="-5"/>
        </w:rPr>
        <w:t> </w:t>
      </w:r>
      <w:r>
        <w:rPr/>
        <w:t>Commission</w:t>
      </w:r>
      <w:r>
        <w:rPr>
          <w:spacing w:val="-7"/>
        </w:rPr>
        <w:t> </w:t>
      </w:r>
      <w:r>
        <w:rPr/>
        <w:t>in</w:t>
      </w:r>
      <w:r>
        <w:rPr>
          <w:spacing w:val="-7"/>
        </w:rPr>
        <w:t> </w:t>
      </w:r>
      <w:r>
        <w:rPr/>
        <w:t>the</w:t>
      </w:r>
      <w:r>
        <w:rPr>
          <w:spacing w:val="-5"/>
        </w:rPr>
        <w:t> </w:t>
      </w:r>
      <w:r>
        <w:rPr/>
        <w:t>light of legislative history of the definition of “consumer commodity.” By applying this definition to individual commod- ities,</w:t>
      </w:r>
      <w:r>
        <w:rPr>
          <w:spacing w:val="-11"/>
        </w:rPr>
        <w:t> </w:t>
      </w:r>
      <w:r>
        <w:rPr/>
        <w:t>the</w:t>
      </w:r>
      <w:r>
        <w:rPr>
          <w:spacing w:val="-10"/>
        </w:rPr>
        <w:t> </w:t>
      </w:r>
      <w:r>
        <w:rPr/>
        <w:t>Commission</w:t>
      </w:r>
      <w:r>
        <w:rPr>
          <w:spacing w:val="-11"/>
        </w:rPr>
        <w:t> </w:t>
      </w:r>
      <w:r>
        <w:rPr/>
        <w:t>has</w:t>
      </w:r>
      <w:r>
        <w:rPr>
          <w:spacing w:val="-9"/>
        </w:rPr>
        <w:t> </w:t>
      </w:r>
      <w:r>
        <w:rPr/>
        <w:t>more</w:t>
      </w:r>
      <w:r>
        <w:rPr>
          <w:spacing w:val="-10"/>
        </w:rPr>
        <w:t> </w:t>
      </w:r>
      <w:r>
        <w:rPr/>
        <w:t>narrowly</w:t>
      </w:r>
      <w:r>
        <w:rPr>
          <w:spacing w:val="-14"/>
        </w:rPr>
        <w:t> </w:t>
      </w:r>
      <w:r>
        <w:rPr/>
        <w:t>applied</w:t>
      </w:r>
      <w:r>
        <w:rPr>
          <w:spacing w:val="-9"/>
        </w:rPr>
        <w:t> </w:t>
      </w:r>
      <w:r>
        <w:rPr/>
        <w:t>the</w:t>
      </w:r>
      <w:r>
        <w:rPr>
          <w:spacing w:val="-10"/>
        </w:rPr>
        <w:t> </w:t>
      </w:r>
      <w:r>
        <w:rPr/>
        <w:t>latter</w:t>
      </w:r>
      <w:r>
        <w:rPr>
          <w:spacing w:val="-10"/>
        </w:rPr>
        <w:t> </w:t>
      </w:r>
      <w:r>
        <w:rPr/>
        <w:t>term</w:t>
      </w:r>
      <w:r>
        <w:rPr>
          <w:spacing w:val="-13"/>
        </w:rPr>
        <w:t> </w:t>
      </w:r>
      <w:r>
        <w:rPr/>
        <w:t>and</w:t>
      </w:r>
      <w:r>
        <w:rPr>
          <w:spacing w:val="-10"/>
        </w:rPr>
        <w:t> </w:t>
      </w:r>
      <w:r>
        <w:rPr/>
        <w:t>set</w:t>
      </w:r>
      <w:r>
        <w:rPr>
          <w:spacing w:val="-10"/>
        </w:rPr>
        <w:t> </w:t>
      </w:r>
      <w:r>
        <w:rPr/>
        <w:t>forth</w:t>
      </w:r>
      <w:r>
        <w:rPr>
          <w:spacing w:val="-11"/>
        </w:rPr>
        <w:t> </w:t>
      </w:r>
      <w:r>
        <w:rPr/>
        <w:t>a</w:t>
      </w:r>
      <w:r>
        <w:rPr>
          <w:spacing w:val="-10"/>
        </w:rPr>
        <w:t> </w:t>
      </w:r>
      <w:r>
        <w:rPr/>
        <w:t>list</w:t>
      </w:r>
      <w:r>
        <w:rPr>
          <w:spacing w:val="-10"/>
        </w:rPr>
        <w:t> </w:t>
      </w:r>
      <w:r>
        <w:rPr/>
        <w:t>of</w:t>
      </w:r>
      <w:r>
        <w:rPr>
          <w:spacing w:val="-12"/>
        </w:rPr>
        <w:t> </w:t>
      </w:r>
      <w:r>
        <w:rPr/>
        <w:t>items</w:t>
      </w:r>
      <w:r>
        <w:rPr>
          <w:spacing w:val="-11"/>
        </w:rPr>
        <w:t> </w:t>
      </w:r>
      <w:r>
        <w:rPr/>
        <w:t>that</w:t>
      </w:r>
      <w:r>
        <w:rPr>
          <w:spacing w:val="-10"/>
        </w:rPr>
        <w:t> </w:t>
      </w:r>
      <w:r>
        <w:rPr/>
        <w:t>do</w:t>
      </w:r>
      <w:r>
        <w:rPr>
          <w:spacing w:val="-9"/>
        </w:rPr>
        <w:t> </w:t>
      </w:r>
      <w:r>
        <w:rPr/>
        <w:t>not</w:t>
      </w:r>
      <w:r>
        <w:rPr>
          <w:spacing w:val="-11"/>
        </w:rPr>
        <w:t> </w:t>
      </w:r>
      <w:r>
        <w:rPr/>
        <w:t>meet</w:t>
      </w:r>
      <w:r>
        <w:rPr>
          <w:spacing w:val="-10"/>
        </w:rPr>
        <w:t> </w:t>
      </w:r>
      <w:r>
        <w:rPr/>
        <w:t>the</w:t>
      </w:r>
      <w:r>
        <w:rPr>
          <w:spacing w:val="-10"/>
        </w:rPr>
        <w:t> </w:t>
      </w:r>
      <w:r>
        <w:rPr/>
        <w:t>criteria of</w:t>
      </w:r>
      <w:r>
        <w:rPr>
          <w:spacing w:val="-17"/>
        </w:rPr>
        <w:t> </w:t>
      </w:r>
      <w:r>
        <w:rPr/>
        <w:t>consumer</w:t>
      </w:r>
      <w:r>
        <w:rPr>
          <w:spacing w:val="-13"/>
        </w:rPr>
        <w:t> </w:t>
      </w:r>
      <w:r>
        <w:rPr/>
        <w:t>commodities.</w:t>
      </w:r>
      <w:r>
        <w:rPr>
          <w:spacing w:val="23"/>
        </w:rPr>
        <w:t> </w:t>
      </w:r>
      <w:r>
        <w:rPr/>
        <w:t>On</w:t>
      </w:r>
      <w:r>
        <w:rPr>
          <w:spacing w:val="-14"/>
        </w:rPr>
        <w:t> </w:t>
      </w:r>
      <w:r>
        <w:rPr/>
        <w:t>occasion</w:t>
      </w:r>
      <w:r>
        <w:rPr>
          <w:spacing w:val="-15"/>
        </w:rPr>
        <w:t> </w:t>
      </w:r>
      <w:r>
        <w:rPr/>
        <w:t>the</w:t>
      </w:r>
      <w:r>
        <w:rPr>
          <w:spacing w:val="-11"/>
        </w:rPr>
        <w:t> </w:t>
      </w:r>
      <w:r>
        <w:rPr/>
        <w:t>Commission</w:t>
      </w:r>
      <w:r>
        <w:rPr>
          <w:spacing w:val="-15"/>
        </w:rPr>
        <w:t> </w:t>
      </w:r>
      <w:r>
        <w:rPr/>
        <w:t>is</w:t>
      </w:r>
      <w:r>
        <w:rPr>
          <w:spacing w:val="-15"/>
        </w:rPr>
        <w:t> </w:t>
      </w:r>
      <w:r>
        <w:rPr/>
        <w:t>requested</w:t>
      </w:r>
      <w:r>
        <w:rPr>
          <w:spacing w:val="-14"/>
        </w:rPr>
        <w:t> </w:t>
      </w:r>
      <w:r>
        <w:rPr/>
        <w:t>in</w:t>
      </w:r>
      <w:r>
        <w:rPr>
          <w:spacing w:val="-15"/>
        </w:rPr>
        <w:t> </w:t>
      </w:r>
      <w:r>
        <w:rPr/>
        <w:t>both</w:t>
      </w:r>
      <w:r>
        <w:rPr>
          <w:spacing w:val="-15"/>
        </w:rPr>
        <w:t> </w:t>
      </w:r>
      <w:r>
        <w:rPr/>
        <w:t>a</w:t>
      </w:r>
      <w:r>
        <w:rPr>
          <w:spacing w:val="-14"/>
        </w:rPr>
        <w:t> </w:t>
      </w:r>
      <w:r>
        <w:rPr/>
        <w:t>formal</w:t>
      </w:r>
      <w:r>
        <w:rPr>
          <w:spacing w:val="-14"/>
        </w:rPr>
        <w:t> </w:t>
      </w:r>
      <w:r>
        <w:rPr/>
        <w:t>and</w:t>
      </w:r>
      <w:r>
        <w:rPr>
          <w:spacing w:val="-14"/>
        </w:rPr>
        <w:t> </w:t>
      </w:r>
      <w:r>
        <w:rPr/>
        <w:t>informal</w:t>
      </w:r>
      <w:r>
        <w:rPr>
          <w:spacing w:val="-12"/>
        </w:rPr>
        <w:t> </w:t>
      </w:r>
      <w:r>
        <w:rPr/>
        <w:t>manner</w:t>
      </w:r>
      <w:r>
        <w:rPr>
          <w:spacing w:val="-13"/>
        </w:rPr>
        <w:t> </w:t>
      </w:r>
      <w:r>
        <w:rPr/>
        <w:t>to</w:t>
      </w:r>
      <w:r>
        <w:rPr>
          <w:spacing w:val="-14"/>
        </w:rPr>
        <w:t> </w:t>
      </w:r>
      <w:r>
        <w:rPr/>
        <w:t>consider individual products and to determine their status relative to the definition of “consumer commodity” as it is used in the</w:t>
      </w:r>
      <w:r>
        <w:rPr>
          <w:spacing w:val="2"/>
        </w:rPr>
        <w:t> </w:t>
      </w:r>
      <w:r>
        <w:rPr/>
        <w:t>Act.</w:t>
      </w:r>
    </w:p>
    <w:p>
      <w:pPr>
        <w:pStyle w:val="BodyText"/>
        <w:spacing w:before="8"/>
      </w:pPr>
    </w:p>
    <w:p>
      <w:pPr>
        <w:pStyle w:val="BodyText"/>
        <w:ind w:left="179" w:right="422"/>
        <w:jc w:val="both"/>
      </w:pPr>
      <w:r>
        <w:rPr/>
        <w:t>EPA – designates commodities subject to the Federal Environmental Pest Control Act of 1972 administered by the Environmental Protection Agency.</w:t>
      </w:r>
    </w:p>
    <w:p>
      <w:pPr>
        <w:pStyle w:val="BodyText"/>
        <w:spacing w:before="11"/>
      </w:pPr>
    </w:p>
    <w:p>
      <w:pPr>
        <w:pStyle w:val="BodyText"/>
        <w:ind w:left="179" w:right="418"/>
        <w:jc w:val="both"/>
      </w:pPr>
      <w:r>
        <w:rPr/>
        <w:t>FDA</w:t>
      </w:r>
      <w:r>
        <w:rPr>
          <w:spacing w:val="-11"/>
        </w:rPr>
        <w:t> </w:t>
      </w:r>
      <w:r>
        <w:rPr/>
        <w:t>–</w:t>
      </w:r>
      <w:r>
        <w:rPr>
          <w:spacing w:val="-8"/>
        </w:rPr>
        <w:t> </w:t>
      </w:r>
      <w:r>
        <w:rPr/>
        <w:t>designates</w:t>
      </w:r>
      <w:r>
        <w:rPr>
          <w:spacing w:val="-10"/>
        </w:rPr>
        <w:t> </w:t>
      </w:r>
      <w:r>
        <w:rPr/>
        <w:t>those</w:t>
      </w:r>
      <w:r>
        <w:rPr>
          <w:spacing w:val="-8"/>
        </w:rPr>
        <w:t> </w:t>
      </w:r>
      <w:r>
        <w:rPr/>
        <w:t>commodities</w:t>
      </w:r>
      <w:r>
        <w:rPr>
          <w:spacing w:val="-8"/>
        </w:rPr>
        <w:t> </w:t>
      </w:r>
      <w:r>
        <w:rPr/>
        <w:t>which</w:t>
      </w:r>
      <w:r>
        <w:rPr>
          <w:spacing w:val="-10"/>
        </w:rPr>
        <w:t> </w:t>
      </w:r>
      <w:r>
        <w:rPr/>
        <w:t>are</w:t>
      </w:r>
      <w:r>
        <w:rPr>
          <w:spacing w:val="-7"/>
        </w:rPr>
        <w:t> </w:t>
      </w:r>
      <w:r>
        <w:rPr/>
        <w:t>subject</w:t>
      </w:r>
      <w:r>
        <w:rPr>
          <w:spacing w:val="-8"/>
        </w:rPr>
        <w:t> </w:t>
      </w:r>
      <w:r>
        <w:rPr/>
        <w:t>to</w:t>
      </w:r>
      <w:r>
        <w:rPr>
          <w:spacing w:val="-8"/>
        </w:rPr>
        <w:t> </w:t>
      </w:r>
      <w:r>
        <w:rPr/>
        <w:t>regulation</w:t>
      </w:r>
      <w:r>
        <w:rPr>
          <w:spacing w:val="-10"/>
        </w:rPr>
        <w:t> </w:t>
      </w:r>
      <w:r>
        <w:rPr/>
        <w:t>by</w:t>
      </w:r>
      <w:r>
        <w:rPr>
          <w:spacing w:val="-9"/>
        </w:rPr>
        <w:t> </w:t>
      </w:r>
      <w:r>
        <w:rPr/>
        <w:t>the</w:t>
      </w:r>
      <w:r>
        <w:rPr>
          <w:spacing w:val="-9"/>
        </w:rPr>
        <w:t> </w:t>
      </w:r>
      <w:r>
        <w:rPr/>
        <w:t>FDA</w:t>
      </w:r>
      <w:r>
        <w:rPr>
          <w:spacing w:val="-9"/>
        </w:rPr>
        <w:t> </w:t>
      </w:r>
      <w:r>
        <w:rPr/>
        <w:t>either</w:t>
      </w:r>
      <w:r>
        <w:rPr>
          <w:spacing w:val="-8"/>
        </w:rPr>
        <w:t> </w:t>
      </w:r>
      <w:r>
        <w:rPr/>
        <w:t>under</w:t>
      </w:r>
      <w:r>
        <w:rPr>
          <w:spacing w:val="-7"/>
        </w:rPr>
        <w:t> </w:t>
      </w:r>
      <w:r>
        <w:rPr/>
        <w:t>the</w:t>
      </w:r>
      <w:r>
        <w:rPr>
          <w:spacing w:val="-9"/>
        </w:rPr>
        <w:t> </w:t>
      </w:r>
      <w:r>
        <w:rPr/>
        <w:t>portion</w:t>
      </w:r>
      <w:r>
        <w:rPr>
          <w:spacing w:val="-10"/>
        </w:rPr>
        <w:t> </w:t>
      </w:r>
      <w:r>
        <w:rPr/>
        <w:t>of</w:t>
      </w:r>
      <w:r>
        <w:rPr>
          <w:spacing w:val="-10"/>
        </w:rPr>
        <w:t> </w:t>
      </w:r>
      <w:r>
        <w:rPr/>
        <w:t>the</w:t>
      </w:r>
      <w:r>
        <w:rPr>
          <w:spacing w:val="-9"/>
        </w:rPr>
        <w:t> </w:t>
      </w:r>
      <w:r>
        <w:rPr/>
        <w:t>FPLA administered by that agency or the Federal Food, Drug, and Cosmetic Act (Section 10(a)(3) and Section 7 of the FPLA). Following the code FDA will be a letter further designating the commodity as either a food (F), drug (D), cosmetic (C), or device</w:t>
      </w:r>
      <w:r>
        <w:rPr>
          <w:spacing w:val="2"/>
        </w:rPr>
        <w:t> </w:t>
      </w:r>
      <w:r>
        <w:rPr/>
        <w:t>(DV).</w:t>
      </w:r>
    </w:p>
    <w:p>
      <w:pPr>
        <w:pStyle w:val="BodyText"/>
        <w:spacing w:before="9"/>
      </w:pPr>
    </w:p>
    <w:p>
      <w:pPr>
        <w:pStyle w:val="BodyText"/>
        <w:spacing w:before="1"/>
        <w:ind w:left="179" w:right="416" w:hanging="1"/>
        <w:jc w:val="both"/>
      </w:pPr>
      <w:r>
        <w:rPr/>
        <w:t>TTB</w:t>
      </w:r>
      <w:r>
        <w:rPr>
          <w:spacing w:val="-6"/>
        </w:rPr>
        <w:t> </w:t>
      </w:r>
      <w:r>
        <w:rPr/>
        <w:t>(formerly</w:t>
      </w:r>
      <w:r>
        <w:rPr>
          <w:spacing w:val="-9"/>
        </w:rPr>
        <w:t> </w:t>
      </w:r>
      <w:r>
        <w:rPr/>
        <w:t>known</w:t>
      </w:r>
      <w:r>
        <w:rPr>
          <w:spacing w:val="-9"/>
        </w:rPr>
        <w:t> </w:t>
      </w:r>
      <w:r>
        <w:rPr/>
        <w:t>as</w:t>
      </w:r>
      <w:r>
        <w:rPr>
          <w:spacing w:val="-9"/>
        </w:rPr>
        <w:t> </w:t>
      </w:r>
      <w:r>
        <w:rPr/>
        <w:t>BATF)</w:t>
      </w:r>
      <w:r>
        <w:rPr>
          <w:spacing w:val="-7"/>
        </w:rPr>
        <w:t> </w:t>
      </w:r>
      <w:r>
        <w:rPr/>
        <w:t>–</w:t>
      </w:r>
      <w:r>
        <w:rPr>
          <w:spacing w:val="-7"/>
        </w:rPr>
        <w:t> </w:t>
      </w:r>
      <w:r>
        <w:rPr/>
        <w:t>designates</w:t>
      </w:r>
      <w:r>
        <w:rPr>
          <w:spacing w:val="-8"/>
        </w:rPr>
        <w:t> </w:t>
      </w:r>
      <w:r>
        <w:rPr/>
        <w:t>commodities</w:t>
      </w:r>
      <w:r>
        <w:rPr>
          <w:spacing w:val="-9"/>
        </w:rPr>
        <w:t> </w:t>
      </w:r>
      <w:r>
        <w:rPr/>
        <w:t>subject</w:t>
      </w:r>
      <w:r>
        <w:rPr>
          <w:spacing w:val="-8"/>
        </w:rPr>
        <w:t> </w:t>
      </w:r>
      <w:r>
        <w:rPr/>
        <w:t>to</w:t>
      </w:r>
      <w:r>
        <w:rPr>
          <w:spacing w:val="-7"/>
        </w:rPr>
        <w:t> </w:t>
      </w:r>
      <w:r>
        <w:rPr/>
        <w:t>laws</w:t>
      </w:r>
      <w:r>
        <w:rPr>
          <w:spacing w:val="-9"/>
        </w:rPr>
        <w:t> </w:t>
      </w:r>
      <w:r>
        <w:rPr/>
        <w:t>administered</w:t>
      </w:r>
      <w:r>
        <w:rPr>
          <w:spacing w:val="-6"/>
        </w:rPr>
        <w:t> </w:t>
      </w:r>
      <w:r>
        <w:rPr/>
        <w:t>by</w:t>
      </w:r>
      <w:r>
        <w:rPr>
          <w:spacing w:val="-9"/>
        </w:rPr>
        <w:t> </w:t>
      </w:r>
      <w:r>
        <w:rPr/>
        <w:t>the</w:t>
      </w:r>
      <w:r>
        <w:rPr>
          <w:spacing w:val="-5"/>
        </w:rPr>
        <w:t> </w:t>
      </w:r>
      <w:r>
        <w:rPr/>
        <w:t>Alcohol,</w:t>
      </w:r>
      <w:r>
        <w:rPr>
          <w:spacing w:val="-7"/>
        </w:rPr>
        <w:t> </w:t>
      </w:r>
      <w:r>
        <w:rPr/>
        <w:t>and</w:t>
      </w:r>
      <w:r>
        <w:rPr>
          <w:spacing w:val="-7"/>
        </w:rPr>
        <w:t> </w:t>
      </w:r>
      <w:r>
        <w:rPr/>
        <w:t>Tobacco Tax, and Trade</w:t>
      </w:r>
      <w:r>
        <w:rPr>
          <w:spacing w:val="-3"/>
        </w:rPr>
        <w:t> </w:t>
      </w:r>
      <w:r>
        <w:rPr/>
        <w:t>Bureau.</w:t>
      </w:r>
    </w:p>
    <w:p>
      <w:pPr>
        <w:pStyle w:val="BodyText"/>
        <w:spacing w:before="10"/>
      </w:pPr>
    </w:p>
    <w:p>
      <w:pPr>
        <w:pStyle w:val="BodyText"/>
        <w:ind w:left="179" w:right="416"/>
        <w:jc w:val="both"/>
      </w:pPr>
      <w:r>
        <w:rPr/>
        <w:t>USDA – designates those commodities excluded from jurisdiction by Section 10(a) of the FPLA and represents a commodity within one of the following categories: meat or meat products, poultry or poultry products, or tobacco or tobacco products.</w:t>
      </w:r>
    </w:p>
    <w:p>
      <w:pPr>
        <w:pStyle w:val="BodyText"/>
        <w:rPr>
          <w:sz w:val="21"/>
        </w:rPr>
      </w:pPr>
    </w:p>
    <w:p>
      <w:pPr>
        <w:pStyle w:val="BodyText"/>
        <w:ind w:left="179" w:right="420"/>
        <w:jc w:val="both"/>
      </w:pPr>
      <w:r>
        <w:rPr/>
        <w:t>It may be of some help in ascertaining whether a particular product is or is not included within the FPLA definition of “consumer commodity” and thus subject to FTC jurisdiction under that Act, to refer to the following definition:</w:t>
      </w:r>
    </w:p>
    <w:p>
      <w:pPr>
        <w:pStyle w:val="BodyText"/>
        <w:spacing w:before="8"/>
      </w:pPr>
    </w:p>
    <w:p>
      <w:pPr>
        <w:pStyle w:val="BodyText"/>
        <w:spacing w:before="1"/>
        <w:ind w:left="899" w:right="1113"/>
        <w:jc w:val="both"/>
      </w:pPr>
      <w:r>
        <w:rPr/>
        <w:t>“. . . Any article, product, or commodity of any kind or class which is customarily produced or distributed</w:t>
      </w:r>
      <w:r>
        <w:rPr>
          <w:spacing w:val="-9"/>
        </w:rPr>
        <w:t> </w:t>
      </w:r>
      <w:r>
        <w:rPr/>
        <w:t>for</w:t>
      </w:r>
      <w:r>
        <w:rPr>
          <w:spacing w:val="-9"/>
        </w:rPr>
        <w:t> </w:t>
      </w:r>
      <w:r>
        <w:rPr/>
        <w:t>sale</w:t>
      </w:r>
      <w:r>
        <w:rPr>
          <w:spacing w:val="-9"/>
        </w:rPr>
        <w:t> </w:t>
      </w:r>
      <w:r>
        <w:rPr/>
        <w:t>through</w:t>
      </w:r>
      <w:r>
        <w:rPr>
          <w:spacing w:val="-10"/>
        </w:rPr>
        <w:t> </w:t>
      </w:r>
      <w:r>
        <w:rPr/>
        <w:t>retail</w:t>
      </w:r>
      <w:r>
        <w:rPr>
          <w:spacing w:val="-10"/>
        </w:rPr>
        <w:t> </w:t>
      </w:r>
      <w:r>
        <w:rPr/>
        <w:t>sales</w:t>
      </w:r>
      <w:r>
        <w:rPr>
          <w:spacing w:val="-10"/>
        </w:rPr>
        <w:t> </w:t>
      </w:r>
      <w:r>
        <w:rPr/>
        <w:t>agencies</w:t>
      </w:r>
      <w:r>
        <w:rPr>
          <w:spacing w:val="-11"/>
        </w:rPr>
        <w:t> </w:t>
      </w:r>
      <w:r>
        <w:rPr/>
        <w:t>or</w:t>
      </w:r>
      <w:r>
        <w:rPr>
          <w:spacing w:val="-9"/>
        </w:rPr>
        <w:t> </w:t>
      </w:r>
      <w:r>
        <w:rPr/>
        <w:t>instrumentalities</w:t>
      </w:r>
      <w:r>
        <w:rPr>
          <w:spacing w:val="-10"/>
        </w:rPr>
        <w:t> </w:t>
      </w:r>
      <w:r>
        <w:rPr/>
        <w:t>for</w:t>
      </w:r>
      <w:r>
        <w:rPr>
          <w:spacing w:val="-9"/>
        </w:rPr>
        <w:t> </w:t>
      </w:r>
      <w:r>
        <w:rPr/>
        <w:t>consumption</w:t>
      </w:r>
      <w:r>
        <w:rPr>
          <w:spacing w:val="-10"/>
        </w:rPr>
        <w:t> </w:t>
      </w:r>
      <w:r>
        <w:rPr/>
        <w:t>by</w:t>
      </w:r>
      <w:r>
        <w:rPr>
          <w:spacing w:val="-13"/>
        </w:rPr>
        <w:t> </w:t>
      </w:r>
      <w:r>
        <w:rPr/>
        <w:t>individuals, or use by individuals for purposes of personal care or in the performance of services ordinarily ren- dered</w:t>
      </w:r>
      <w:r>
        <w:rPr>
          <w:spacing w:val="-2"/>
        </w:rPr>
        <w:t> </w:t>
      </w:r>
      <w:r>
        <w:rPr/>
        <w:t>within</w:t>
      </w:r>
      <w:r>
        <w:rPr>
          <w:spacing w:val="-3"/>
        </w:rPr>
        <w:t> </w:t>
      </w:r>
      <w:r>
        <w:rPr/>
        <w:t>the</w:t>
      </w:r>
      <w:r>
        <w:rPr>
          <w:spacing w:val="-3"/>
        </w:rPr>
        <w:t> </w:t>
      </w:r>
      <w:r>
        <w:rPr/>
        <w:t>household,</w:t>
      </w:r>
      <w:r>
        <w:rPr>
          <w:spacing w:val="-4"/>
        </w:rPr>
        <w:t> </w:t>
      </w:r>
      <w:r>
        <w:rPr/>
        <w:t>and</w:t>
      </w:r>
      <w:r>
        <w:rPr>
          <w:spacing w:val="-2"/>
        </w:rPr>
        <w:t> </w:t>
      </w:r>
      <w:r>
        <w:rPr/>
        <w:t>which</w:t>
      </w:r>
      <w:r>
        <w:rPr>
          <w:spacing w:val="-6"/>
        </w:rPr>
        <w:t> </w:t>
      </w:r>
      <w:r>
        <w:rPr/>
        <w:t>is</w:t>
      </w:r>
      <w:r>
        <w:rPr>
          <w:spacing w:val="-5"/>
        </w:rPr>
        <w:t> </w:t>
      </w:r>
      <w:r>
        <w:rPr/>
        <w:t>usually</w:t>
      </w:r>
      <w:r>
        <w:rPr>
          <w:spacing w:val="-7"/>
        </w:rPr>
        <w:t> </w:t>
      </w:r>
      <w:r>
        <w:rPr/>
        <w:t>consumed</w:t>
      </w:r>
      <w:r>
        <w:rPr>
          <w:spacing w:val="-3"/>
        </w:rPr>
        <w:t> </w:t>
      </w:r>
      <w:r>
        <w:rPr/>
        <w:t>or</w:t>
      </w:r>
      <w:r>
        <w:rPr>
          <w:spacing w:val="-5"/>
        </w:rPr>
        <w:t> </w:t>
      </w:r>
      <w:r>
        <w:rPr/>
        <w:t>expended</w:t>
      </w:r>
      <w:r>
        <w:rPr>
          <w:spacing w:val="-3"/>
        </w:rPr>
        <w:t> </w:t>
      </w:r>
      <w:r>
        <w:rPr/>
        <w:t>in</w:t>
      </w:r>
      <w:r>
        <w:rPr>
          <w:spacing w:val="-3"/>
        </w:rPr>
        <w:t> </w:t>
      </w:r>
      <w:r>
        <w:rPr/>
        <w:t>the</w:t>
      </w:r>
      <w:r>
        <w:rPr>
          <w:spacing w:val="-5"/>
        </w:rPr>
        <w:t> </w:t>
      </w:r>
      <w:r>
        <w:rPr/>
        <w:t>course</w:t>
      </w:r>
      <w:r>
        <w:rPr>
          <w:spacing w:val="-2"/>
        </w:rPr>
        <w:t> </w:t>
      </w:r>
      <w:r>
        <w:rPr/>
        <w:t>of</w:t>
      </w:r>
      <w:r>
        <w:rPr>
          <w:spacing w:val="-5"/>
        </w:rPr>
        <w:t> </w:t>
      </w:r>
      <w:r>
        <w:rPr/>
        <w:t>such</w:t>
      </w:r>
      <w:r>
        <w:rPr>
          <w:spacing w:val="-3"/>
        </w:rPr>
        <w:t> </w:t>
      </w:r>
      <w:r>
        <w:rPr/>
        <w:t>use.”</w:t>
      </w:r>
    </w:p>
    <w:p>
      <w:pPr>
        <w:pStyle w:val="BodyText"/>
        <w:rPr>
          <w:sz w:val="21"/>
        </w:rPr>
      </w:pPr>
    </w:p>
    <w:p>
      <w:pPr>
        <w:pStyle w:val="BodyText"/>
        <w:ind w:left="180" w:right="416"/>
        <w:jc w:val="both"/>
      </w:pPr>
      <w:r>
        <w:rPr/>
        <w:t>By applying these criteria to the particular product in question and then reviewing the list of excluded commodities, the</w:t>
      </w:r>
      <w:r>
        <w:rPr>
          <w:spacing w:val="-13"/>
        </w:rPr>
        <w:t> </w:t>
      </w:r>
      <w:r>
        <w:rPr/>
        <w:t>observer</w:t>
      </w:r>
      <w:r>
        <w:rPr>
          <w:spacing w:val="-9"/>
        </w:rPr>
        <w:t> </w:t>
      </w:r>
      <w:r>
        <w:rPr/>
        <w:t>will</w:t>
      </w:r>
      <w:r>
        <w:rPr>
          <w:spacing w:val="-13"/>
        </w:rPr>
        <w:t> </w:t>
      </w:r>
      <w:r>
        <w:rPr/>
        <w:t>be</w:t>
      </w:r>
      <w:r>
        <w:rPr>
          <w:spacing w:val="-13"/>
        </w:rPr>
        <w:t> </w:t>
      </w:r>
      <w:r>
        <w:rPr/>
        <w:t>able,</w:t>
      </w:r>
      <w:r>
        <w:rPr>
          <w:spacing w:val="-12"/>
        </w:rPr>
        <w:t> </w:t>
      </w:r>
      <w:r>
        <w:rPr/>
        <w:t>in</w:t>
      </w:r>
      <w:r>
        <w:rPr>
          <w:spacing w:val="-14"/>
        </w:rPr>
        <w:t> </w:t>
      </w:r>
      <w:r>
        <w:rPr/>
        <w:t>most</w:t>
      </w:r>
      <w:r>
        <w:rPr>
          <w:spacing w:val="-13"/>
        </w:rPr>
        <w:t> </w:t>
      </w:r>
      <w:r>
        <w:rPr/>
        <w:t>instances,</w:t>
      </w:r>
      <w:r>
        <w:rPr>
          <w:spacing w:val="-12"/>
        </w:rPr>
        <w:t> </w:t>
      </w:r>
      <w:r>
        <w:rPr/>
        <w:t>to</w:t>
      </w:r>
      <w:r>
        <w:rPr>
          <w:spacing w:val="-11"/>
        </w:rPr>
        <w:t> </w:t>
      </w:r>
      <w:r>
        <w:rPr/>
        <w:t>determine</w:t>
      </w:r>
      <w:r>
        <w:rPr>
          <w:spacing w:val="-13"/>
        </w:rPr>
        <w:t> </w:t>
      </w:r>
      <w:r>
        <w:rPr/>
        <w:t>the</w:t>
      </w:r>
      <w:r>
        <w:rPr>
          <w:spacing w:val="-10"/>
        </w:rPr>
        <w:t> </w:t>
      </w:r>
      <w:r>
        <w:rPr/>
        <w:t>status</w:t>
      </w:r>
      <w:r>
        <w:rPr>
          <w:spacing w:val="-13"/>
        </w:rPr>
        <w:t> </w:t>
      </w:r>
      <w:r>
        <w:rPr/>
        <w:t>of</w:t>
      </w:r>
      <w:r>
        <w:rPr>
          <w:spacing w:val="-14"/>
        </w:rPr>
        <w:t> </w:t>
      </w:r>
      <w:r>
        <w:rPr/>
        <w:t>the</w:t>
      </w:r>
      <w:r>
        <w:rPr>
          <w:spacing w:val="-12"/>
        </w:rPr>
        <w:t> </w:t>
      </w:r>
      <w:r>
        <w:rPr/>
        <w:t>item.</w:t>
      </w:r>
      <w:r>
        <w:rPr>
          <w:spacing w:val="25"/>
        </w:rPr>
        <w:t> </w:t>
      </w:r>
      <w:r>
        <w:rPr/>
        <w:t>In</w:t>
      </w:r>
      <w:r>
        <w:rPr>
          <w:spacing w:val="-14"/>
        </w:rPr>
        <w:t> </w:t>
      </w:r>
      <w:r>
        <w:rPr/>
        <w:t>the</w:t>
      </w:r>
      <w:r>
        <w:rPr>
          <w:spacing w:val="-12"/>
        </w:rPr>
        <w:t> </w:t>
      </w:r>
      <w:r>
        <w:rPr/>
        <w:t>event,</w:t>
      </w:r>
      <w:r>
        <w:rPr>
          <w:spacing w:val="-11"/>
        </w:rPr>
        <w:t> </w:t>
      </w:r>
      <w:r>
        <w:rPr/>
        <w:t>however,</w:t>
      </w:r>
      <w:r>
        <w:rPr>
          <w:spacing w:val="-12"/>
        </w:rPr>
        <w:t> </w:t>
      </w:r>
      <w:r>
        <w:rPr/>
        <w:t>that</w:t>
      </w:r>
      <w:r>
        <w:rPr>
          <w:spacing w:val="-13"/>
        </w:rPr>
        <w:t> </w:t>
      </w:r>
      <w:r>
        <w:rPr/>
        <w:t>the</w:t>
      </w:r>
      <w:r>
        <w:rPr>
          <w:spacing w:val="-12"/>
        </w:rPr>
        <w:t> </w:t>
      </w:r>
      <w:r>
        <w:rPr/>
        <w:t>observer is unable to ascertain whether a particular commodity is covered or excluded from FTC jurisdiction, contact FTC for an</w:t>
      </w:r>
      <w:r>
        <w:rPr>
          <w:spacing w:val="-2"/>
        </w:rPr>
        <w:t> </w:t>
      </w:r>
      <w:r>
        <w:rPr/>
        <w:t>opinion.</w:t>
      </w:r>
    </w:p>
    <w:p>
      <w:pPr>
        <w:spacing w:after="0"/>
        <w:jc w:val="both"/>
        <w:sectPr>
          <w:pgSz w:w="12240" w:h="15840"/>
          <w:pgMar w:header="730" w:footer="740" w:top="1340" w:bottom="940" w:left="1260" w:right="1020"/>
        </w:sectPr>
      </w:pPr>
    </w:p>
    <w:p>
      <w:pPr>
        <w:pStyle w:val="BodyText"/>
        <w:spacing w:before="5"/>
        <w:rPr>
          <w:sz w:val="8"/>
        </w:rPr>
      </w:pPr>
      <w:r>
        <w:rPr/>
        <w:drawing>
          <wp:anchor distT="0" distB="0" distL="0" distR="0" allowOverlap="1" layoutInCell="1" locked="0" behindDoc="1" simplePos="0" relativeHeight="268336607">
            <wp:simplePos x="0" y="0"/>
            <wp:positionH relativeFrom="page">
              <wp:posOffset>914400</wp:posOffset>
            </wp:positionH>
            <wp:positionV relativeFrom="page">
              <wp:posOffset>8860535</wp:posOffset>
            </wp:positionV>
            <wp:extent cx="5925311" cy="33528"/>
            <wp:effectExtent l="0" t="0" r="0" b="0"/>
            <wp:wrapNone/>
            <wp:docPr id="3" name="image10.png" descr=""/>
            <wp:cNvGraphicFramePr>
              <a:graphicFrameLocks noChangeAspect="1"/>
            </wp:cNvGraphicFramePr>
            <a:graphic>
              <a:graphicData uri="http://schemas.openxmlformats.org/drawingml/2006/picture">
                <pic:pic>
                  <pic:nvPicPr>
                    <pic:cNvPr id="4" name="image10.png"/>
                    <pic:cNvPicPr/>
                  </pic:nvPicPr>
                  <pic:blipFill>
                    <a:blip r:embed="rId30" cstate="print"/>
                    <a:stretch>
                      <a:fillRect/>
                    </a:stretch>
                  </pic:blipFill>
                  <pic:spPr>
                    <a:xfrm>
                      <a:off x="0" y="0"/>
                      <a:ext cx="5925311" cy="33528"/>
                    </a:xfrm>
                    <a:prstGeom prst="rect">
                      <a:avLst/>
                    </a:prstGeom>
                  </pic:spPr>
                </pic:pic>
              </a:graphicData>
            </a:graphic>
          </wp:anchor>
        </w:drawing>
      </w:r>
    </w:p>
    <w:tbl>
      <w:tblPr>
        <w:tblW w:w="0" w:type="auto"/>
        <w:jc w:val="left"/>
        <w:tblInd w:w="20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952"/>
        <w:gridCol w:w="6379"/>
      </w:tblGrid>
      <w:tr>
        <w:trPr>
          <w:trHeight w:val="361" w:hRule="atLeast"/>
        </w:trPr>
        <w:tc>
          <w:tcPr>
            <w:tcW w:w="9331" w:type="dxa"/>
            <w:gridSpan w:val="2"/>
          </w:tcPr>
          <w:p>
            <w:pPr>
              <w:pStyle w:val="TableParagraph"/>
              <w:spacing w:before="41"/>
              <w:ind w:left="2219"/>
              <w:rPr>
                <w:b/>
                <w:sz w:val="24"/>
              </w:rPr>
            </w:pPr>
            <w:r>
              <w:rPr>
                <w:b/>
                <w:sz w:val="24"/>
              </w:rPr>
              <w:t>Commodities Included Under FTC Jurisdiction</w:t>
            </w:r>
          </w:p>
        </w:tc>
      </w:tr>
      <w:tr>
        <w:trPr>
          <w:trHeight w:val="284" w:hRule="atLeast"/>
        </w:trPr>
        <w:tc>
          <w:tcPr>
            <w:tcW w:w="2952" w:type="dxa"/>
            <w:vMerge w:val="restart"/>
            <w:tcBorders>
              <w:bottom w:val="single" w:sz="6" w:space="0" w:color="000000"/>
              <w:right w:val="single" w:sz="6" w:space="0" w:color="000000"/>
            </w:tcBorders>
          </w:tcPr>
          <w:p>
            <w:pPr>
              <w:pStyle w:val="TableParagraph"/>
              <w:spacing w:before="14"/>
              <w:ind w:left="105"/>
              <w:rPr>
                <w:sz w:val="20"/>
              </w:rPr>
            </w:pPr>
            <w:r>
              <w:rPr>
                <w:sz w:val="20"/>
              </w:rPr>
              <w:t>Soaps and Detergents</w:t>
            </w:r>
          </w:p>
        </w:tc>
        <w:tc>
          <w:tcPr>
            <w:tcW w:w="6379" w:type="dxa"/>
            <w:tcBorders>
              <w:left w:val="single" w:sz="6" w:space="0" w:color="000000"/>
              <w:bottom w:val="nil"/>
            </w:tcBorders>
          </w:tcPr>
          <w:p>
            <w:pPr>
              <w:pStyle w:val="TableParagraph"/>
              <w:spacing w:before="14"/>
              <w:ind w:left="112"/>
              <w:rPr>
                <w:sz w:val="20"/>
              </w:rPr>
            </w:pPr>
            <w:r>
              <w:rPr>
                <w:sz w:val="20"/>
              </w:rPr>
              <w:t>Powder, flakes, chips, etc.</w:t>
            </w:r>
          </w:p>
        </w:tc>
      </w:tr>
      <w:tr>
        <w:trPr>
          <w:trHeight w:val="300"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1"/>
              <w:ind w:left="112"/>
              <w:rPr>
                <w:sz w:val="20"/>
              </w:rPr>
            </w:pPr>
            <w:r>
              <w:rPr>
                <w:sz w:val="20"/>
              </w:rPr>
              <w:t>Liquid</w:t>
            </w:r>
          </w:p>
        </w:tc>
      </w:tr>
      <w:tr>
        <w:trPr>
          <w:trHeight w:val="303"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single" w:sz="6" w:space="0" w:color="000000"/>
            </w:tcBorders>
          </w:tcPr>
          <w:p>
            <w:pPr>
              <w:pStyle w:val="TableParagraph"/>
              <w:spacing w:before="30"/>
              <w:ind w:left="112"/>
              <w:rPr>
                <w:sz w:val="20"/>
              </w:rPr>
            </w:pPr>
            <w:r>
              <w:rPr>
                <w:sz w:val="20"/>
              </w:rPr>
              <w:t>Paste, cake, or tablet</w:t>
            </w:r>
          </w:p>
        </w:tc>
      </w:tr>
      <w:tr>
        <w:trPr>
          <w:trHeight w:val="313" w:hRule="atLeast"/>
        </w:trPr>
        <w:tc>
          <w:tcPr>
            <w:tcW w:w="2952" w:type="dxa"/>
            <w:vMerge w:val="restart"/>
            <w:tcBorders>
              <w:top w:val="single" w:sz="6" w:space="0" w:color="000000"/>
              <w:bottom w:val="single" w:sz="6" w:space="0" w:color="000000"/>
              <w:right w:val="single" w:sz="6" w:space="0" w:color="000000"/>
            </w:tcBorders>
          </w:tcPr>
          <w:p>
            <w:pPr>
              <w:pStyle w:val="TableParagraph"/>
              <w:ind w:left="105"/>
              <w:rPr>
                <w:sz w:val="20"/>
              </w:rPr>
            </w:pPr>
            <w:r>
              <w:rPr>
                <w:sz w:val="20"/>
              </w:rPr>
              <w:t>Cleaning Compounds</w:t>
            </w:r>
          </w:p>
        </w:tc>
        <w:tc>
          <w:tcPr>
            <w:tcW w:w="6379" w:type="dxa"/>
            <w:tcBorders>
              <w:top w:val="single" w:sz="6" w:space="0" w:color="000000"/>
              <w:left w:val="single" w:sz="6" w:space="0" w:color="000000"/>
              <w:bottom w:val="nil"/>
            </w:tcBorders>
          </w:tcPr>
          <w:p>
            <w:pPr>
              <w:pStyle w:val="TableParagraph"/>
              <w:ind w:left="112"/>
              <w:rPr>
                <w:sz w:val="20"/>
              </w:rPr>
            </w:pPr>
            <w:r>
              <w:rPr>
                <w:sz w:val="20"/>
              </w:rPr>
              <w:t>Liquid</w:t>
            </w:r>
          </w:p>
        </w:tc>
      </w:tr>
      <w:tr>
        <w:trPr>
          <w:trHeight w:val="301"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1"/>
              <w:ind w:left="112"/>
              <w:rPr>
                <w:sz w:val="20"/>
              </w:rPr>
            </w:pPr>
            <w:r>
              <w:rPr>
                <w:sz w:val="20"/>
              </w:rPr>
              <w:t>Powder</w:t>
            </w:r>
          </w:p>
        </w:tc>
      </w:tr>
      <w:tr>
        <w:trPr>
          <w:trHeight w:val="300"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1"/>
              <w:ind w:left="112"/>
              <w:rPr>
                <w:sz w:val="20"/>
              </w:rPr>
            </w:pPr>
            <w:r>
              <w:rPr>
                <w:sz w:val="20"/>
              </w:rPr>
              <w:t>Paste or cake</w:t>
            </w:r>
          </w:p>
        </w:tc>
      </w:tr>
      <w:tr>
        <w:trPr>
          <w:trHeight w:val="303"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single" w:sz="6" w:space="0" w:color="000000"/>
            </w:tcBorders>
          </w:tcPr>
          <w:p>
            <w:pPr>
              <w:pStyle w:val="TableParagraph"/>
              <w:spacing w:before="30"/>
              <w:ind w:left="112"/>
              <w:rPr>
                <w:sz w:val="20"/>
              </w:rPr>
            </w:pPr>
            <w:r>
              <w:rPr>
                <w:sz w:val="20"/>
              </w:rPr>
              <w:t>Solvent and cleaning fluids for home use</w:t>
            </w:r>
          </w:p>
        </w:tc>
      </w:tr>
      <w:tr>
        <w:trPr>
          <w:trHeight w:val="313" w:hRule="atLeast"/>
        </w:trPr>
        <w:tc>
          <w:tcPr>
            <w:tcW w:w="2952" w:type="dxa"/>
            <w:vMerge w:val="restart"/>
            <w:tcBorders>
              <w:top w:val="single" w:sz="6" w:space="0" w:color="000000"/>
              <w:bottom w:val="single" w:sz="6" w:space="0" w:color="000000"/>
              <w:right w:val="single" w:sz="6" w:space="0" w:color="000000"/>
            </w:tcBorders>
          </w:tcPr>
          <w:p>
            <w:pPr>
              <w:pStyle w:val="TableParagraph"/>
              <w:ind w:left="105"/>
              <w:rPr>
                <w:sz w:val="20"/>
              </w:rPr>
            </w:pPr>
            <w:r>
              <w:rPr>
                <w:sz w:val="20"/>
              </w:rPr>
              <w:t>Laundry Supplies</w:t>
            </w:r>
          </w:p>
        </w:tc>
        <w:tc>
          <w:tcPr>
            <w:tcW w:w="6379" w:type="dxa"/>
            <w:tcBorders>
              <w:top w:val="single" w:sz="6" w:space="0" w:color="000000"/>
              <w:left w:val="single" w:sz="6" w:space="0" w:color="000000"/>
              <w:bottom w:val="nil"/>
            </w:tcBorders>
          </w:tcPr>
          <w:p>
            <w:pPr>
              <w:pStyle w:val="TableParagraph"/>
              <w:ind w:left="112"/>
              <w:rPr>
                <w:sz w:val="20"/>
              </w:rPr>
            </w:pPr>
            <w:r>
              <w:rPr>
                <w:sz w:val="20"/>
              </w:rPr>
              <w:t>Conditioners and softeners, ironing aids, distilled water</w:t>
            </w:r>
          </w:p>
        </w:tc>
      </w:tr>
      <w:tr>
        <w:trPr>
          <w:trHeight w:val="300"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1"/>
              <w:ind w:left="112"/>
              <w:rPr>
                <w:sz w:val="20"/>
              </w:rPr>
            </w:pPr>
            <w:r>
              <w:rPr>
                <w:sz w:val="20"/>
              </w:rPr>
              <w:t>Sizings and starches</w:t>
            </w:r>
          </w:p>
        </w:tc>
      </w:tr>
      <w:tr>
        <w:trPr>
          <w:trHeight w:val="300"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0"/>
              <w:ind w:left="112"/>
              <w:rPr>
                <w:sz w:val="20"/>
              </w:rPr>
            </w:pPr>
            <w:r>
              <w:rPr>
                <w:sz w:val="20"/>
              </w:rPr>
              <w:t>Bluings and bleaches</w:t>
            </w:r>
          </w:p>
        </w:tc>
      </w:tr>
      <w:tr>
        <w:trPr>
          <w:trHeight w:val="304"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single" w:sz="6" w:space="0" w:color="000000"/>
            </w:tcBorders>
          </w:tcPr>
          <w:p>
            <w:pPr>
              <w:pStyle w:val="TableParagraph"/>
              <w:spacing w:before="31"/>
              <w:ind w:left="112"/>
              <w:rPr>
                <w:sz w:val="20"/>
              </w:rPr>
            </w:pPr>
            <w:r>
              <w:rPr>
                <w:sz w:val="20"/>
              </w:rPr>
              <w:t>Pre-soaks, enzymes, etc.</w:t>
            </w:r>
          </w:p>
        </w:tc>
      </w:tr>
      <w:tr>
        <w:trPr>
          <w:trHeight w:val="313" w:hRule="atLeast"/>
        </w:trPr>
        <w:tc>
          <w:tcPr>
            <w:tcW w:w="2952" w:type="dxa"/>
            <w:vMerge w:val="restart"/>
            <w:tcBorders>
              <w:top w:val="single" w:sz="6" w:space="0" w:color="000000"/>
              <w:bottom w:val="single" w:sz="6" w:space="0" w:color="000000"/>
              <w:right w:val="single" w:sz="6" w:space="0" w:color="000000"/>
            </w:tcBorders>
          </w:tcPr>
          <w:p>
            <w:pPr>
              <w:pStyle w:val="TableParagraph"/>
              <w:ind w:left="105"/>
              <w:rPr>
                <w:sz w:val="20"/>
              </w:rPr>
            </w:pPr>
            <w:r>
              <w:rPr>
                <w:sz w:val="20"/>
              </w:rPr>
              <w:t>Cleaning Devices</w:t>
            </w:r>
          </w:p>
        </w:tc>
        <w:tc>
          <w:tcPr>
            <w:tcW w:w="6379" w:type="dxa"/>
            <w:tcBorders>
              <w:top w:val="single" w:sz="6" w:space="0" w:color="000000"/>
              <w:left w:val="single" w:sz="6" w:space="0" w:color="000000"/>
              <w:bottom w:val="nil"/>
            </w:tcBorders>
          </w:tcPr>
          <w:p>
            <w:pPr>
              <w:pStyle w:val="TableParagraph"/>
              <w:ind w:left="112"/>
              <w:rPr>
                <w:sz w:val="20"/>
              </w:rPr>
            </w:pPr>
            <w:r>
              <w:rPr>
                <w:sz w:val="20"/>
              </w:rPr>
              <w:t>Sponges and chamois</w:t>
            </w:r>
          </w:p>
        </w:tc>
      </w:tr>
      <w:tr>
        <w:trPr>
          <w:trHeight w:val="304"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single" w:sz="6" w:space="0" w:color="000000"/>
            </w:tcBorders>
          </w:tcPr>
          <w:p>
            <w:pPr>
              <w:pStyle w:val="TableParagraph"/>
              <w:spacing w:before="31"/>
              <w:ind w:left="112"/>
              <w:rPr>
                <w:sz w:val="20"/>
              </w:rPr>
            </w:pPr>
            <w:r>
              <w:rPr>
                <w:sz w:val="20"/>
              </w:rPr>
              <w:t>Steel wool, scouring and soap pads</w:t>
            </w:r>
          </w:p>
        </w:tc>
      </w:tr>
      <w:tr>
        <w:trPr>
          <w:trHeight w:val="312" w:hRule="atLeast"/>
        </w:trPr>
        <w:tc>
          <w:tcPr>
            <w:tcW w:w="2952" w:type="dxa"/>
            <w:vMerge w:val="restart"/>
            <w:tcBorders>
              <w:top w:val="single" w:sz="6" w:space="0" w:color="000000"/>
              <w:bottom w:val="single" w:sz="6" w:space="0" w:color="000000"/>
              <w:right w:val="single" w:sz="6" w:space="0" w:color="000000"/>
            </w:tcBorders>
          </w:tcPr>
          <w:p>
            <w:pPr>
              <w:pStyle w:val="TableParagraph"/>
              <w:ind w:left="105"/>
              <w:rPr>
                <w:sz w:val="20"/>
              </w:rPr>
            </w:pPr>
            <w:r>
              <w:rPr>
                <w:sz w:val="20"/>
              </w:rPr>
              <w:t>Food Wraps</w:t>
            </w:r>
          </w:p>
        </w:tc>
        <w:tc>
          <w:tcPr>
            <w:tcW w:w="6379" w:type="dxa"/>
            <w:tcBorders>
              <w:top w:val="single" w:sz="6" w:space="0" w:color="000000"/>
              <w:left w:val="single" w:sz="6" w:space="0" w:color="000000"/>
              <w:bottom w:val="nil"/>
            </w:tcBorders>
          </w:tcPr>
          <w:p>
            <w:pPr>
              <w:pStyle w:val="TableParagraph"/>
              <w:ind w:left="112"/>
              <w:rPr>
                <w:sz w:val="20"/>
              </w:rPr>
            </w:pPr>
            <w:r>
              <w:rPr>
                <w:sz w:val="20"/>
              </w:rPr>
              <w:t>Plastic and cellophane</w:t>
            </w:r>
          </w:p>
        </w:tc>
      </w:tr>
      <w:tr>
        <w:trPr>
          <w:trHeight w:val="300"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0"/>
              <w:ind w:left="112"/>
              <w:rPr>
                <w:sz w:val="20"/>
              </w:rPr>
            </w:pPr>
            <w:r>
              <w:rPr>
                <w:sz w:val="20"/>
              </w:rPr>
              <w:t>Wax paper and paper</w:t>
            </w:r>
          </w:p>
        </w:tc>
      </w:tr>
      <w:tr>
        <w:trPr>
          <w:trHeight w:val="304"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single" w:sz="6" w:space="0" w:color="000000"/>
            </w:tcBorders>
          </w:tcPr>
          <w:p>
            <w:pPr>
              <w:pStyle w:val="TableParagraph"/>
              <w:spacing w:before="31"/>
              <w:ind w:left="112"/>
              <w:rPr>
                <w:sz w:val="20"/>
              </w:rPr>
            </w:pPr>
            <w:r>
              <w:rPr>
                <w:sz w:val="20"/>
              </w:rPr>
              <w:t>Foil (aluminum wrap)</w:t>
            </w:r>
          </w:p>
        </w:tc>
      </w:tr>
      <w:tr>
        <w:trPr>
          <w:trHeight w:val="315" w:hRule="atLeast"/>
        </w:trPr>
        <w:tc>
          <w:tcPr>
            <w:tcW w:w="2952" w:type="dxa"/>
            <w:vMerge w:val="restart"/>
            <w:tcBorders>
              <w:top w:val="single" w:sz="6" w:space="0" w:color="000000"/>
              <w:bottom w:val="single" w:sz="4" w:space="0" w:color="000000"/>
              <w:right w:val="single" w:sz="6" w:space="0" w:color="000000"/>
            </w:tcBorders>
          </w:tcPr>
          <w:p>
            <w:pPr>
              <w:pStyle w:val="TableParagraph"/>
              <w:ind w:left="105"/>
              <w:rPr>
                <w:sz w:val="20"/>
              </w:rPr>
            </w:pPr>
            <w:r>
              <w:rPr>
                <w:sz w:val="20"/>
              </w:rPr>
              <w:t>Paper Products</w:t>
            </w:r>
          </w:p>
        </w:tc>
        <w:tc>
          <w:tcPr>
            <w:tcW w:w="6379" w:type="dxa"/>
            <w:tcBorders>
              <w:top w:val="single" w:sz="6" w:space="0" w:color="000000"/>
              <w:left w:val="single" w:sz="6" w:space="0" w:color="000000"/>
              <w:bottom w:val="nil"/>
            </w:tcBorders>
          </w:tcPr>
          <w:p>
            <w:pPr>
              <w:pStyle w:val="TableParagraph"/>
              <w:ind w:left="112"/>
              <w:rPr>
                <w:sz w:val="20"/>
              </w:rPr>
            </w:pPr>
            <w:r>
              <w:rPr>
                <w:sz w:val="20"/>
              </w:rPr>
              <w:t>Toweling</w:t>
            </w:r>
          </w:p>
        </w:tc>
      </w:tr>
      <w:tr>
        <w:trPr>
          <w:trHeight w:val="305" w:hRule="atLeast"/>
        </w:trPr>
        <w:tc>
          <w:tcPr>
            <w:tcW w:w="2952" w:type="dxa"/>
            <w:vMerge/>
            <w:tcBorders>
              <w:top w:val="nil"/>
              <w:bottom w:val="single" w:sz="4"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2"/>
              <w:ind w:left="112"/>
              <w:rPr>
                <w:sz w:val="20"/>
              </w:rPr>
            </w:pPr>
            <w:r>
              <w:rPr>
                <w:sz w:val="20"/>
              </w:rPr>
              <w:t>Napkins, table cloths, and place mats</w:t>
            </w:r>
          </w:p>
        </w:tc>
      </w:tr>
      <w:tr>
        <w:trPr>
          <w:trHeight w:val="306" w:hRule="atLeast"/>
        </w:trPr>
        <w:tc>
          <w:tcPr>
            <w:tcW w:w="2952" w:type="dxa"/>
            <w:vMerge/>
            <w:tcBorders>
              <w:top w:val="nil"/>
              <w:bottom w:val="single" w:sz="4"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4"/>
              <w:ind w:left="112"/>
              <w:rPr>
                <w:sz w:val="20"/>
              </w:rPr>
            </w:pPr>
            <w:r>
              <w:rPr>
                <w:sz w:val="20"/>
              </w:rPr>
              <w:t>Facial tissues</w:t>
            </w:r>
          </w:p>
        </w:tc>
      </w:tr>
      <w:tr>
        <w:trPr>
          <w:trHeight w:val="305" w:hRule="atLeast"/>
        </w:trPr>
        <w:tc>
          <w:tcPr>
            <w:tcW w:w="2952" w:type="dxa"/>
            <w:vMerge/>
            <w:tcBorders>
              <w:top w:val="nil"/>
              <w:bottom w:val="single" w:sz="4"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4"/>
              <w:ind w:left="112"/>
              <w:rPr>
                <w:sz w:val="20"/>
              </w:rPr>
            </w:pPr>
            <w:r>
              <w:rPr>
                <w:sz w:val="20"/>
              </w:rPr>
              <w:t>Bathroom tissues</w:t>
            </w:r>
          </w:p>
        </w:tc>
      </w:tr>
      <w:tr>
        <w:trPr>
          <w:trHeight w:val="305" w:hRule="atLeast"/>
        </w:trPr>
        <w:tc>
          <w:tcPr>
            <w:tcW w:w="2952" w:type="dxa"/>
            <w:vMerge/>
            <w:tcBorders>
              <w:top w:val="nil"/>
              <w:bottom w:val="single" w:sz="4"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2"/>
              <w:ind w:left="112"/>
              <w:rPr>
                <w:sz w:val="20"/>
              </w:rPr>
            </w:pPr>
            <w:r>
              <w:rPr>
                <w:sz w:val="20"/>
              </w:rPr>
              <w:t>Disposable diapers</w:t>
            </w:r>
          </w:p>
        </w:tc>
      </w:tr>
      <w:tr>
        <w:trPr>
          <w:trHeight w:val="306" w:hRule="atLeast"/>
        </w:trPr>
        <w:tc>
          <w:tcPr>
            <w:tcW w:w="2952" w:type="dxa"/>
            <w:vMerge/>
            <w:tcBorders>
              <w:top w:val="nil"/>
              <w:bottom w:val="single" w:sz="4" w:space="0" w:color="000000"/>
              <w:right w:val="single" w:sz="6" w:space="0" w:color="000000"/>
            </w:tcBorders>
          </w:tcPr>
          <w:p>
            <w:pPr>
              <w:rPr>
                <w:sz w:val="2"/>
                <w:szCs w:val="2"/>
              </w:rPr>
            </w:pPr>
          </w:p>
        </w:tc>
        <w:tc>
          <w:tcPr>
            <w:tcW w:w="6379" w:type="dxa"/>
            <w:tcBorders>
              <w:top w:val="nil"/>
              <w:left w:val="single" w:sz="4" w:space="0" w:color="000000"/>
              <w:bottom w:val="nil"/>
            </w:tcBorders>
          </w:tcPr>
          <w:p>
            <w:pPr>
              <w:pStyle w:val="TableParagraph"/>
              <w:spacing w:before="34"/>
              <w:ind w:left="115"/>
              <w:rPr>
                <w:sz w:val="20"/>
              </w:rPr>
            </w:pPr>
            <w:r>
              <w:rPr>
                <w:sz w:val="20"/>
              </w:rPr>
              <w:t>Crepe paper</w:t>
            </w:r>
          </w:p>
        </w:tc>
      </w:tr>
      <w:tr>
        <w:trPr>
          <w:trHeight w:val="306" w:hRule="atLeast"/>
        </w:trPr>
        <w:tc>
          <w:tcPr>
            <w:tcW w:w="2952" w:type="dxa"/>
            <w:vMerge/>
            <w:tcBorders>
              <w:top w:val="nil"/>
              <w:bottom w:val="single" w:sz="4" w:space="0" w:color="000000"/>
              <w:right w:val="single" w:sz="6" w:space="0" w:color="000000"/>
            </w:tcBorders>
          </w:tcPr>
          <w:p>
            <w:pPr>
              <w:rPr>
                <w:sz w:val="2"/>
                <w:szCs w:val="2"/>
              </w:rPr>
            </w:pPr>
          </w:p>
        </w:tc>
        <w:tc>
          <w:tcPr>
            <w:tcW w:w="6379" w:type="dxa"/>
            <w:tcBorders>
              <w:top w:val="nil"/>
              <w:left w:val="single" w:sz="4" w:space="0" w:color="000000"/>
              <w:bottom w:val="single" w:sz="6" w:space="0" w:color="000000"/>
            </w:tcBorders>
          </w:tcPr>
          <w:p>
            <w:pPr>
              <w:pStyle w:val="TableParagraph"/>
              <w:spacing w:before="34"/>
              <w:ind w:left="115"/>
              <w:rPr>
                <w:sz w:val="20"/>
              </w:rPr>
            </w:pPr>
            <w:r>
              <w:rPr>
                <w:sz w:val="20"/>
              </w:rPr>
              <w:t>Other (e.g., shelf paper, wrapping paper, eye glass tissues)</w:t>
            </w:r>
          </w:p>
        </w:tc>
      </w:tr>
      <w:tr>
        <w:trPr>
          <w:trHeight w:val="312" w:hRule="atLeast"/>
        </w:trPr>
        <w:tc>
          <w:tcPr>
            <w:tcW w:w="2952" w:type="dxa"/>
            <w:vMerge w:val="restart"/>
            <w:tcBorders>
              <w:top w:val="single" w:sz="4" w:space="0" w:color="000000"/>
              <w:bottom w:val="single" w:sz="6" w:space="0" w:color="000000"/>
              <w:right w:val="single" w:sz="6" w:space="0" w:color="000000"/>
            </w:tcBorders>
          </w:tcPr>
          <w:p>
            <w:pPr>
              <w:pStyle w:val="TableParagraph"/>
              <w:ind w:left="105"/>
              <w:rPr>
                <w:sz w:val="20"/>
              </w:rPr>
            </w:pPr>
            <w:r>
              <w:rPr>
                <w:sz w:val="20"/>
              </w:rPr>
              <w:t>Waxes and Polishes</w:t>
            </w:r>
          </w:p>
        </w:tc>
        <w:tc>
          <w:tcPr>
            <w:tcW w:w="6379" w:type="dxa"/>
            <w:tcBorders>
              <w:top w:val="single" w:sz="6" w:space="0" w:color="000000"/>
              <w:left w:val="single" w:sz="4" w:space="0" w:color="000000"/>
              <w:bottom w:val="nil"/>
            </w:tcBorders>
          </w:tcPr>
          <w:p>
            <w:pPr>
              <w:pStyle w:val="TableParagraph"/>
              <w:ind w:left="115"/>
              <w:rPr>
                <w:sz w:val="20"/>
              </w:rPr>
            </w:pPr>
            <w:r>
              <w:rPr>
                <w:sz w:val="20"/>
              </w:rPr>
              <w:t>Powder</w:t>
            </w:r>
          </w:p>
        </w:tc>
      </w:tr>
      <w:tr>
        <w:trPr>
          <w:trHeight w:val="300"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4" w:space="0" w:color="000000"/>
              <w:bottom w:val="nil"/>
            </w:tcBorders>
          </w:tcPr>
          <w:p>
            <w:pPr>
              <w:pStyle w:val="TableParagraph"/>
              <w:spacing w:before="30"/>
              <w:ind w:left="115"/>
              <w:rPr>
                <w:sz w:val="20"/>
              </w:rPr>
            </w:pPr>
            <w:r>
              <w:rPr>
                <w:sz w:val="20"/>
              </w:rPr>
              <w:t>Liquid</w:t>
            </w:r>
          </w:p>
        </w:tc>
      </w:tr>
      <w:tr>
        <w:trPr>
          <w:trHeight w:val="301"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1"/>
              <w:ind w:left="112"/>
              <w:rPr>
                <w:sz w:val="20"/>
              </w:rPr>
            </w:pPr>
            <w:r>
              <w:rPr>
                <w:sz w:val="20"/>
              </w:rPr>
              <w:t>Paste and cake</w:t>
            </w:r>
          </w:p>
        </w:tc>
      </w:tr>
      <w:tr>
        <w:trPr>
          <w:trHeight w:val="304"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single" w:sz="6" w:space="0" w:color="000000"/>
            </w:tcBorders>
          </w:tcPr>
          <w:p>
            <w:pPr>
              <w:pStyle w:val="TableParagraph"/>
              <w:spacing w:before="31"/>
              <w:ind w:left="112"/>
              <w:rPr>
                <w:sz w:val="20"/>
              </w:rPr>
            </w:pPr>
            <w:r>
              <w:rPr>
                <w:sz w:val="20"/>
              </w:rPr>
              <w:t>Other (e.g., polish impregnated cloths, scratch removers)</w:t>
            </w:r>
          </w:p>
        </w:tc>
      </w:tr>
      <w:tr>
        <w:trPr>
          <w:trHeight w:val="315" w:hRule="atLeast"/>
        </w:trPr>
        <w:tc>
          <w:tcPr>
            <w:tcW w:w="2952" w:type="dxa"/>
            <w:vMerge w:val="restart"/>
            <w:tcBorders>
              <w:top w:val="single" w:sz="6" w:space="0" w:color="000000"/>
              <w:bottom w:val="single" w:sz="4" w:space="0" w:color="000000"/>
              <w:right w:val="single" w:sz="6" w:space="0" w:color="000000"/>
            </w:tcBorders>
          </w:tcPr>
          <w:p>
            <w:pPr>
              <w:pStyle w:val="TableParagraph"/>
              <w:ind w:left="105"/>
              <w:rPr>
                <w:sz w:val="20"/>
              </w:rPr>
            </w:pPr>
            <w:r>
              <w:rPr>
                <w:sz w:val="20"/>
              </w:rPr>
              <w:t>Household Supplies</w:t>
            </w:r>
          </w:p>
        </w:tc>
        <w:tc>
          <w:tcPr>
            <w:tcW w:w="6379" w:type="dxa"/>
            <w:tcBorders>
              <w:top w:val="single" w:sz="6" w:space="0" w:color="000000"/>
              <w:left w:val="single" w:sz="6" w:space="0" w:color="000000"/>
              <w:bottom w:val="nil"/>
            </w:tcBorders>
          </w:tcPr>
          <w:p>
            <w:pPr>
              <w:pStyle w:val="TableParagraph"/>
              <w:ind w:left="112"/>
              <w:rPr>
                <w:sz w:val="20"/>
              </w:rPr>
            </w:pPr>
            <w:r>
              <w:rPr>
                <w:sz w:val="20"/>
              </w:rPr>
              <w:t>Matches</w:t>
            </w:r>
          </w:p>
        </w:tc>
      </w:tr>
      <w:tr>
        <w:trPr>
          <w:trHeight w:val="305" w:hRule="atLeast"/>
        </w:trPr>
        <w:tc>
          <w:tcPr>
            <w:tcW w:w="2952" w:type="dxa"/>
            <w:vMerge/>
            <w:tcBorders>
              <w:top w:val="nil"/>
              <w:bottom w:val="single" w:sz="4"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2"/>
              <w:ind w:left="112"/>
              <w:rPr>
                <w:sz w:val="20"/>
              </w:rPr>
            </w:pPr>
            <w:r>
              <w:rPr>
                <w:sz w:val="20"/>
              </w:rPr>
              <w:t>Candles</w:t>
            </w:r>
          </w:p>
        </w:tc>
      </w:tr>
      <w:tr>
        <w:trPr>
          <w:trHeight w:val="306" w:hRule="atLeast"/>
        </w:trPr>
        <w:tc>
          <w:tcPr>
            <w:tcW w:w="2952" w:type="dxa"/>
            <w:vMerge/>
            <w:tcBorders>
              <w:top w:val="nil"/>
              <w:bottom w:val="single" w:sz="4"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4"/>
              <w:ind w:left="112"/>
              <w:rPr>
                <w:sz w:val="20"/>
              </w:rPr>
            </w:pPr>
            <w:r>
              <w:rPr>
                <w:sz w:val="20"/>
              </w:rPr>
              <w:t>Toothpicks</w:t>
            </w:r>
          </w:p>
        </w:tc>
      </w:tr>
      <w:tr>
        <w:trPr>
          <w:trHeight w:val="305" w:hRule="atLeast"/>
        </w:trPr>
        <w:tc>
          <w:tcPr>
            <w:tcW w:w="2952" w:type="dxa"/>
            <w:vMerge/>
            <w:tcBorders>
              <w:top w:val="nil"/>
              <w:bottom w:val="single" w:sz="4"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4"/>
              <w:ind w:left="112"/>
              <w:rPr>
                <w:sz w:val="20"/>
              </w:rPr>
            </w:pPr>
            <w:r>
              <w:rPr>
                <w:sz w:val="20"/>
              </w:rPr>
              <w:t>Cordage (string, twine, rope, clothes line, etc.)</w:t>
            </w:r>
          </w:p>
        </w:tc>
      </w:tr>
      <w:tr>
        <w:trPr>
          <w:trHeight w:val="305" w:hRule="atLeast"/>
        </w:trPr>
        <w:tc>
          <w:tcPr>
            <w:tcW w:w="2952" w:type="dxa"/>
            <w:vMerge/>
            <w:tcBorders>
              <w:top w:val="nil"/>
              <w:bottom w:val="single" w:sz="4"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2"/>
              <w:ind w:left="112"/>
              <w:rPr>
                <w:sz w:val="20"/>
              </w:rPr>
            </w:pPr>
            <w:r>
              <w:rPr>
                <w:sz w:val="20"/>
              </w:rPr>
              <w:t>Drinking straws</w:t>
            </w:r>
          </w:p>
        </w:tc>
      </w:tr>
      <w:tr>
        <w:trPr>
          <w:trHeight w:val="305" w:hRule="atLeast"/>
        </w:trPr>
        <w:tc>
          <w:tcPr>
            <w:tcW w:w="2952" w:type="dxa"/>
            <w:vMerge/>
            <w:tcBorders>
              <w:top w:val="nil"/>
              <w:bottom w:val="single" w:sz="4" w:space="0" w:color="000000"/>
              <w:right w:val="single" w:sz="6" w:space="0" w:color="000000"/>
            </w:tcBorders>
          </w:tcPr>
          <w:p>
            <w:pPr>
              <w:rPr>
                <w:sz w:val="2"/>
                <w:szCs w:val="2"/>
              </w:rPr>
            </w:pPr>
          </w:p>
        </w:tc>
        <w:tc>
          <w:tcPr>
            <w:tcW w:w="6379" w:type="dxa"/>
            <w:tcBorders>
              <w:top w:val="nil"/>
              <w:left w:val="single" w:sz="4" w:space="0" w:color="000000"/>
              <w:bottom w:val="nil"/>
            </w:tcBorders>
          </w:tcPr>
          <w:p>
            <w:pPr>
              <w:pStyle w:val="TableParagraph"/>
              <w:spacing w:before="34"/>
              <w:ind w:left="115"/>
              <w:rPr>
                <w:sz w:val="20"/>
              </w:rPr>
            </w:pPr>
            <w:r>
              <w:rPr>
                <w:sz w:val="20"/>
              </w:rPr>
              <w:t>Lighter and propane torch fuel, flints, pipe cleaners, etc.</w:t>
            </w:r>
          </w:p>
        </w:tc>
      </w:tr>
      <w:tr>
        <w:trPr>
          <w:trHeight w:val="305" w:hRule="atLeast"/>
        </w:trPr>
        <w:tc>
          <w:tcPr>
            <w:tcW w:w="2952" w:type="dxa"/>
            <w:vMerge/>
            <w:tcBorders>
              <w:top w:val="nil"/>
              <w:bottom w:val="single" w:sz="4" w:space="0" w:color="000000"/>
              <w:right w:val="single" w:sz="6" w:space="0" w:color="000000"/>
            </w:tcBorders>
          </w:tcPr>
          <w:p>
            <w:pPr>
              <w:rPr>
                <w:sz w:val="2"/>
                <w:szCs w:val="2"/>
              </w:rPr>
            </w:pPr>
          </w:p>
        </w:tc>
        <w:tc>
          <w:tcPr>
            <w:tcW w:w="6379" w:type="dxa"/>
            <w:tcBorders>
              <w:top w:val="nil"/>
              <w:left w:val="single" w:sz="4" w:space="0" w:color="000000"/>
              <w:bottom w:val="nil"/>
            </w:tcBorders>
          </w:tcPr>
          <w:p>
            <w:pPr>
              <w:pStyle w:val="TableParagraph"/>
              <w:spacing w:before="32"/>
              <w:ind w:left="115"/>
              <w:rPr>
                <w:sz w:val="20"/>
              </w:rPr>
            </w:pPr>
            <w:r>
              <w:rPr>
                <w:sz w:val="20"/>
              </w:rPr>
              <w:t>Lubricants</w:t>
            </w:r>
          </w:p>
        </w:tc>
      </w:tr>
      <w:tr>
        <w:trPr>
          <w:trHeight w:val="306" w:hRule="atLeast"/>
        </w:trPr>
        <w:tc>
          <w:tcPr>
            <w:tcW w:w="2952" w:type="dxa"/>
            <w:vMerge/>
            <w:tcBorders>
              <w:top w:val="nil"/>
              <w:bottom w:val="single" w:sz="4"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4"/>
              <w:ind w:left="112"/>
              <w:rPr>
                <w:sz w:val="20"/>
              </w:rPr>
            </w:pPr>
            <w:r>
              <w:rPr>
                <w:sz w:val="20"/>
              </w:rPr>
              <w:t>Picnic supplies</w:t>
            </w:r>
          </w:p>
        </w:tc>
      </w:tr>
      <w:tr>
        <w:trPr>
          <w:trHeight w:val="311" w:hRule="atLeast"/>
        </w:trPr>
        <w:tc>
          <w:tcPr>
            <w:tcW w:w="2952" w:type="dxa"/>
            <w:vMerge/>
            <w:tcBorders>
              <w:top w:val="nil"/>
              <w:bottom w:val="single" w:sz="4"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4"/>
              <w:ind w:left="112"/>
              <w:rPr>
                <w:sz w:val="20"/>
              </w:rPr>
            </w:pPr>
            <w:r>
              <w:rPr>
                <w:sz w:val="20"/>
              </w:rPr>
              <w:t>Sandpaper and emery paper</w:t>
            </w:r>
          </w:p>
        </w:tc>
      </w:tr>
      <w:tr>
        <w:trPr>
          <w:trHeight w:val="310" w:hRule="atLeast"/>
        </w:trPr>
        <w:tc>
          <w:tcPr>
            <w:tcW w:w="2952" w:type="dxa"/>
            <w:vMerge/>
            <w:tcBorders>
              <w:top w:val="nil"/>
              <w:bottom w:val="single" w:sz="4" w:space="0" w:color="000000"/>
              <w:right w:val="single" w:sz="6" w:space="0" w:color="000000"/>
            </w:tcBorders>
          </w:tcPr>
          <w:p>
            <w:pPr>
              <w:rPr>
                <w:sz w:val="2"/>
                <w:szCs w:val="2"/>
              </w:rPr>
            </w:pPr>
          </w:p>
        </w:tc>
        <w:tc>
          <w:tcPr>
            <w:tcW w:w="6379" w:type="dxa"/>
            <w:tcBorders>
              <w:top w:val="nil"/>
              <w:left w:val="single" w:sz="4" w:space="0" w:color="000000"/>
              <w:bottom w:val="nil"/>
            </w:tcBorders>
          </w:tcPr>
          <w:p>
            <w:pPr>
              <w:pStyle w:val="TableParagraph"/>
              <w:spacing w:line="52" w:lineRule="exact" w:before="0"/>
              <w:ind w:left="-8" w:right="-15"/>
              <w:rPr>
                <w:sz w:val="5"/>
              </w:rPr>
            </w:pPr>
            <w:r>
              <w:rPr>
                <w:position w:val="0"/>
                <w:sz w:val="5"/>
              </w:rPr>
              <w:drawing>
                <wp:inline distT="0" distB="0" distL="0" distR="0">
                  <wp:extent cx="4023274" cy="33337"/>
                  <wp:effectExtent l="0" t="0" r="0" b="0"/>
                  <wp:docPr id="5" name="image11.png" descr=""/>
                  <wp:cNvGraphicFramePr>
                    <a:graphicFrameLocks noChangeAspect="1"/>
                  </wp:cNvGraphicFramePr>
                  <a:graphic>
                    <a:graphicData uri="http://schemas.openxmlformats.org/drawingml/2006/picture">
                      <pic:pic>
                        <pic:nvPicPr>
                          <pic:cNvPr id="6" name="image11.png"/>
                          <pic:cNvPicPr/>
                        </pic:nvPicPr>
                        <pic:blipFill>
                          <a:blip r:embed="rId31" cstate="print"/>
                          <a:stretch>
                            <a:fillRect/>
                          </a:stretch>
                        </pic:blipFill>
                        <pic:spPr>
                          <a:xfrm>
                            <a:off x="0" y="0"/>
                            <a:ext cx="4023274" cy="33337"/>
                          </a:xfrm>
                          <a:prstGeom prst="rect">
                            <a:avLst/>
                          </a:prstGeom>
                        </pic:spPr>
                      </pic:pic>
                    </a:graphicData>
                  </a:graphic>
                </wp:inline>
              </w:drawing>
            </w:r>
            <w:r>
              <w:rPr>
                <w:position w:val="0"/>
                <w:sz w:val="5"/>
              </w:rPr>
            </w:r>
          </w:p>
          <w:p>
            <w:pPr>
              <w:pStyle w:val="TableParagraph"/>
              <w:spacing w:before="0"/>
              <w:ind w:left="115"/>
              <w:rPr>
                <w:sz w:val="20"/>
              </w:rPr>
            </w:pPr>
            <w:r>
              <w:rPr>
                <w:sz w:val="20"/>
              </w:rPr>
              <w:t>Charcoal briquets, chips, logs, etc.</w:t>
            </w:r>
          </w:p>
        </w:tc>
      </w:tr>
      <w:tr>
        <w:trPr>
          <w:trHeight w:val="310" w:hRule="atLeast"/>
        </w:trPr>
        <w:tc>
          <w:tcPr>
            <w:tcW w:w="2952" w:type="dxa"/>
            <w:vMerge/>
            <w:tcBorders>
              <w:top w:val="nil"/>
              <w:bottom w:val="single" w:sz="4"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2"/>
              <w:ind w:left="112"/>
              <w:rPr>
                <w:sz w:val="20"/>
              </w:rPr>
            </w:pPr>
            <w:r>
              <w:rPr>
                <w:sz w:val="20"/>
              </w:rPr>
              <w:t>Dyes and tints</w:t>
            </w:r>
          </w:p>
        </w:tc>
      </w:tr>
      <w:tr>
        <w:trPr>
          <w:trHeight w:val="311" w:hRule="atLeast"/>
        </w:trPr>
        <w:tc>
          <w:tcPr>
            <w:tcW w:w="2952" w:type="dxa"/>
            <w:vMerge/>
            <w:tcBorders>
              <w:top w:val="nil"/>
              <w:bottom w:val="single" w:sz="4" w:space="0" w:color="000000"/>
              <w:right w:val="single" w:sz="6" w:space="0" w:color="000000"/>
            </w:tcBorders>
          </w:tcPr>
          <w:p>
            <w:pPr>
              <w:rPr>
                <w:sz w:val="2"/>
                <w:szCs w:val="2"/>
              </w:rPr>
            </w:pPr>
          </w:p>
        </w:tc>
        <w:tc>
          <w:tcPr>
            <w:tcW w:w="6379" w:type="dxa"/>
            <w:tcBorders>
              <w:top w:val="nil"/>
              <w:left w:val="single" w:sz="6" w:space="0" w:color="000000"/>
              <w:bottom w:val="single" w:sz="4" w:space="0" w:color="000000"/>
            </w:tcBorders>
          </w:tcPr>
          <w:p>
            <w:pPr>
              <w:pStyle w:val="TableParagraph"/>
              <w:spacing w:before="38"/>
              <w:ind w:left="112"/>
              <w:rPr>
                <w:sz w:val="20"/>
              </w:rPr>
            </w:pPr>
            <w:r>
              <w:rPr>
                <w:sz w:val="20"/>
              </w:rPr>
              <w:t>Camera film, photo supplies and chemicals</w:t>
            </w:r>
          </w:p>
        </w:tc>
      </w:tr>
    </w:tbl>
    <w:p>
      <w:pPr>
        <w:spacing w:after="0"/>
        <w:rPr>
          <w:sz w:val="20"/>
        </w:rPr>
        <w:sectPr>
          <w:pgSz w:w="12240" w:h="15840"/>
          <w:pgMar w:header="730" w:footer="741" w:top="1340" w:bottom="940" w:left="1260" w:right="1020"/>
        </w:sectPr>
      </w:pPr>
    </w:p>
    <w:p>
      <w:pPr>
        <w:pStyle w:val="BodyText"/>
        <w:spacing w:before="9"/>
        <w:rPr>
          <w:sz w:val="25"/>
        </w:rPr>
      </w:pPr>
    </w:p>
    <w:tbl>
      <w:tblPr>
        <w:tblW w:w="0" w:type="auto"/>
        <w:jc w:val="left"/>
        <w:tblInd w:w="20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952"/>
        <w:gridCol w:w="6379"/>
      </w:tblGrid>
      <w:tr>
        <w:trPr>
          <w:trHeight w:val="363" w:hRule="atLeast"/>
        </w:trPr>
        <w:tc>
          <w:tcPr>
            <w:tcW w:w="9331" w:type="dxa"/>
            <w:gridSpan w:val="2"/>
          </w:tcPr>
          <w:p>
            <w:pPr>
              <w:pStyle w:val="TableParagraph"/>
              <w:spacing w:before="44"/>
              <w:ind w:left="2219"/>
              <w:rPr>
                <w:b/>
                <w:sz w:val="24"/>
              </w:rPr>
            </w:pPr>
            <w:r>
              <w:rPr>
                <w:b/>
                <w:sz w:val="24"/>
              </w:rPr>
              <w:t>Commodities Included Under FTC Jurisdiction</w:t>
            </w:r>
          </w:p>
        </w:tc>
      </w:tr>
      <w:tr>
        <w:trPr>
          <w:trHeight w:val="293" w:hRule="atLeast"/>
        </w:trPr>
        <w:tc>
          <w:tcPr>
            <w:tcW w:w="2952" w:type="dxa"/>
            <w:vMerge w:val="restart"/>
            <w:tcBorders>
              <w:bottom w:val="single" w:sz="6" w:space="0" w:color="000000"/>
              <w:right w:val="single" w:sz="6" w:space="0" w:color="000000"/>
            </w:tcBorders>
          </w:tcPr>
          <w:p>
            <w:pPr>
              <w:pStyle w:val="TableParagraph"/>
              <w:spacing w:before="0"/>
              <w:rPr>
                <w:sz w:val="20"/>
              </w:rPr>
            </w:pPr>
          </w:p>
        </w:tc>
        <w:tc>
          <w:tcPr>
            <w:tcW w:w="6379" w:type="dxa"/>
            <w:tcBorders>
              <w:left w:val="single" w:sz="6" w:space="0" w:color="000000"/>
              <w:bottom w:val="nil"/>
            </w:tcBorders>
          </w:tcPr>
          <w:p>
            <w:pPr>
              <w:pStyle w:val="TableParagraph"/>
              <w:spacing w:before="24"/>
              <w:ind w:left="112"/>
              <w:rPr>
                <w:sz w:val="20"/>
              </w:rPr>
            </w:pPr>
            <w:r>
              <w:rPr>
                <w:sz w:val="20"/>
              </w:rPr>
              <w:t>Protective foil cooking utensils</w:t>
            </w:r>
          </w:p>
        </w:tc>
      </w:tr>
      <w:tr>
        <w:trPr>
          <w:trHeight w:val="300"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0"/>
              <w:ind w:left="112"/>
              <w:rPr>
                <w:sz w:val="20"/>
              </w:rPr>
            </w:pPr>
            <w:r>
              <w:rPr>
                <w:sz w:val="20"/>
              </w:rPr>
              <w:t>Aluminum foil cooking utensils</w:t>
            </w:r>
          </w:p>
        </w:tc>
      </w:tr>
      <w:tr>
        <w:trPr>
          <w:trHeight w:val="301"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1"/>
              <w:ind w:left="112"/>
              <w:rPr>
                <w:sz w:val="20"/>
              </w:rPr>
            </w:pPr>
            <w:r>
              <w:rPr>
                <w:sz w:val="20"/>
              </w:rPr>
              <w:t>Christmas decorations</w:t>
            </w:r>
          </w:p>
        </w:tc>
      </w:tr>
      <w:tr>
        <w:trPr>
          <w:trHeight w:val="300"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1"/>
              <w:ind w:left="112"/>
              <w:rPr>
                <w:sz w:val="20"/>
              </w:rPr>
            </w:pPr>
            <w:r>
              <w:rPr>
                <w:sz w:val="20"/>
              </w:rPr>
              <w:t>Solder</w:t>
            </w:r>
          </w:p>
        </w:tc>
      </w:tr>
      <w:tr>
        <w:trPr>
          <w:trHeight w:val="300"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0"/>
              <w:ind w:left="112"/>
              <w:rPr>
                <w:sz w:val="20"/>
              </w:rPr>
            </w:pPr>
            <w:r>
              <w:rPr>
                <w:sz w:val="20"/>
              </w:rPr>
              <w:t>LPG for other than home heating or cooking</w:t>
            </w:r>
          </w:p>
        </w:tc>
      </w:tr>
      <w:tr>
        <w:trPr>
          <w:trHeight w:val="300"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1"/>
              <w:ind w:left="112"/>
              <w:rPr>
                <w:sz w:val="20"/>
              </w:rPr>
            </w:pPr>
            <w:r>
              <w:rPr>
                <w:sz w:val="20"/>
              </w:rPr>
              <w:t>Waxes for home use</w:t>
            </w:r>
          </w:p>
        </w:tc>
      </w:tr>
      <w:tr>
        <w:trPr>
          <w:trHeight w:val="300"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0"/>
              <w:ind w:left="112"/>
              <w:rPr>
                <w:sz w:val="20"/>
              </w:rPr>
            </w:pPr>
            <w:r>
              <w:rPr>
                <w:sz w:val="20"/>
              </w:rPr>
              <w:t>Light bulbs</w:t>
            </w:r>
          </w:p>
        </w:tc>
      </w:tr>
      <w:tr>
        <w:trPr>
          <w:trHeight w:val="301"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1"/>
              <w:ind w:left="112"/>
              <w:rPr>
                <w:sz w:val="20"/>
              </w:rPr>
            </w:pPr>
            <w:r>
              <w:rPr>
                <w:sz w:val="20"/>
              </w:rPr>
              <w:t>Dry cell batteries</w:t>
            </w:r>
          </w:p>
        </w:tc>
      </w:tr>
      <w:tr>
        <w:trPr>
          <w:trHeight w:val="304"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single" w:sz="6" w:space="0" w:color="000000"/>
            </w:tcBorders>
          </w:tcPr>
          <w:p>
            <w:pPr>
              <w:pStyle w:val="TableParagraph"/>
              <w:spacing w:before="31"/>
              <w:ind w:left="112"/>
              <w:rPr>
                <w:sz w:val="20"/>
              </w:rPr>
            </w:pPr>
            <w:r>
              <w:rPr>
                <w:sz w:val="20"/>
              </w:rPr>
              <w:t>Pressure sensitive tapes, excluding gift tapes</w:t>
            </w:r>
          </w:p>
        </w:tc>
      </w:tr>
      <w:tr>
        <w:trPr>
          <w:trHeight w:val="312" w:hRule="atLeast"/>
        </w:trPr>
        <w:tc>
          <w:tcPr>
            <w:tcW w:w="2952" w:type="dxa"/>
            <w:vMerge w:val="restart"/>
            <w:tcBorders>
              <w:top w:val="single" w:sz="6" w:space="0" w:color="000000"/>
              <w:bottom w:val="single" w:sz="6" w:space="0" w:color="000000"/>
              <w:right w:val="single" w:sz="6" w:space="0" w:color="000000"/>
            </w:tcBorders>
          </w:tcPr>
          <w:p>
            <w:pPr>
              <w:pStyle w:val="TableParagraph"/>
              <w:ind w:left="105"/>
              <w:rPr>
                <w:sz w:val="20"/>
              </w:rPr>
            </w:pPr>
            <w:r>
              <w:rPr>
                <w:sz w:val="20"/>
              </w:rPr>
              <w:t>Containers</w:t>
            </w:r>
          </w:p>
        </w:tc>
        <w:tc>
          <w:tcPr>
            <w:tcW w:w="6379" w:type="dxa"/>
            <w:tcBorders>
              <w:top w:val="single" w:sz="6" w:space="0" w:color="000000"/>
              <w:left w:val="single" w:sz="6" w:space="0" w:color="000000"/>
              <w:bottom w:val="nil"/>
            </w:tcBorders>
          </w:tcPr>
          <w:p>
            <w:pPr>
              <w:pStyle w:val="TableParagraph"/>
              <w:ind w:left="112"/>
              <w:rPr>
                <w:sz w:val="20"/>
              </w:rPr>
            </w:pPr>
            <w:r>
              <w:rPr>
                <w:sz w:val="20"/>
              </w:rPr>
              <w:t>Paper (plain, waxed, or plastic coated)</w:t>
            </w:r>
          </w:p>
        </w:tc>
      </w:tr>
      <w:tr>
        <w:trPr>
          <w:trHeight w:val="300"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nil"/>
            </w:tcBorders>
          </w:tcPr>
          <w:p>
            <w:pPr>
              <w:pStyle w:val="TableParagraph"/>
              <w:spacing w:before="30"/>
              <w:ind w:left="112"/>
              <w:rPr>
                <w:sz w:val="20"/>
              </w:rPr>
            </w:pPr>
            <w:r>
              <w:rPr>
                <w:sz w:val="20"/>
              </w:rPr>
              <w:t>Foil</w:t>
            </w:r>
          </w:p>
        </w:tc>
      </w:tr>
      <w:tr>
        <w:trPr>
          <w:trHeight w:val="304" w:hRule="atLeast"/>
        </w:trPr>
        <w:tc>
          <w:tcPr>
            <w:tcW w:w="2952" w:type="dxa"/>
            <w:vMerge/>
            <w:tcBorders>
              <w:top w:val="nil"/>
              <w:bottom w:val="single" w:sz="6" w:space="0" w:color="000000"/>
              <w:right w:val="single" w:sz="6" w:space="0" w:color="000000"/>
            </w:tcBorders>
          </w:tcPr>
          <w:p>
            <w:pPr>
              <w:rPr>
                <w:sz w:val="2"/>
                <w:szCs w:val="2"/>
              </w:rPr>
            </w:pPr>
          </w:p>
        </w:tc>
        <w:tc>
          <w:tcPr>
            <w:tcW w:w="6379" w:type="dxa"/>
            <w:tcBorders>
              <w:top w:val="nil"/>
              <w:left w:val="single" w:sz="6" w:space="0" w:color="000000"/>
              <w:bottom w:val="single" w:sz="6" w:space="0" w:color="000000"/>
            </w:tcBorders>
          </w:tcPr>
          <w:p>
            <w:pPr>
              <w:pStyle w:val="TableParagraph"/>
              <w:spacing w:before="31"/>
              <w:ind w:left="112"/>
              <w:rPr>
                <w:sz w:val="20"/>
              </w:rPr>
            </w:pPr>
            <w:r>
              <w:rPr>
                <w:sz w:val="20"/>
              </w:rPr>
              <w:t>Plastic or Styrofoam</w:t>
            </w:r>
          </w:p>
        </w:tc>
      </w:tr>
      <w:tr>
        <w:trPr>
          <w:trHeight w:val="316" w:hRule="atLeast"/>
        </w:trPr>
        <w:tc>
          <w:tcPr>
            <w:tcW w:w="2952" w:type="dxa"/>
            <w:tcBorders>
              <w:top w:val="single" w:sz="6" w:space="0" w:color="000000"/>
              <w:bottom w:val="single" w:sz="6" w:space="0" w:color="000000"/>
              <w:right w:val="single" w:sz="6" w:space="0" w:color="000000"/>
            </w:tcBorders>
          </w:tcPr>
          <w:p>
            <w:pPr>
              <w:pStyle w:val="TableParagraph"/>
              <w:ind w:left="105"/>
              <w:rPr>
                <w:sz w:val="20"/>
              </w:rPr>
            </w:pPr>
            <w:r>
              <w:rPr>
                <w:sz w:val="20"/>
              </w:rPr>
              <w:t>Air Fresheners and Deodorizers</w:t>
            </w:r>
          </w:p>
        </w:tc>
        <w:tc>
          <w:tcPr>
            <w:tcW w:w="6379" w:type="dxa"/>
            <w:tcBorders>
              <w:top w:val="single" w:sz="6" w:space="0" w:color="000000"/>
              <w:left w:val="single" w:sz="6" w:space="0" w:color="000000"/>
              <w:bottom w:val="single" w:sz="6" w:space="0" w:color="000000"/>
            </w:tcBorders>
          </w:tcPr>
          <w:p>
            <w:pPr>
              <w:pStyle w:val="TableParagraph"/>
              <w:ind w:left="112"/>
              <w:rPr>
                <w:sz w:val="20"/>
              </w:rPr>
            </w:pPr>
            <w:r>
              <w:rPr>
                <w:sz w:val="20"/>
              </w:rPr>
              <w:t>Potpourri</w:t>
            </w:r>
          </w:p>
        </w:tc>
      </w:tr>
      <w:tr>
        <w:trPr>
          <w:trHeight w:val="316" w:hRule="atLeast"/>
        </w:trPr>
        <w:tc>
          <w:tcPr>
            <w:tcW w:w="2952" w:type="dxa"/>
            <w:tcBorders>
              <w:top w:val="single" w:sz="6" w:space="0" w:color="000000"/>
              <w:bottom w:val="single" w:sz="6" w:space="0" w:color="000000"/>
              <w:right w:val="single" w:sz="6" w:space="0" w:color="000000"/>
            </w:tcBorders>
          </w:tcPr>
          <w:p>
            <w:pPr>
              <w:pStyle w:val="TableParagraph"/>
              <w:ind w:left="105"/>
              <w:rPr>
                <w:sz w:val="20"/>
              </w:rPr>
            </w:pPr>
            <w:r>
              <w:rPr>
                <w:sz w:val="20"/>
              </w:rPr>
              <w:t>Adhesives and Sealants</w:t>
            </w:r>
          </w:p>
        </w:tc>
        <w:tc>
          <w:tcPr>
            <w:tcW w:w="6379" w:type="dxa"/>
            <w:tcBorders>
              <w:top w:val="single" w:sz="6" w:space="0" w:color="000000"/>
              <w:left w:val="single" w:sz="6" w:space="0" w:color="000000"/>
              <w:bottom w:val="single" w:sz="6" w:space="0" w:color="000000"/>
            </w:tcBorders>
          </w:tcPr>
          <w:p>
            <w:pPr>
              <w:pStyle w:val="TableParagraph"/>
              <w:spacing w:before="0"/>
              <w:rPr>
                <w:sz w:val="20"/>
              </w:rPr>
            </w:pPr>
          </w:p>
        </w:tc>
      </w:tr>
      <w:tr>
        <w:trPr>
          <w:trHeight w:val="315" w:hRule="atLeast"/>
        </w:trPr>
        <w:tc>
          <w:tcPr>
            <w:tcW w:w="2952" w:type="dxa"/>
            <w:tcBorders>
              <w:top w:val="single" w:sz="6" w:space="0" w:color="000000"/>
              <w:right w:val="single" w:sz="6" w:space="0" w:color="000000"/>
            </w:tcBorders>
          </w:tcPr>
          <w:p>
            <w:pPr>
              <w:pStyle w:val="TableParagraph"/>
              <w:ind w:left="105"/>
              <w:rPr>
                <w:sz w:val="20"/>
              </w:rPr>
            </w:pPr>
            <w:r>
              <w:rPr>
                <w:sz w:val="20"/>
              </w:rPr>
              <w:t>Cordage</w:t>
            </w:r>
          </w:p>
        </w:tc>
        <w:tc>
          <w:tcPr>
            <w:tcW w:w="6379" w:type="dxa"/>
            <w:tcBorders>
              <w:top w:val="single" w:sz="6" w:space="0" w:color="000000"/>
              <w:left w:val="single" w:sz="6" w:space="0" w:color="000000"/>
            </w:tcBorders>
          </w:tcPr>
          <w:p>
            <w:pPr>
              <w:pStyle w:val="TableParagraph"/>
              <w:spacing w:before="0"/>
              <w:rPr>
                <w:sz w:val="20"/>
              </w:rPr>
            </w:pPr>
          </w:p>
        </w:tc>
      </w:tr>
    </w:tbl>
    <w:p>
      <w:pPr>
        <w:spacing w:after="0"/>
        <w:rPr>
          <w:sz w:val="20"/>
        </w:rPr>
        <w:sectPr>
          <w:pgSz w:w="12240" w:h="15840"/>
          <w:pgMar w:header="730" w:footer="740" w:top="1340" w:bottom="940" w:left="1260" w:right="1020"/>
        </w:sectPr>
      </w:pPr>
    </w:p>
    <w:p>
      <w:pPr>
        <w:pStyle w:val="BodyText"/>
        <w:spacing w:before="5"/>
        <w:rPr>
          <w:sz w:val="8"/>
        </w:rPr>
      </w:pPr>
    </w:p>
    <w:tbl>
      <w:tblPr>
        <w:tblW w:w="0" w:type="auto"/>
        <w:jc w:val="left"/>
        <w:tblInd w:w="20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280"/>
        <w:gridCol w:w="6026"/>
        <w:gridCol w:w="1024"/>
      </w:tblGrid>
      <w:tr>
        <w:trPr>
          <w:trHeight w:val="361" w:hRule="atLeast"/>
        </w:trPr>
        <w:tc>
          <w:tcPr>
            <w:tcW w:w="9330" w:type="dxa"/>
            <w:gridSpan w:val="3"/>
          </w:tcPr>
          <w:p>
            <w:pPr>
              <w:pStyle w:val="TableParagraph"/>
              <w:spacing w:before="41"/>
              <w:ind w:left="2267"/>
              <w:rPr>
                <w:b/>
                <w:sz w:val="24"/>
              </w:rPr>
            </w:pPr>
            <w:r>
              <w:rPr>
                <w:b/>
                <w:sz w:val="24"/>
              </w:rPr>
              <w:t>Commodities Excluded from FTC Jurisdiction</w:t>
            </w:r>
          </w:p>
        </w:tc>
      </w:tr>
      <w:tr>
        <w:trPr>
          <w:trHeight w:val="776" w:hRule="atLeast"/>
        </w:trPr>
        <w:tc>
          <w:tcPr>
            <w:tcW w:w="2280" w:type="dxa"/>
            <w:tcBorders>
              <w:bottom w:val="single" w:sz="6" w:space="0" w:color="000000"/>
              <w:right w:val="single" w:sz="6" w:space="0" w:color="000000"/>
            </w:tcBorders>
          </w:tcPr>
          <w:p>
            <w:pPr>
              <w:pStyle w:val="TableParagraph"/>
              <w:spacing w:before="9"/>
              <w:rPr>
                <w:sz w:val="23"/>
              </w:rPr>
            </w:pPr>
          </w:p>
          <w:p>
            <w:pPr>
              <w:pStyle w:val="TableParagraph"/>
              <w:spacing w:before="0"/>
              <w:ind w:left="869" w:right="869"/>
              <w:jc w:val="center"/>
              <w:rPr>
                <w:b/>
                <w:sz w:val="20"/>
              </w:rPr>
            </w:pPr>
            <w:r>
              <w:rPr>
                <w:b/>
                <w:sz w:val="20"/>
              </w:rPr>
              <w:t>Term</w:t>
            </w:r>
          </w:p>
        </w:tc>
        <w:tc>
          <w:tcPr>
            <w:tcW w:w="6026" w:type="dxa"/>
            <w:tcBorders>
              <w:left w:val="single" w:sz="6" w:space="0" w:color="000000"/>
              <w:bottom w:val="single" w:sz="6" w:space="0" w:color="000000"/>
              <w:right w:val="single" w:sz="6" w:space="0" w:color="000000"/>
            </w:tcBorders>
          </w:tcPr>
          <w:p>
            <w:pPr>
              <w:pStyle w:val="TableParagraph"/>
              <w:spacing w:before="9"/>
              <w:rPr>
                <w:sz w:val="23"/>
              </w:rPr>
            </w:pPr>
          </w:p>
          <w:p>
            <w:pPr>
              <w:pStyle w:val="TableParagraph"/>
              <w:spacing w:before="0"/>
              <w:ind w:left="2493" w:right="2488"/>
              <w:jc w:val="center"/>
              <w:rPr>
                <w:b/>
                <w:sz w:val="20"/>
              </w:rPr>
            </w:pPr>
            <w:r>
              <w:rPr>
                <w:b/>
                <w:sz w:val="20"/>
              </w:rPr>
              <w:t>Description</w:t>
            </w:r>
          </w:p>
        </w:tc>
        <w:tc>
          <w:tcPr>
            <w:tcW w:w="1024" w:type="dxa"/>
            <w:tcBorders>
              <w:left w:val="single" w:sz="6" w:space="0" w:color="000000"/>
              <w:bottom w:val="single" w:sz="6" w:space="0" w:color="000000"/>
            </w:tcBorders>
          </w:tcPr>
          <w:p>
            <w:pPr>
              <w:pStyle w:val="TableParagraph"/>
              <w:spacing w:line="229" w:lineRule="exact" w:before="45"/>
              <w:ind w:left="146"/>
              <w:rPr>
                <w:b/>
                <w:sz w:val="20"/>
              </w:rPr>
            </w:pPr>
            <w:r>
              <w:rPr>
                <w:b/>
                <w:sz w:val="20"/>
              </w:rPr>
              <w:t>FTC Ju-</w:t>
            </w:r>
          </w:p>
          <w:p>
            <w:pPr>
              <w:pStyle w:val="TableParagraph"/>
              <w:spacing w:before="0"/>
              <w:ind w:left="343" w:hanging="106"/>
              <w:rPr>
                <w:b/>
                <w:sz w:val="20"/>
              </w:rPr>
            </w:pPr>
            <w:r>
              <w:rPr>
                <w:b/>
                <w:w w:val="95"/>
                <w:sz w:val="20"/>
              </w:rPr>
              <w:t>risdic- </w:t>
            </w:r>
            <w:r>
              <w:rPr>
                <w:b/>
                <w:sz w:val="20"/>
              </w:rPr>
              <w:t>tion</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Adhesive Tape</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4"/>
              <w:jc w:val="center"/>
              <w:rPr>
                <w:sz w:val="20"/>
              </w:rPr>
            </w:pPr>
            <w:r>
              <w:rPr>
                <w:sz w:val="20"/>
              </w:rPr>
              <w:t>FDA-D</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Alcoholic Beverages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1"/>
              <w:jc w:val="center"/>
              <w:rPr>
                <w:sz w:val="20"/>
              </w:rPr>
            </w:pPr>
            <w:r>
              <w:rPr>
                <w:sz w:val="20"/>
              </w:rPr>
              <w:t>TTB</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Aluminum Clothesline</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Plastic clothesline with a steel core</w:t>
            </w: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Antifreeze</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544" w:hRule="atLeast"/>
        </w:trPr>
        <w:tc>
          <w:tcPr>
            <w:tcW w:w="2280" w:type="dxa"/>
            <w:tcBorders>
              <w:top w:val="single" w:sz="6" w:space="0" w:color="000000"/>
              <w:bottom w:val="single" w:sz="6" w:space="0" w:color="000000"/>
              <w:right w:val="single" w:sz="6" w:space="0" w:color="000000"/>
            </w:tcBorders>
          </w:tcPr>
          <w:p>
            <w:pPr>
              <w:pStyle w:val="TableParagraph"/>
              <w:ind w:left="105" w:right="160"/>
              <w:rPr>
                <w:sz w:val="20"/>
              </w:rPr>
            </w:pPr>
            <w:r>
              <w:rPr>
                <w:sz w:val="20"/>
              </w:rPr>
              <w:t>Artificial Flowers and Parts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Automotive Accessories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Floor mats, seat covers, spare parts, etc.</w:t>
            </w: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54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Automotive Chemical Products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ight="168"/>
              <w:rPr>
                <w:sz w:val="20"/>
              </w:rPr>
            </w:pPr>
            <w:r>
              <w:rPr>
                <w:sz w:val="20"/>
              </w:rPr>
              <w:t>Auto polish, wax, and finish conditioner, rubbing compound, tire paint, chrome polish, gasoline additives, etc.</w:t>
            </w: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546" w:hRule="atLeast"/>
        </w:trPr>
        <w:tc>
          <w:tcPr>
            <w:tcW w:w="2280" w:type="dxa"/>
            <w:tcBorders>
              <w:top w:val="single" w:sz="6" w:space="0" w:color="000000"/>
              <w:bottom w:val="single" w:sz="6" w:space="0" w:color="000000"/>
              <w:right w:val="single" w:sz="6" w:space="0" w:color="000000"/>
            </w:tcBorders>
          </w:tcPr>
          <w:p>
            <w:pPr>
              <w:pStyle w:val="TableParagraph"/>
              <w:ind w:left="105" w:right="482"/>
              <w:rPr>
                <w:sz w:val="20"/>
              </w:rPr>
            </w:pPr>
            <w:r>
              <w:rPr>
                <w:sz w:val="20"/>
              </w:rPr>
              <w:t>Bath Oil and Bubble Bath</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08" w:right="94"/>
              <w:jc w:val="center"/>
              <w:rPr>
                <w:sz w:val="20"/>
              </w:rPr>
            </w:pPr>
            <w:r>
              <w:rPr>
                <w:sz w:val="20"/>
              </w:rPr>
              <w:t>FDA-C</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Bicycle Tires and Tubes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Books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Bottled Gas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Cooking or heating</w:t>
            </w: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544" w:hRule="atLeast"/>
        </w:trPr>
        <w:tc>
          <w:tcPr>
            <w:tcW w:w="2280" w:type="dxa"/>
            <w:tcBorders>
              <w:top w:val="single" w:sz="6" w:space="0" w:color="000000"/>
              <w:bottom w:val="single" w:sz="6" w:space="0" w:color="000000"/>
              <w:right w:val="single" w:sz="6" w:space="0" w:color="000000"/>
            </w:tcBorders>
          </w:tcPr>
          <w:p>
            <w:pPr>
              <w:pStyle w:val="TableParagraph"/>
              <w:spacing w:before="156"/>
              <w:ind w:left="105"/>
              <w:rPr>
                <w:sz w:val="20"/>
              </w:rPr>
            </w:pPr>
            <w:r>
              <w:rPr>
                <w:sz w:val="20"/>
              </w:rPr>
              <w:t>Brushes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ight="213"/>
              <w:rPr>
                <w:sz w:val="20"/>
              </w:rPr>
            </w:pPr>
            <w:r>
              <w:rPr>
                <w:sz w:val="20"/>
              </w:rPr>
              <w:t>Bristle, nylon, etc., including hair-brushes, toothbrushes, hand and nail brushes, paint brushes, etc.</w:t>
            </w: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Brooms and Mops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Glass, floor, and dish mops, etc.</w:t>
            </w: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“Bug Proof” Shelf Paper</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0"/>
              <w:jc w:val="center"/>
              <w:rPr>
                <w:sz w:val="20"/>
              </w:rPr>
            </w:pPr>
            <w:r>
              <w:rPr>
                <w:sz w:val="20"/>
              </w:rPr>
              <w:t>EPA</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Candle Holders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Without candles</w:t>
            </w: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Cameras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Chinaware</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Christmas Light Sets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Replacement or other bulbs sold separately are not excluded</w:t>
            </w: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Cigarette Lighters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Clothespins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544" w:hRule="atLeast"/>
        </w:trPr>
        <w:tc>
          <w:tcPr>
            <w:tcW w:w="2280" w:type="dxa"/>
            <w:tcBorders>
              <w:top w:val="single" w:sz="6" w:space="0" w:color="000000"/>
              <w:bottom w:val="single" w:sz="6" w:space="0" w:color="000000"/>
              <w:right w:val="single" w:sz="6" w:space="0" w:color="000000"/>
            </w:tcBorders>
          </w:tcPr>
          <w:p>
            <w:pPr>
              <w:pStyle w:val="TableParagraph"/>
              <w:ind w:left="105" w:right="355"/>
              <w:rPr>
                <w:sz w:val="20"/>
              </w:rPr>
            </w:pPr>
            <w:r>
              <w:rPr>
                <w:sz w:val="20"/>
              </w:rPr>
              <w:t>Clothing and Wearing Apparel</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Socks, gloves, shoelaces, underwear, etc.</w:t>
            </w: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Compacts and Mirrors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1465"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Cosmetics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Defined by Section 201(i) of the Food, Drug, and Cosmetic Act as</w:t>
            </w:r>
          </w:p>
          <w:p>
            <w:pPr>
              <w:pStyle w:val="TableParagraph"/>
              <w:spacing w:before="1"/>
              <w:ind w:left="112" w:right="175"/>
              <w:rPr>
                <w:sz w:val="20"/>
              </w:rPr>
            </w:pPr>
            <w:r>
              <w:rPr>
                <w:sz w:val="20"/>
              </w:rPr>
              <w:t>“(l) articles intended to be rubbed, poured, sprinkled, or sprayed on, in- troduced into, or otherwise applied to the human body or any part thereof for cleansing, beautifying, promoting attractiveness, or altering the appearance, and (2) articles intended for use as a component of any such articles; except that such term shall not include soap.”</w:t>
            </w:r>
          </w:p>
        </w:tc>
        <w:tc>
          <w:tcPr>
            <w:tcW w:w="1024" w:type="dxa"/>
            <w:tcBorders>
              <w:top w:val="single" w:sz="6" w:space="0" w:color="000000"/>
              <w:left w:val="single" w:sz="6" w:space="0" w:color="000000"/>
              <w:bottom w:val="single" w:sz="6" w:space="0" w:color="000000"/>
            </w:tcBorders>
          </w:tcPr>
          <w:p>
            <w:pPr>
              <w:pStyle w:val="TableParagraph"/>
              <w:ind w:left="108" w:right="94"/>
              <w:jc w:val="center"/>
              <w:rPr>
                <w:sz w:val="20"/>
              </w:rPr>
            </w:pPr>
            <w:r>
              <w:rPr>
                <w:sz w:val="20"/>
              </w:rPr>
              <w:t>FDA-C</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Cotton Puffs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Sterilized</w:t>
            </w:r>
          </w:p>
        </w:tc>
        <w:tc>
          <w:tcPr>
            <w:tcW w:w="1024" w:type="dxa"/>
            <w:tcBorders>
              <w:top w:val="single" w:sz="6" w:space="0" w:color="000000"/>
              <w:left w:val="single" w:sz="6" w:space="0" w:color="000000"/>
              <w:bottom w:val="single" w:sz="6" w:space="0" w:color="000000"/>
            </w:tcBorders>
          </w:tcPr>
          <w:p>
            <w:pPr>
              <w:pStyle w:val="TableParagraph"/>
              <w:ind w:left="110" w:right="94"/>
              <w:jc w:val="center"/>
              <w:rPr>
                <w:sz w:val="20"/>
              </w:rPr>
            </w:pPr>
            <w:r>
              <w:rPr>
                <w:sz w:val="20"/>
              </w:rPr>
              <w:t>FDA-D</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Crystalware</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777" w:hRule="atLeast"/>
        </w:trPr>
        <w:tc>
          <w:tcPr>
            <w:tcW w:w="2280" w:type="dxa"/>
            <w:tcBorders>
              <w:top w:val="single" w:sz="6" w:space="0" w:color="000000"/>
              <w:bottom w:val="single" w:sz="6" w:space="0" w:color="000000"/>
              <w:right w:val="single" w:sz="6" w:space="0" w:color="000000"/>
            </w:tcBorders>
          </w:tcPr>
          <w:p>
            <w:pPr>
              <w:pStyle w:val="TableParagraph"/>
              <w:spacing w:before="158"/>
              <w:ind w:left="105" w:right="160"/>
              <w:rPr>
                <w:sz w:val="20"/>
              </w:rPr>
            </w:pPr>
            <w:r>
              <w:rPr>
                <w:sz w:val="20"/>
              </w:rPr>
              <w:t>Detergent Bar with Any Drug or Cosmetic Claim</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ight="347"/>
              <w:rPr>
                <w:sz w:val="20"/>
              </w:rPr>
            </w:pPr>
            <w:r>
              <w:rPr>
                <w:sz w:val="20"/>
              </w:rPr>
              <w:t>If the observer experiences difficulty in ascertaining whether or not a given product is a soap or a detergent, contact the manufacturer or FDA.</w:t>
            </w:r>
          </w:p>
        </w:tc>
        <w:tc>
          <w:tcPr>
            <w:tcW w:w="1024" w:type="dxa"/>
            <w:tcBorders>
              <w:top w:val="single" w:sz="6" w:space="0" w:color="000000"/>
              <w:left w:val="single" w:sz="6" w:space="0" w:color="000000"/>
              <w:bottom w:val="single" w:sz="6" w:space="0" w:color="000000"/>
            </w:tcBorders>
          </w:tcPr>
          <w:p>
            <w:pPr>
              <w:pStyle w:val="TableParagraph"/>
              <w:ind w:left="110" w:right="94"/>
              <w:jc w:val="center"/>
              <w:rPr>
                <w:sz w:val="20"/>
              </w:rPr>
            </w:pPr>
            <w:r>
              <w:rPr>
                <w:sz w:val="20"/>
              </w:rPr>
              <w:t>FDA-D</w:t>
            </w:r>
          </w:p>
          <w:p>
            <w:pPr>
              <w:pStyle w:val="TableParagraph"/>
              <w:spacing w:before="1"/>
              <w:ind w:left="110" w:right="93"/>
              <w:jc w:val="center"/>
              <w:rPr>
                <w:sz w:val="20"/>
              </w:rPr>
            </w:pPr>
            <w:r>
              <w:rPr>
                <w:sz w:val="20"/>
              </w:rPr>
              <w:t>or C</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Decorative Magnets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bl>
    <w:p>
      <w:pPr>
        <w:spacing w:after="0"/>
        <w:jc w:val="center"/>
        <w:rPr>
          <w:sz w:val="20"/>
        </w:rPr>
        <w:sectPr>
          <w:pgSz w:w="12240" w:h="15840"/>
          <w:pgMar w:header="730" w:footer="741" w:top="1340" w:bottom="940" w:left="1260" w:right="1020"/>
        </w:sectPr>
      </w:pPr>
    </w:p>
    <w:p>
      <w:pPr>
        <w:pStyle w:val="BodyText"/>
        <w:spacing w:before="9"/>
        <w:rPr>
          <w:sz w:val="25"/>
        </w:rPr>
      </w:pPr>
    </w:p>
    <w:tbl>
      <w:tblPr>
        <w:tblW w:w="0" w:type="auto"/>
        <w:jc w:val="left"/>
        <w:tblInd w:w="20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280"/>
        <w:gridCol w:w="6026"/>
        <w:gridCol w:w="1024"/>
      </w:tblGrid>
      <w:tr>
        <w:trPr>
          <w:trHeight w:val="363" w:hRule="atLeast"/>
        </w:trPr>
        <w:tc>
          <w:tcPr>
            <w:tcW w:w="9330" w:type="dxa"/>
            <w:gridSpan w:val="3"/>
          </w:tcPr>
          <w:p>
            <w:pPr>
              <w:pStyle w:val="TableParagraph"/>
              <w:spacing w:before="44"/>
              <w:ind w:left="2267"/>
              <w:rPr>
                <w:b/>
                <w:sz w:val="24"/>
              </w:rPr>
            </w:pPr>
            <w:r>
              <w:rPr>
                <w:b/>
                <w:sz w:val="24"/>
              </w:rPr>
              <w:t>Commodities Excluded from FTC Jurisdiction</w:t>
            </w:r>
          </w:p>
        </w:tc>
      </w:tr>
      <w:tr>
        <w:trPr>
          <w:trHeight w:val="774" w:hRule="atLeast"/>
        </w:trPr>
        <w:tc>
          <w:tcPr>
            <w:tcW w:w="2280" w:type="dxa"/>
            <w:tcBorders>
              <w:bottom w:val="single" w:sz="6" w:space="0" w:color="000000"/>
              <w:right w:val="single" w:sz="6" w:space="0" w:color="000000"/>
            </w:tcBorders>
          </w:tcPr>
          <w:p>
            <w:pPr>
              <w:pStyle w:val="TableParagraph"/>
              <w:spacing w:before="9"/>
              <w:rPr>
                <w:sz w:val="23"/>
              </w:rPr>
            </w:pPr>
          </w:p>
          <w:p>
            <w:pPr>
              <w:pStyle w:val="TableParagraph"/>
              <w:spacing w:before="0"/>
              <w:ind w:left="869" w:right="869"/>
              <w:jc w:val="center"/>
              <w:rPr>
                <w:b/>
                <w:sz w:val="20"/>
              </w:rPr>
            </w:pPr>
            <w:r>
              <w:rPr>
                <w:b/>
                <w:sz w:val="20"/>
              </w:rPr>
              <w:t>Term</w:t>
            </w:r>
          </w:p>
        </w:tc>
        <w:tc>
          <w:tcPr>
            <w:tcW w:w="6026" w:type="dxa"/>
            <w:tcBorders>
              <w:left w:val="single" w:sz="6" w:space="0" w:color="000000"/>
              <w:bottom w:val="single" w:sz="6" w:space="0" w:color="000000"/>
              <w:right w:val="single" w:sz="6" w:space="0" w:color="000000"/>
            </w:tcBorders>
          </w:tcPr>
          <w:p>
            <w:pPr>
              <w:pStyle w:val="TableParagraph"/>
              <w:spacing w:before="9"/>
              <w:rPr>
                <w:sz w:val="23"/>
              </w:rPr>
            </w:pPr>
          </w:p>
          <w:p>
            <w:pPr>
              <w:pStyle w:val="TableParagraph"/>
              <w:spacing w:before="0"/>
              <w:ind w:left="2493" w:right="2488"/>
              <w:jc w:val="center"/>
              <w:rPr>
                <w:b/>
                <w:sz w:val="20"/>
              </w:rPr>
            </w:pPr>
            <w:r>
              <w:rPr>
                <w:b/>
                <w:sz w:val="20"/>
              </w:rPr>
              <w:t>Description</w:t>
            </w:r>
          </w:p>
        </w:tc>
        <w:tc>
          <w:tcPr>
            <w:tcW w:w="1024" w:type="dxa"/>
            <w:tcBorders>
              <w:left w:val="single" w:sz="6" w:space="0" w:color="000000"/>
              <w:bottom w:val="single" w:sz="6" w:space="0" w:color="000000"/>
            </w:tcBorders>
          </w:tcPr>
          <w:p>
            <w:pPr>
              <w:pStyle w:val="TableParagraph"/>
              <w:ind w:left="146"/>
              <w:rPr>
                <w:b/>
                <w:sz w:val="20"/>
              </w:rPr>
            </w:pPr>
            <w:r>
              <w:rPr>
                <w:b/>
                <w:sz w:val="20"/>
              </w:rPr>
              <w:t>FTC Ju-</w:t>
            </w:r>
          </w:p>
          <w:p>
            <w:pPr>
              <w:pStyle w:val="TableParagraph"/>
              <w:spacing w:before="0"/>
              <w:ind w:left="343" w:hanging="106"/>
              <w:rPr>
                <w:b/>
                <w:sz w:val="20"/>
              </w:rPr>
            </w:pPr>
            <w:r>
              <w:rPr>
                <w:b/>
                <w:w w:val="95"/>
                <w:sz w:val="20"/>
              </w:rPr>
              <w:t>risdic- </w:t>
            </w:r>
            <w:r>
              <w:rPr>
                <w:b/>
                <w:sz w:val="20"/>
              </w:rPr>
              <w:t>tion</w:t>
            </w:r>
          </w:p>
        </w:tc>
      </w:tr>
      <w:tr>
        <w:trPr>
          <w:trHeight w:val="1465"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Devices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ight="158"/>
              <w:rPr>
                <w:sz w:val="20"/>
              </w:rPr>
            </w:pPr>
            <w:r>
              <w:rPr>
                <w:sz w:val="20"/>
              </w:rPr>
              <w:t>Defined by Section 201(h) of the Food, Drug, and Cosmetic Act as “in- struments, apparatus, and contrivances, including their components, parts, and accessories, intended (1) for use in the diagnosis, cure, miti- gation, treatment, or prevention of disease in man or other animals;</w:t>
            </w:r>
            <w:r>
              <w:rPr>
                <w:spacing w:val="-24"/>
                <w:sz w:val="20"/>
              </w:rPr>
              <w:t> </w:t>
            </w:r>
            <w:r>
              <w:rPr>
                <w:sz w:val="20"/>
              </w:rPr>
              <w:t>or</w:t>
            </w:r>
          </w:p>
          <w:p>
            <w:pPr>
              <w:pStyle w:val="TableParagraph"/>
              <w:spacing w:before="2"/>
              <w:ind w:left="112"/>
              <w:rPr>
                <w:sz w:val="20"/>
              </w:rPr>
            </w:pPr>
            <w:r>
              <w:rPr>
                <w:sz w:val="20"/>
              </w:rPr>
              <w:t>(2) to affect the structure or any function of the body of man or other animals.”  This category includes trusses, syringes, arch supports,</w:t>
            </w:r>
            <w:r>
              <w:rPr>
                <w:spacing w:val="-30"/>
                <w:sz w:val="20"/>
              </w:rPr>
              <w:t> </w:t>
            </w:r>
            <w:r>
              <w:rPr>
                <w:sz w:val="20"/>
              </w:rPr>
              <w:t>etc.</w:t>
            </w:r>
          </w:p>
        </w:tc>
        <w:tc>
          <w:tcPr>
            <w:tcW w:w="1024" w:type="dxa"/>
            <w:tcBorders>
              <w:top w:val="single" w:sz="6" w:space="0" w:color="000000"/>
              <w:left w:val="single" w:sz="6" w:space="0" w:color="000000"/>
              <w:bottom w:val="single" w:sz="6" w:space="0" w:color="000000"/>
            </w:tcBorders>
          </w:tcPr>
          <w:p>
            <w:pPr>
              <w:pStyle w:val="TableParagraph"/>
              <w:spacing w:before="0"/>
              <w:rPr>
                <w:sz w:val="22"/>
              </w:rPr>
            </w:pPr>
          </w:p>
          <w:p>
            <w:pPr>
              <w:pStyle w:val="TableParagraph"/>
              <w:spacing w:before="9"/>
              <w:rPr>
                <w:sz w:val="31"/>
              </w:rPr>
            </w:pPr>
          </w:p>
          <w:p>
            <w:pPr>
              <w:pStyle w:val="TableParagraph"/>
              <w:spacing w:before="1"/>
              <w:ind w:left="110" w:right="94"/>
              <w:jc w:val="center"/>
              <w:rPr>
                <w:sz w:val="20"/>
              </w:rPr>
            </w:pPr>
            <w:r>
              <w:rPr>
                <w:sz w:val="20"/>
              </w:rPr>
              <w:t>FDA-DV</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Diaries and Calendars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Disinfectants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0"/>
              <w:jc w:val="center"/>
              <w:rPr>
                <w:sz w:val="20"/>
              </w:rPr>
            </w:pPr>
            <w:r>
              <w:rPr>
                <w:sz w:val="20"/>
              </w:rPr>
              <w:t>EPA</w:t>
            </w:r>
          </w:p>
        </w:tc>
      </w:tr>
      <w:tr>
        <w:trPr>
          <w:trHeight w:val="2387"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Drugs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ight="125"/>
              <w:rPr>
                <w:sz w:val="20"/>
              </w:rPr>
            </w:pPr>
            <w:r>
              <w:rPr>
                <w:sz w:val="20"/>
              </w:rPr>
              <w:t>Defined by Section 201(g)(1) of the Food, Drug, and Cosmetic Act as “(a) articles recognized in the official United States Pharmacopeia, offi- cial Homeopathic Pharmacopeia, or official National Formulary, or any supplement to any of them; and (b) articles intended for use in the diag- nosis, cure, mitigation, treatment, or prevention of disease in man or other animals; and (c) articles (other than food) intended to affect the structure or any function of the body of man or other animals; and</w:t>
            </w:r>
          </w:p>
          <w:p>
            <w:pPr>
              <w:pStyle w:val="TableParagraph"/>
              <w:spacing w:before="1"/>
              <w:ind w:left="112" w:right="232"/>
              <w:jc w:val="both"/>
              <w:rPr>
                <w:sz w:val="20"/>
              </w:rPr>
            </w:pPr>
            <w:r>
              <w:rPr>
                <w:sz w:val="20"/>
              </w:rPr>
              <w:t>(d) articles intended for use as a component of any articles specified in clause (a), (b) or (c); but does not include devices or their components, parts, or accessories.”</w:t>
            </w:r>
          </w:p>
        </w:tc>
        <w:tc>
          <w:tcPr>
            <w:tcW w:w="1024" w:type="dxa"/>
            <w:tcBorders>
              <w:top w:val="single" w:sz="6" w:space="0" w:color="000000"/>
              <w:left w:val="single" w:sz="6" w:space="0" w:color="000000"/>
              <w:bottom w:val="single" w:sz="6" w:space="0" w:color="000000"/>
            </w:tcBorders>
          </w:tcPr>
          <w:p>
            <w:pPr>
              <w:pStyle w:val="TableParagraph"/>
              <w:spacing w:before="0"/>
              <w:rPr>
                <w:sz w:val="22"/>
              </w:rPr>
            </w:pPr>
          </w:p>
          <w:p>
            <w:pPr>
              <w:pStyle w:val="TableParagraph"/>
              <w:spacing w:before="0"/>
              <w:rPr>
                <w:sz w:val="22"/>
              </w:rPr>
            </w:pPr>
          </w:p>
          <w:p>
            <w:pPr>
              <w:pStyle w:val="TableParagraph"/>
              <w:spacing w:before="0"/>
              <w:rPr>
                <w:sz w:val="22"/>
              </w:rPr>
            </w:pPr>
          </w:p>
          <w:p>
            <w:pPr>
              <w:pStyle w:val="TableParagraph"/>
              <w:spacing w:before="8"/>
              <w:rPr>
                <w:sz w:val="27"/>
              </w:rPr>
            </w:pPr>
          </w:p>
          <w:p>
            <w:pPr>
              <w:pStyle w:val="TableParagraph"/>
              <w:spacing w:before="0"/>
              <w:ind w:left="110" w:right="94"/>
              <w:jc w:val="center"/>
              <w:rPr>
                <w:sz w:val="20"/>
              </w:rPr>
            </w:pPr>
            <w:r>
              <w:rPr>
                <w:sz w:val="20"/>
              </w:rPr>
              <w:t>FDA-D</w:t>
            </w:r>
          </w:p>
        </w:tc>
      </w:tr>
      <w:tr>
        <w:trPr>
          <w:trHeight w:val="544" w:hRule="atLeast"/>
        </w:trPr>
        <w:tc>
          <w:tcPr>
            <w:tcW w:w="2280" w:type="dxa"/>
            <w:tcBorders>
              <w:top w:val="single" w:sz="6" w:space="0" w:color="000000"/>
              <w:bottom w:val="single" w:sz="6" w:space="0" w:color="000000"/>
              <w:right w:val="single" w:sz="6" w:space="0" w:color="000000"/>
            </w:tcBorders>
          </w:tcPr>
          <w:p>
            <w:pPr>
              <w:pStyle w:val="TableParagraph"/>
              <w:ind w:left="105" w:right="588"/>
              <w:rPr>
                <w:sz w:val="20"/>
              </w:rPr>
            </w:pPr>
            <w:r>
              <w:rPr>
                <w:sz w:val="20"/>
              </w:rPr>
              <w:t>Durable Articles or Commodities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spacing w:before="158"/>
              <w:ind w:left="110" w:right="93"/>
              <w:jc w:val="center"/>
              <w:rPr>
                <w:sz w:val="20"/>
              </w:rPr>
            </w:pPr>
            <w:r>
              <w:rPr>
                <w:sz w:val="20"/>
              </w:rPr>
              <w:t>CI</w:t>
            </w:r>
          </w:p>
        </w:tc>
      </w:tr>
      <w:tr>
        <w:trPr>
          <w:trHeight w:val="776" w:hRule="atLeast"/>
        </w:trPr>
        <w:tc>
          <w:tcPr>
            <w:tcW w:w="2280" w:type="dxa"/>
            <w:tcBorders>
              <w:top w:val="single" w:sz="6" w:space="0" w:color="000000"/>
              <w:bottom w:val="single" w:sz="6" w:space="0" w:color="000000"/>
              <w:right w:val="single" w:sz="6" w:space="0" w:color="000000"/>
            </w:tcBorders>
          </w:tcPr>
          <w:p>
            <w:pPr>
              <w:pStyle w:val="TableParagraph"/>
              <w:spacing w:before="9"/>
              <w:rPr>
                <w:sz w:val="23"/>
              </w:rPr>
            </w:pPr>
          </w:p>
          <w:p>
            <w:pPr>
              <w:pStyle w:val="TableParagraph"/>
              <w:spacing w:before="0"/>
              <w:ind w:left="105"/>
              <w:rPr>
                <w:sz w:val="20"/>
              </w:rPr>
            </w:pPr>
            <w:r>
              <w:rPr>
                <w:sz w:val="20"/>
              </w:rPr>
              <w:t>EPA Covered Products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ight="289"/>
              <w:jc w:val="both"/>
              <w:rPr>
                <w:sz w:val="20"/>
              </w:rPr>
            </w:pPr>
            <w:r>
              <w:rPr>
                <w:sz w:val="20"/>
              </w:rPr>
              <w:t>Products subject to regulation under the Federal Environmental Pesti- cide Control Act that is administered by the Environmental Protection Agency.</w:t>
            </w:r>
          </w:p>
        </w:tc>
        <w:tc>
          <w:tcPr>
            <w:tcW w:w="1024" w:type="dxa"/>
            <w:tcBorders>
              <w:top w:val="single" w:sz="6" w:space="0" w:color="000000"/>
              <w:left w:val="single" w:sz="6" w:space="0" w:color="000000"/>
              <w:bottom w:val="single" w:sz="6" w:space="0" w:color="000000"/>
            </w:tcBorders>
          </w:tcPr>
          <w:p>
            <w:pPr>
              <w:pStyle w:val="TableParagraph"/>
              <w:spacing w:before="9"/>
              <w:rPr>
                <w:sz w:val="23"/>
              </w:rPr>
            </w:pPr>
          </w:p>
          <w:p>
            <w:pPr>
              <w:pStyle w:val="TableParagraph"/>
              <w:spacing w:before="0"/>
              <w:ind w:left="110" w:right="90"/>
              <w:jc w:val="center"/>
              <w:rPr>
                <w:sz w:val="20"/>
              </w:rPr>
            </w:pPr>
            <w:r>
              <w:rPr>
                <w:sz w:val="20"/>
              </w:rPr>
              <w:t>EPA</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Fingernail Files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1235" w:hRule="atLeast"/>
        </w:trPr>
        <w:tc>
          <w:tcPr>
            <w:tcW w:w="2280" w:type="dxa"/>
            <w:tcBorders>
              <w:top w:val="single" w:sz="6" w:space="0" w:color="000000"/>
              <w:bottom w:val="single" w:sz="6" w:space="0" w:color="000000"/>
              <w:right w:val="single" w:sz="6" w:space="0" w:color="000000"/>
            </w:tcBorders>
          </w:tcPr>
          <w:p>
            <w:pPr>
              <w:pStyle w:val="TableParagraph"/>
              <w:ind w:left="105" w:right="160"/>
              <w:rPr>
                <w:sz w:val="20"/>
              </w:rPr>
            </w:pPr>
            <w:r>
              <w:rPr>
                <w:sz w:val="20"/>
              </w:rPr>
              <w:t>Flowers, Flower Seeds, Fertilizer, and Fertilizer Materials, Plants or Shrubs, Garden and Lawn Supplies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spacing w:before="0"/>
              <w:rPr>
                <w:sz w:val="22"/>
              </w:rPr>
            </w:pPr>
          </w:p>
          <w:p>
            <w:pPr>
              <w:pStyle w:val="TableParagraph"/>
              <w:spacing w:before="7"/>
              <w:rPr>
                <w:sz w:val="21"/>
              </w:rPr>
            </w:pPr>
          </w:p>
          <w:p>
            <w:pPr>
              <w:pStyle w:val="TableParagraph"/>
              <w:spacing w:before="0"/>
              <w:ind w:left="110" w:right="93"/>
              <w:jc w:val="center"/>
              <w:rPr>
                <w:sz w:val="20"/>
              </w:rPr>
            </w:pPr>
            <w:r>
              <w:rPr>
                <w:sz w:val="20"/>
              </w:rPr>
              <w:t>CI</w:t>
            </w:r>
          </w:p>
        </w:tc>
      </w:tr>
      <w:tr>
        <w:trPr>
          <w:trHeight w:val="777"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Food</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Defined by Section 201(f) of the Food, Drug, and Cosmetic Act</w:t>
            </w:r>
            <w:r>
              <w:rPr>
                <w:spacing w:val="-26"/>
                <w:sz w:val="20"/>
              </w:rPr>
              <w:t> </w:t>
            </w:r>
            <w:r>
              <w:rPr>
                <w:sz w:val="20"/>
              </w:rPr>
              <w:t>as</w:t>
            </w:r>
          </w:p>
          <w:p>
            <w:pPr>
              <w:pStyle w:val="TableParagraph"/>
              <w:spacing w:before="1"/>
              <w:ind w:left="112"/>
              <w:rPr>
                <w:sz w:val="20"/>
              </w:rPr>
            </w:pPr>
            <w:r>
              <w:rPr>
                <w:sz w:val="20"/>
              </w:rPr>
              <w:t>“(1) articles used for food and drink for man or other animals, (2)</w:t>
            </w:r>
            <w:r>
              <w:rPr>
                <w:spacing w:val="-31"/>
                <w:sz w:val="20"/>
              </w:rPr>
              <w:t> </w:t>
            </w:r>
            <w:r>
              <w:rPr>
                <w:sz w:val="20"/>
              </w:rPr>
              <w:t>chew- ing gum, and (3) articles used for components of any such</w:t>
            </w:r>
            <w:r>
              <w:rPr>
                <w:spacing w:val="-19"/>
                <w:sz w:val="20"/>
              </w:rPr>
              <w:t> </w:t>
            </w:r>
            <w:r>
              <w:rPr>
                <w:sz w:val="20"/>
              </w:rPr>
              <w:t>article.”</w:t>
            </w:r>
          </w:p>
        </w:tc>
        <w:tc>
          <w:tcPr>
            <w:tcW w:w="1024" w:type="dxa"/>
            <w:tcBorders>
              <w:top w:val="single" w:sz="6" w:space="0" w:color="000000"/>
              <w:left w:val="single" w:sz="6" w:space="0" w:color="000000"/>
              <w:bottom w:val="single" w:sz="6" w:space="0" w:color="000000"/>
            </w:tcBorders>
          </w:tcPr>
          <w:p>
            <w:pPr>
              <w:pStyle w:val="TableParagraph"/>
              <w:spacing w:before="9"/>
              <w:rPr>
                <w:sz w:val="23"/>
              </w:rPr>
            </w:pPr>
          </w:p>
          <w:p>
            <w:pPr>
              <w:pStyle w:val="TableParagraph"/>
              <w:spacing w:before="0"/>
              <w:ind w:left="110" w:right="94"/>
              <w:jc w:val="center"/>
              <w:rPr>
                <w:sz w:val="20"/>
              </w:rPr>
            </w:pPr>
            <w:r>
              <w:rPr>
                <w:sz w:val="20"/>
              </w:rPr>
              <w:t>FDA-F</w:t>
            </w:r>
          </w:p>
        </w:tc>
      </w:tr>
      <w:tr>
        <w:trPr>
          <w:trHeight w:val="774" w:hRule="atLeast"/>
        </w:trPr>
        <w:tc>
          <w:tcPr>
            <w:tcW w:w="2280" w:type="dxa"/>
            <w:tcBorders>
              <w:top w:val="single" w:sz="6" w:space="0" w:color="000000"/>
              <w:bottom w:val="single" w:sz="6" w:space="0" w:color="000000"/>
              <w:right w:val="single" w:sz="6" w:space="0" w:color="000000"/>
            </w:tcBorders>
          </w:tcPr>
          <w:p>
            <w:pPr>
              <w:pStyle w:val="TableParagraph"/>
              <w:ind w:left="105" w:right="145"/>
              <w:jc w:val="both"/>
              <w:rPr>
                <w:sz w:val="20"/>
              </w:rPr>
            </w:pPr>
            <w:r>
              <w:rPr>
                <w:sz w:val="20"/>
              </w:rPr>
              <w:t>Fountain Pens, Mechani- cal Pencils, and Kindred Products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Ball point pens, lead pencils, and lead refills, etc.</w:t>
            </w:r>
          </w:p>
        </w:tc>
        <w:tc>
          <w:tcPr>
            <w:tcW w:w="1024" w:type="dxa"/>
            <w:tcBorders>
              <w:top w:val="single" w:sz="6" w:space="0" w:color="000000"/>
              <w:left w:val="single" w:sz="6" w:space="0" w:color="000000"/>
              <w:bottom w:val="single" w:sz="6" w:space="0" w:color="000000"/>
            </w:tcBorders>
          </w:tcPr>
          <w:p>
            <w:pPr>
              <w:pStyle w:val="TableParagraph"/>
              <w:spacing w:before="6"/>
              <w:rPr>
                <w:sz w:val="23"/>
              </w:rPr>
            </w:pPr>
          </w:p>
          <w:p>
            <w:pPr>
              <w:pStyle w:val="TableParagraph"/>
              <w:spacing w:before="1"/>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Garden Tools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Hoses, trowels, grass clippers, etc.</w:t>
            </w: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546" w:hRule="atLeast"/>
        </w:trPr>
        <w:tc>
          <w:tcPr>
            <w:tcW w:w="2280" w:type="dxa"/>
            <w:tcBorders>
              <w:top w:val="single" w:sz="6" w:space="0" w:color="000000"/>
              <w:bottom w:val="single" w:sz="6" w:space="0" w:color="000000"/>
              <w:right w:val="single" w:sz="6" w:space="0" w:color="000000"/>
            </w:tcBorders>
          </w:tcPr>
          <w:p>
            <w:pPr>
              <w:pStyle w:val="TableParagraph"/>
              <w:ind w:left="105" w:right="338"/>
              <w:rPr>
                <w:sz w:val="20"/>
              </w:rPr>
            </w:pPr>
            <w:r>
              <w:rPr>
                <w:sz w:val="20"/>
              </w:rPr>
              <w:t>Germ Killing or Germ Proofing Products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spacing w:before="158"/>
              <w:ind w:left="110" w:right="90"/>
              <w:jc w:val="center"/>
              <w:rPr>
                <w:sz w:val="20"/>
              </w:rPr>
            </w:pPr>
            <w:r>
              <w:rPr>
                <w:sz w:val="20"/>
              </w:rPr>
              <w:t>EPA</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Gift Tape and Ties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Ribbon, tape, etc.</w:t>
            </w: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Gift Wrapping Material</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Decorative wrapping foil, paper, cellophane, etc.</w:t>
            </w: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3"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Glasses and Glassware</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Disposable plastic glasses are not excluded</w:t>
            </w: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8"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Gloves (of Any Type)</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bl>
    <w:p>
      <w:pPr>
        <w:spacing w:after="0"/>
        <w:jc w:val="center"/>
        <w:rPr>
          <w:sz w:val="20"/>
        </w:rPr>
        <w:sectPr>
          <w:pgSz w:w="12240" w:h="15840"/>
          <w:pgMar w:header="730" w:footer="740" w:top="1340" w:bottom="940" w:left="1260" w:right="1020"/>
        </w:sectPr>
      </w:pPr>
    </w:p>
    <w:p>
      <w:pPr>
        <w:pStyle w:val="BodyText"/>
        <w:spacing w:before="5"/>
        <w:rPr>
          <w:sz w:val="8"/>
        </w:rPr>
      </w:pPr>
    </w:p>
    <w:tbl>
      <w:tblPr>
        <w:tblW w:w="0" w:type="auto"/>
        <w:jc w:val="left"/>
        <w:tblInd w:w="20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280"/>
        <w:gridCol w:w="6026"/>
        <w:gridCol w:w="1024"/>
      </w:tblGrid>
      <w:tr>
        <w:trPr>
          <w:trHeight w:val="361" w:hRule="atLeast"/>
        </w:trPr>
        <w:tc>
          <w:tcPr>
            <w:tcW w:w="9330" w:type="dxa"/>
            <w:gridSpan w:val="3"/>
          </w:tcPr>
          <w:p>
            <w:pPr>
              <w:pStyle w:val="TableParagraph"/>
              <w:spacing w:before="41"/>
              <w:ind w:left="2267"/>
              <w:rPr>
                <w:b/>
                <w:sz w:val="24"/>
              </w:rPr>
            </w:pPr>
            <w:r>
              <w:rPr>
                <w:b/>
                <w:sz w:val="24"/>
              </w:rPr>
              <w:t>Commodities Excluded from FTC Jurisdiction</w:t>
            </w:r>
          </w:p>
        </w:tc>
      </w:tr>
      <w:tr>
        <w:trPr>
          <w:trHeight w:val="776" w:hRule="atLeast"/>
        </w:trPr>
        <w:tc>
          <w:tcPr>
            <w:tcW w:w="2280" w:type="dxa"/>
            <w:tcBorders>
              <w:bottom w:val="single" w:sz="6" w:space="0" w:color="000000"/>
              <w:right w:val="single" w:sz="6" w:space="0" w:color="000000"/>
            </w:tcBorders>
          </w:tcPr>
          <w:p>
            <w:pPr>
              <w:pStyle w:val="TableParagraph"/>
              <w:spacing w:before="9"/>
              <w:rPr>
                <w:sz w:val="23"/>
              </w:rPr>
            </w:pPr>
          </w:p>
          <w:p>
            <w:pPr>
              <w:pStyle w:val="TableParagraph"/>
              <w:spacing w:before="0"/>
              <w:ind w:left="869" w:right="869"/>
              <w:jc w:val="center"/>
              <w:rPr>
                <w:b/>
                <w:sz w:val="20"/>
              </w:rPr>
            </w:pPr>
            <w:r>
              <w:rPr>
                <w:b/>
                <w:sz w:val="20"/>
              </w:rPr>
              <w:t>Term</w:t>
            </w:r>
          </w:p>
        </w:tc>
        <w:tc>
          <w:tcPr>
            <w:tcW w:w="6026" w:type="dxa"/>
            <w:tcBorders>
              <w:left w:val="single" w:sz="6" w:space="0" w:color="000000"/>
              <w:bottom w:val="single" w:sz="6" w:space="0" w:color="000000"/>
              <w:right w:val="single" w:sz="6" w:space="0" w:color="000000"/>
            </w:tcBorders>
          </w:tcPr>
          <w:p>
            <w:pPr>
              <w:pStyle w:val="TableParagraph"/>
              <w:spacing w:before="9"/>
              <w:rPr>
                <w:sz w:val="23"/>
              </w:rPr>
            </w:pPr>
          </w:p>
          <w:p>
            <w:pPr>
              <w:pStyle w:val="TableParagraph"/>
              <w:spacing w:before="0"/>
              <w:ind w:left="2493" w:right="2488"/>
              <w:jc w:val="center"/>
              <w:rPr>
                <w:b/>
                <w:sz w:val="20"/>
              </w:rPr>
            </w:pPr>
            <w:r>
              <w:rPr>
                <w:b/>
                <w:sz w:val="20"/>
              </w:rPr>
              <w:t>Description</w:t>
            </w:r>
          </w:p>
        </w:tc>
        <w:tc>
          <w:tcPr>
            <w:tcW w:w="1024" w:type="dxa"/>
            <w:tcBorders>
              <w:left w:val="single" w:sz="6" w:space="0" w:color="000000"/>
              <w:bottom w:val="single" w:sz="6" w:space="0" w:color="000000"/>
            </w:tcBorders>
          </w:tcPr>
          <w:p>
            <w:pPr>
              <w:pStyle w:val="TableParagraph"/>
              <w:spacing w:line="229" w:lineRule="exact" w:before="45"/>
              <w:ind w:left="146"/>
              <w:rPr>
                <w:b/>
                <w:sz w:val="20"/>
              </w:rPr>
            </w:pPr>
            <w:r>
              <w:rPr>
                <w:b/>
                <w:sz w:val="20"/>
              </w:rPr>
              <w:t>FTC Ju-</w:t>
            </w:r>
          </w:p>
          <w:p>
            <w:pPr>
              <w:pStyle w:val="TableParagraph"/>
              <w:spacing w:before="0"/>
              <w:ind w:left="343" w:hanging="106"/>
              <w:rPr>
                <w:b/>
                <w:sz w:val="20"/>
              </w:rPr>
            </w:pPr>
            <w:r>
              <w:rPr>
                <w:b/>
                <w:w w:val="95"/>
                <w:sz w:val="20"/>
              </w:rPr>
              <w:t>risdic- </w:t>
            </w:r>
            <w:r>
              <w:rPr>
                <w:b/>
                <w:sz w:val="20"/>
              </w:rPr>
              <w:t>tion</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Greeting Cards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546" w:hRule="atLeast"/>
        </w:trPr>
        <w:tc>
          <w:tcPr>
            <w:tcW w:w="2280" w:type="dxa"/>
            <w:tcBorders>
              <w:top w:val="single" w:sz="6" w:space="0" w:color="000000"/>
              <w:bottom w:val="single" w:sz="6" w:space="0" w:color="000000"/>
              <w:right w:val="single" w:sz="6" w:space="0" w:color="000000"/>
            </w:tcBorders>
          </w:tcPr>
          <w:p>
            <w:pPr>
              <w:pStyle w:val="TableParagraph"/>
              <w:ind w:left="105" w:right="160"/>
              <w:rPr>
                <w:sz w:val="20"/>
              </w:rPr>
            </w:pPr>
            <w:r>
              <w:rPr>
                <w:sz w:val="20"/>
              </w:rPr>
              <w:t>Hair Combs, Nets, and Pins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spacing w:before="158"/>
              <w:ind w:left="110" w:right="94"/>
              <w:jc w:val="center"/>
              <w:rPr>
                <w:sz w:val="20"/>
              </w:rPr>
            </w:pPr>
            <w:r>
              <w:rPr>
                <w:sz w:val="20"/>
              </w:rPr>
              <w:t>FDA-DV</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Hand Tools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544"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Handicraft and Sewing Thread</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Yarn, etc.</w:t>
            </w:r>
          </w:p>
        </w:tc>
        <w:tc>
          <w:tcPr>
            <w:tcW w:w="1024" w:type="dxa"/>
            <w:tcBorders>
              <w:top w:val="single" w:sz="6" w:space="0" w:color="000000"/>
              <w:left w:val="single" w:sz="6" w:space="0" w:color="000000"/>
              <w:bottom w:val="single" w:sz="6" w:space="0" w:color="000000"/>
            </w:tcBorders>
          </w:tcPr>
          <w:p>
            <w:pPr>
              <w:pStyle w:val="TableParagraph"/>
              <w:spacing w:before="158"/>
              <w:ind w:left="110" w:right="93"/>
              <w:jc w:val="center"/>
              <w:rPr>
                <w:sz w:val="20"/>
              </w:rPr>
            </w:pPr>
            <w:r>
              <w:rPr>
                <w:sz w:val="20"/>
              </w:rPr>
              <w:t>CI</w:t>
            </w:r>
          </w:p>
        </w:tc>
      </w:tr>
      <w:tr>
        <w:trPr>
          <w:trHeight w:val="54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Hardware</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ight="141"/>
              <w:rPr>
                <w:sz w:val="20"/>
              </w:rPr>
            </w:pPr>
            <w:r>
              <w:rPr>
                <w:sz w:val="20"/>
              </w:rPr>
              <w:t>Extension cords, thumb-tacks, hose clamps, nails, screws, picture hang- ers, etc.</w:t>
            </w:r>
          </w:p>
        </w:tc>
        <w:tc>
          <w:tcPr>
            <w:tcW w:w="1024" w:type="dxa"/>
            <w:tcBorders>
              <w:top w:val="single" w:sz="6" w:space="0" w:color="000000"/>
              <w:left w:val="single" w:sz="6" w:space="0" w:color="000000"/>
              <w:bottom w:val="single" w:sz="6" w:space="0" w:color="000000"/>
            </w:tcBorders>
          </w:tcPr>
          <w:p>
            <w:pPr>
              <w:pStyle w:val="TableParagraph"/>
              <w:spacing w:before="158"/>
              <w:ind w:left="110" w:right="93"/>
              <w:jc w:val="center"/>
              <w:rPr>
                <w:sz w:val="20"/>
              </w:rPr>
            </w:pPr>
            <w:r>
              <w:rPr>
                <w:sz w:val="20"/>
              </w:rPr>
              <w:t>CI</w:t>
            </w:r>
          </w:p>
        </w:tc>
      </w:tr>
      <w:tr>
        <w:trPr>
          <w:trHeight w:val="2156" w:hRule="atLeast"/>
        </w:trPr>
        <w:tc>
          <w:tcPr>
            <w:tcW w:w="2280" w:type="dxa"/>
            <w:tcBorders>
              <w:top w:val="single" w:sz="6" w:space="0" w:color="000000"/>
              <w:bottom w:val="single" w:sz="6" w:space="0" w:color="000000"/>
              <w:right w:val="single" w:sz="6" w:space="0" w:color="000000"/>
            </w:tcBorders>
          </w:tcPr>
          <w:p>
            <w:pPr>
              <w:pStyle w:val="TableParagraph"/>
              <w:ind w:left="105" w:right="160"/>
              <w:rPr>
                <w:sz w:val="20"/>
              </w:rPr>
            </w:pPr>
            <w:r>
              <w:rPr>
                <w:sz w:val="20"/>
              </w:rPr>
              <w:t>Household Appliances, Equipment, or Furnish- ings, Including Feather and Down-Filled Prod- ucts, Synthetic-Filled Bed Pillows, Mattress Pads and Patchwork Quilts, Comforters, and Decorative Curtains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spacing w:before="0"/>
              <w:rPr>
                <w:sz w:val="22"/>
              </w:rPr>
            </w:pPr>
          </w:p>
          <w:p>
            <w:pPr>
              <w:pStyle w:val="TableParagraph"/>
              <w:spacing w:before="0"/>
              <w:rPr>
                <w:sz w:val="22"/>
              </w:rPr>
            </w:pPr>
          </w:p>
          <w:p>
            <w:pPr>
              <w:pStyle w:val="TableParagraph"/>
              <w:spacing w:before="0"/>
              <w:rPr>
                <w:sz w:val="22"/>
              </w:rPr>
            </w:pPr>
          </w:p>
          <w:p>
            <w:pPr>
              <w:pStyle w:val="TableParagraph"/>
              <w:spacing w:before="8"/>
              <w:rPr>
                <w:sz w:val="17"/>
              </w:rPr>
            </w:pPr>
          </w:p>
          <w:p>
            <w:pPr>
              <w:pStyle w:val="TableParagraph"/>
              <w:spacing w:before="0"/>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Ink</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3"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Insecticides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Insect repellents in any form, mothballs, etc.</w:t>
            </w:r>
          </w:p>
        </w:tc>
        <w:tc>
          <w:tcPr>
            <w:tcW w:w="1024" w:type="dxa"/>
            <w:tcBorders>
              <w:top w:val="single" w:sz="6" w:space="0" w:color="000000"/>
              <w:left w:val="single" w:sz="6" w:space="0" w:color="000000"/>
              <w:bottom w:val="single" w:sz="6" w:space="0" w:color="000000"/>
            </w:tcBorders>
          </w:tcPr>
          <w:p>
            <w:pPr>
              <w:pStyle w:val="TableParagraph"/>
              <w:ind w:left="110" w:right="90"/>
              <w:jc w:val="center"/>
              <w:rPr>
                <w:sz w:val="20"/>
              </w:rPr>
            </w:pPr>
            <w:r>
              <w:rPr>
                <w:sz w:val="20"/>
              </w:rPr>
              <w:t>EPA</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Ironing Board Covers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Jewelry</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Lambs Wool Dusters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Luggage</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546" w:hRule="atLeast"/>
        </w:trPr>
        <w:tc>
          <w:tcPr>
            <w:tcW w:w="2280" w:type="dxa"/>
            <w:tcBorders>
              <w:top w:val="single" w:sz="6" w:space="0" w:color="000000"/>
              <w:bottom w:val="single" w:sz="6" w:space="0" w:color="000000"/>
              <w:right w:val="single" w:sz="6" w:space="0" w:color="000000"/>
            </w:tcBorders>
          </w:tcPr>
          <w:p>
            <w:pPr>
              <w:pStyle w:val="TableParagraph"/>
              <w:ind w:left="105" w:right="494"/>
              <w:rPr>
                <w:sz w:val="20"/>
              </w:rPr>
            </w:pPr>
            <w:r>
              <w:rPr>
                <w:sz w:val="20"/>
              </w:rPr>
              <w:t>Magnetic Recording Tape</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Reels, cassettes, and cartridges.</w:t>
            </w:r>
          </w:p>
        </w:tc>
        <w:tc>
          <w:tcPr>
            <w:tcW w:w="1024" w:type="dxa"/>
            <w:tcBorders>
              <w:top w:val="single" w:sz="6" w:space="0" w:color="000000"/>
              <w:left w:val="single" w:sz="6" w:space="0" w:color="000000"/>
              <w:bottom w:val="single" w:sz="6" w:space="0" w:color="000000"/>
            </w:tcBorders>
          </w:tcPr>
          <w:p>
            <w:pPr>
              <w:pStyle w:val="TableParagraph"/>
              <w:spacing w:before="158"/>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Meat and Meat Products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2"/>
              <w:jc w:val="center"/>
              <w:rPr>
                <w:sz w:val="20"/>
              </w:rPr>
            </w:pPr>
            <w:r>
              <w:rPr>
                <w:sz w:val="20"/>
              </w:rPr>
              <w:t>USDA</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Metal Pails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Motor Oil</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Including additives. Household multi-purpose oil is not excluded.</w:t>
            </w: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3"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Mouse and Rat Traps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Mouthwash</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4"/>
              <w:jc w:val="center"/>
              <w:rPr>
                <w:sz w:val="20"/>
              </w:rPr>
            </w:pPr>
            <w:r>
              <w:rPr>
                <w:sz w:val="20"/>
              </w:rPr>
              <w:t>FDA-D</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Musical Instruments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1007" w:hRule="atLeast"/>
        </w:trPr>
        <w:tc>
          <w:tcPr>
            <w:tcW w:w="2280" w:type="dxa"/>
            <w:tcBorders>
              <w:top w:val="single" w:sz="6" w:space="0" w:color="000000"/>
              <w:bottom w:val="single" w:sz="6" w:space="0" w:color="000000"/>
              <w:right w:val="single" w:sz="6" w:space="0" w:color="000000"/>
            </w:tcBorders>
          </w:tcPr>
          <w:p>
            <w:pPr>
              <w:pStyle w:val="TableParagraph"/>
              <w:ind w:left="105" w:right="104"/>
              <w:rPr>
                <w:sz w:val="20"/>
              </w:rPr>
            </w:pPr>
            <w:r>
              <w:rPr>
                <w:sz w:val="20"/>
              </w:rPr>
              <w:t>Paints and Kindred Prod- ucts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ight="103"/>
              <w:rPr>
                <w:sz w:val="20"/>
              </w:rPr>
            </w:pPr>
            <w:r>
              <w:rPr>
                <w:sz w:val="20"/>
              </w:rPr>
              <w:t>Wallpaper, turpentine, putty, paint removers, caulking and glazing com- pounds, wood fillers, etc. Note, however, that bathroom caulking mate- rials, patching plaster, spackling compound, and plastic wood are not excluded. In the event of uncertainty, contact FTC.</w:t>
            </w:r>
          </w:p>
        </w:tc>
        <w:tc>
          <w:tcPr>
            <w:tcW w:w="1024" w:type="dxa"/>
            <w:tcBorders>
              <w:top w:val="single" w:sz="6" w:space="0" w:color="000000"/>
              <w:left w:val="single" w:sz="6" w:space="0" w:color="000000"/>
              <w:bottom w:val="single" w:sz="6" w:space="0" w:color="000000"/>
            </w:tcBorders>
          </w:tcPr>
          <w:p>
            <w:pPr>
              <w:pStyle w:val="TableParagraph"/>
              <w:spacing w:before="0"/>
              <w:rPr>
                <w:sz w:val="22"/>
              </w:rPr>
            </w:pPr>
          </w:p>
          <w:p>
            <w:pPr>
              <w:pStyle w:val="TableParagraph"/>
              <w:spacing w:before="136"/>
              <w:ind w:left="110" w:right="93"/>
              <w:jc w:val="center"/>
              <w:rPr>
                <w:sz w:val="20"/>
              </w:rPr>
            </w:pPr>
            <w:r>
              <w:rPr>
                <w:sz w:val="20"/>
              </w:rPr>
              <w:t>CI</w:t>
            </w:r>
          </w:p>
        </w:tc>
      </w:tr>
      <w:tr>
        <w:trPr>
          <w:trHeight w:val="544" w:hRule="atLeast"/>
        </w:trPr>
        <w:tc>
          <w:tcPr>
            <w:tcW w:w="2280" w:type="dxa"/>
            <w:tcBorders>
              <w:top w:val="single" w:sz="6" w:space="0" w:color="000000"/>
              <w:bottom w:val="single" w:sz="6" w:space="0" w:color="000000"/>
              <w:right w:val="single" w:sz="6" w:space="0" w:color="000000"/>
            </w:tcBorders>
          </w:tcPr>
          <w:p>
            <w:pPr>
              <w:pStyle w:val="TableParagraph"/>
              <w:ind w:left="105" w:right="610"/>
              <w:rPr>
                <w:sz w:val="20"/>
              </w:rPr>
            </w:pPr>
            <w:r>
              <w:rPr>
                <w:sz w:val="20"/>
              </w:rPr>
              <w:t>Paintings and Wall Plaques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spacing w:before="158"/>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Pet Care Supplies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Pewterware</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Photo Albums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bl>
    <w:p>
      <w:pPr>
        <w:spacing w:after="0"/>
        <w:jc w:val="center"/>
        <w:rPr>
          <w:sz w:val="20"/>
        </w:rPr>
        <w:sectPr>
          <w:pgSz w:w="12240" w:h="15840"/>
          <w:pgMar w:header="730" w:footer="741" w:top="1340" w:bottom="940" w:left="1260" w:right="1020"/>
        </w:sectPr>
      </w:pPr>
    </w:p>
    <w:p>
      <w:pPr>
        <w:pStyle w:val="BodyText"/>
        <w:spacing w:before="9"/>
        <w:rPr>
          <w:sz w:val="25"/>
        </w:rPr>
      </w:pPr>
    </w:p>
    <w:tbl>
      <w:tblPr>
        <w:tblW w:w="0" w:type="auto"/>
        <w:jc w:val="left"/>
        <w:tblInd w:w="20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280"/>
        <w:gridCol w:w="6026"/>
        <w:gridCol w:w="1024"/>
      </w:tblGrid>
      <w:tr>
        <w:trPr>
          <w:trHeight w:val="363" w:hRule="atLeast"/>
        </w:trPr>
        <w:tc>
          <w:tcPr>
            <w:tcW w:w="9330" w:type="dxa"/>
            <w:gridSpan w:val="3"/>
          </w:tcPr>
          <w:p>
            <w:pPr>
              <w:pStyle w:val="TableParagraph"/>
              <w:spacing w:before="44"/>
              <w:ind w:left="2267"/>
              <w:rPr>
                <w:b/>
                <w:sz w:val="24"/>
              </w:rPr>
            </w:pPr>
            <w:r>
              <w:rPr>
                <w:b/>
                <w:sz w:val="24"/>
              </w:rPr>
              <w:t>Commodities Excluded from FTC Jurisdiction</w:t>
            </w:r>
          </w:p>
        </w:tc>
      </w:tr>
      <w:tr>
        <w:trPr>
          <w:trHeight w:val="774" w:hRule="atLeast"/>
        </w:trPr>
        <w:tc>
          <w:tcPr>
            <w:tcW w:w="2280" w:type="dxa"/>
            <w:tcBorders>
              <w:bottom w:val="single" w:sz="6" w:space="0" w:color="000000"/>
              <w:right w:val="single" w:sz="6" w:space="0" w:color="000000"/>
            </w:tcBorders>
          </w:tcPr>
          <w:p>
            <w:pPr>
              <w:pStyle w:val="TableParagraph"/>
              <w:spacing w:before="9"/>
              <w:rPr>
                <w:sz w:val="23"/>
              </w:rPr>
            </w:pPr>
          </w:p>
          <w:p>
            <w:pPr>
              <w:pStyle w:val="TableParagraph"/>
              <w:spacing w:before="0"/>
              <w:ind w:left="869" w:right="869"/>
              <w:jc w:val="center"/>
              <w:rPr>
                <w:b/>
                <w:sz w:val="20"/>
              </w:rPr>
            </w:pPr>
            <w:r>
              <w:rPr>
                <w:b/>
                <w:sz w:val="20"/>
              </w:rPr>
              <w:t>Term</w:t>
            </w:r>
          </w:p>
        </w:tc>
        <w:tc>
          <w:tcPr>
            <w:tcW w:w="6026" w:type="dxa"/>
            <w:tcBorders>
              <w:left w:val="single" w:sz="6" w:space="0" w:color="000000"/>
              <w:bottom w:val="single" w:sz="6" w:space="0" w:color="000000"/>
              <w:right w:val="single" w:sz="6" w:space="0" w:color="000000"/>
            </w:tcBorders>
          </w:tcPr>
          <w:p>
            <w:pPr>
              <w:pStyle w:val="TableParagraph"/>
              <w:spacing w:before="9"/>
              <w:rPr>
                <w:sz w:val="23"/>
              </w:rPr>
            </w:pPr>
          </w:p>
          <w:p>
            <w:pPr>
              <w:pStyle w:val="TableParagraph"/>
              <w:spacing w:before="0"/>
              <w:ind w:left="2493" w:right="2488"/>
              <w:jc w:val="center"/>
              <w:rPr>
                <w:b/>
                <w:sz w:val="20"/>
              </w:rPr>
            </w:pPr>
            <w:r>
              <w:rPr>
                <w:b/>
                <w:sz w:val="20"/>
              </w:rPr>
              <w:t>Description</w:t>
            </w:r>
          </w:p>
        </w:tc>
        <w:tc>
          <w:tcPr>
            <w:tcW w:w="1024" w:type="dxa"/>
            <w:tcBorders>
              <w:left w:val="single" w:sz="6" w:space="0" w:color="000000"/>
              <w:bottom w:val="single" w:sz="6" w:space="0" w:color="000000"/>
            </w:tcBorders>
          </w:tcPr>
          <w:p>
            <w:pPr>
              <w:pStyle w:val="TableParagraph"/>
              <w:ind w:left="146"/>
              <w:rPr>
                <w:b/>
                <w:sz w:val="20"/>
              </w:rPr>
            </w:pPr>
            <w:r>
              <w:rPr>
                <w:b/>
                <w:sz w:val="20"/>
              </w:rPr>
              <w:t>FTC Ju-</w:t>
            </w:r>
          </w:p>
          <w:p>
            <w:pPr>
              <w:pStyle w:val="TableParagraph"/>
              <w:spacing w:before="0"/>
              <w:ind w:left="343" w:hanging="106"/>
              <w:rPr>
                <w:b/>
                <w:sz w:val="20"/>
              </w:rPr>
            </w:pPr>
            <w:r>
              <w:rPr>
                <w:b/>
                <w:w w:val="95"/>
                <w:sz w:val="20"/>
              </w:rPr>
              <w:t>risdic- </w:t>
            </w:r>
            <w:r>
              <w:rPr>
                <w:b/>
                <w:sz w:val="20"/>
              </w:rPr>
              <w:t>tion</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Pictures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546" w:hRule="atLeast"/>
        </w:trPr>
        <w:tc>
          <w:tcPr>
            <w:tcW w:w="2280" w:type="dxa"/>
            <w:tcBorders>
              <w:top w:val="single" w:sz="6" w:space="0" w:color="000000"/>
              <w:bottom w:val="single" w:sz="6" w:space="0" w:color="000000"/>
              <w:right w:val="single" w:sz="6" w:space="0" w:color="000000"/>
            </w:tcBorders>
          </w:tcPr>
          <w:p>
            <w:pPr>
              <w:pStyle w:val="TableParagraph"/>
              <w:ind w:left="105" w:right="149"/>
              <w:rPr>
                <w:sz w:val="20"/>
              </w:rPr>
            </w:pPr>
            <w:r>
              <w:rPr>
                <w:sz w:val="20"/>
              </w:rPr>
              <w:t>Plastic Buckets and Gar- bage Cans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spacing w:before="158"/>
              <w:ind w:left="110" w:right="93"/>
              <w:jc w:val="center"/>
              <w:rPr>
                <w:sz w:val="20"/>
              </w:rPr>
            </w:pPr>
            <w:r>
              <w:rPr>
                <w:sz w:val="20"/>
              </w:rPr>
              <w:t>CI</w:t>
            </w:r>
          </w:p>
        </w:tc>
      </w:tr>
      <w:tr>
        <w:trPr>
          <w:trHeight w:val="546" w:hRule="atLeast"/>
        </w:trPr>
        <w:tc>
          <w:tcPr>
            <w:tcW w:w="2280" w:type="dxa"/>
            <w:tcBorders>
              <w:top w:val="single" w:sz="6" w:space="0" w:color="000000"/>
              <w:bottom w:val="single" w:sz="6" w:space="0" w:color="000000"/>
              <w:right w:val="single" w:sz="6" w:space="0" w:color="000000"/>
            </w:tcBorders>
          </w:tcPr>
          <w:p>
            <w:pPr>
              <w:pStyle w:val="TableParagraph"/>
              <w:ind w:left="105" w:right="116"/>
              <w:rPr>
                <w:sz w:val="20"/>
              </w:rPr>
            </w:pPr>
            <w:r>
              <w:rPr>
                <w:sz w:val="20"/>
              </w:rPr>
              <w:t>Plastic Tablecloths, Plas- tic Place Mats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spacing w:before="158"/>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Plastic Shelf Lining</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544" w:hRule="atLeast"/>
        </w:trPr>
        <w:tc>
          <w:tcPr>
            <w:tcW w:w="2280" w:type="dxa"/>
            <w:tcBorders>
              <w:top w:val="single" w:sz="6" w:space="0" w:color="000000"/>
              <w:bottom w:val="single" w:sz="6" w:space="0" w:color="000000"/>
              <w:right w:val="single" w:sz="6" w:space="0" w:color="000000"/>
            </w:tcBorders>
          </w:tcPr>
          <w:p>
            <w:pPr>
              <w:pStyle w:val="TableParagraph"/>
              <w:ind w:left="105" w:right="482"/>
              <w:rPr>
                <w:sz w:val="20"/>
              </w:rPr>
            </w:pPr>
            <w:r>
              <w:rPr>
                <w:w w:val="95"/>
                <w:sz w:val="20"/>
              </w:rPr>
              <w:t>Pre-Moistened </w:t>
            </w:r>
            <w:r>
              <w:rPr>
                <w:sz w:val="20"/>
              </w:rPr>
              <w:t>Towelettes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spacing w:before="158"/>
              <w:ind w:left="108" w:right="94"/>
              <w:jc w:val="center"/>
              <w:rPr>
                <w:sz w:val="20"/>
              </w:rPr>
            </w:pPr>
            <w:r>
              <w:rPr>
                <w:sz w:val="20"/>
              </w:rPr>
              <w:t>FDA-C</w:t>
            </w:r>
          </w:p>
        </w:tc>
      </w:tr>
      <w:tr>
        <w:trPr>
          <w:trHeight w:val="546" w:hRule="atLeast"/>
        </w:trPr>
        <w:tc>
          <w:tcPr>
            <w:tcW w:w="2280" w:type="dxa"/>
            <w:tcBorders>
              <w:top w:val="single" w:sz="6" w:space="0" w:color="000000"/>
              <w:bottom w:val="single" w:sz="6" w:space="0" w:color="000000"/>
              <w:right w:val="single" w:sz="6" w:space="0" w:color="000000"/>
            </w:tcBorders>
          </w:tcPr>
          <w:p>
            <w:pPr>
              <w:pStyle w:val="TableParagraph"/>
              <w:spacing w:before="158"/>
              <w:ind w:left="105"/>
              <w:rPr>
                <w:sz w:val="20"/>
              </w:rPr>
            </w:pPr>
            <w:r>
              <w:rPr>
                <w:sz w:val="20"/>
              </w:rPr>
              <w:t>Polishing Cloths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Polishing cloths that are impregnated with polish or chemicals (silicone, etc.) are not excluded.</w:t>
            </w:r>
          </w:p>
        </w:tc>
        <w:tc>
          <w:tcPr>
            <w:tcW w:w="1024" w:type="dxa"/>
            <w:tcBorders>
              <w:top w:val="single" w:sz="6" w:space="0" w:color="000000"/>
              <w:left w:val="single" w:sz="6" w:space="0" w:color="000000"/>
              <w:bottom w:val="single" w:sz="6" w:space="0" w:color="000000"/>
            </w:tcBorders>
          </w:tcPr>
          <w:p>
            <w:pPr>
              <w:pStyle w:val="TableParagraph"/>
              <w:spacing w:before="158"/>
              <w:ind w:left="110" w:right="93"/>
              <w:jc w:val="center"/>
              <w:rPr>
                <w:sz w:val="20"/>
              </w:rPr>
            </w:pPr>
            <w:r>
              <w:rPr>
                <w:sz w:val="20"/>
              </w:rPr>
              <w:t>CI</w:t>
            </w:r>
          </w:p>
        </w:tc>
      </w:tr>
      <w:tr>
        <w:trPr>
          <w:trHeight w:val="546" w:hRule="atLeast"/>
        </w:trPr>
        <w:tc>
          <w:tcPr>
            <w:tcW w:w="2280" w:type="dxa"/>
            <w:tcBorders>
              <w:top w:val="single" w:sz="6" w:space="0" w:color="000000"/>
              <w:bottom w:val="single" w:sz="6" w:space="0" w:color="000000"/>
              <w:right w:val="single" w:sz="6" w:space="0" w:color="000000"/>
            </w:tcBorders>
          </w:tcPr>
          <w:p>
            <w:pPr>
              <w:pStyle w:val="TableParagraph"/>
              <w:ind w:left="105" w:right="565"/>
              <w:rPr>
                <w:sz w:val="20"/>
              </w:rPr>
            </w:pPr>
            <w:r>
              <w:rPr>
                <w:sz w:val="20"/>
              </w:rPr>
              <w:t>Poultry and Poultry Products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spacing w:before="158"/>
              <w:ind w:left="110" w:right="92"/>
              <w:jc w:val="center"/>
              <w:rPr>
                <w:sz w:val="20"/>
              </w:rPr>
            </w:pPr>
            <w:r>
              <w:rPr>
                <w:sz w:val="20"/>
              </w:rPr>
              <w:t>USDA</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Rubber Gloves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Rubbing Alcohol</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4"/>
              <w:jc w:val="center"/>
              <w:rPr>
                <w:sz w:val="20"/>
              </w:rPr>
            </w:pPr>
            <w:r>
              <w:rPr>
                <w:sz w:val="20"/>
              </w:rPr>
              <w:t>FDA-D</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Safety Flares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Safety Pins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544" w:hRule="atLeast"/>
        </w:trPr>
        <w:tc>
          <w:tcPr>
            <w:tcW w:w="2280" w:type="dxa"/>
            <w:tcBorders>
              <w:top w:val="single" w:sz="6" w:space="0" w:color="000000"/>
              <w:bottom w:val="single" w:sz="6" w:space="0" w:color="000000"/>
              <w:right w:val="single" w:sz="6" w:space="0" w:color="000000"/>
            </w:tcBorders>
          </w:tcPr>
          <w:p>
            <w:pPr>
              <w:pStyle w:val="TableParagraph"/>
              <w:spacing w:before="156"/>
              <w:ind w:left="105"/>
              <w:rPr>
                <w:sz w:val="20"/>
              </w:rPr>
            </w:pPr>
            <w:r>
              <w:rPr>
                <w:sz w:val="20"/>
              </w:rPr>
              <w:t>Sanitary Napkins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spacing w:line="229" w:lineRule="exact"/>
              <w:ind w:left="110" w:right="94"/>
              <w:jc w:val="center"/>
              <w:rPr>
                <w:sz w:val="20"/>
              </w:rPr>
            </w:pPr>
            <w:r>
              <w:rPr>
                <w:sz w:val="20"/>
              </w:rPr>
              <w:t>FDA-D</w:t>
            </w:r>
          </w:p>
          <w:p>
            <w:pPr>
              <w:pStyle w:val="TableParagraph"/>
              <w:spacing w:line="229" w:lineRule="exact" w:before="0"/>
              <w:ind w:left="110" w:right="93"/>
              <w:jc w:val="center"/>
              <w:rPr>
                <w:sz w:val="20"/>
              </w:rPr>
            </w:pPr>
            <w:r>
              <w:rPr>
                <w:sz w:val="20"/>
              </w:rPr>
              <w:t>or C</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School Supplies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Rulers, crayons, paper, pencils, etc.</w:t>
            </w: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546" w:hRule="atLeast"/>
        </w:trPr>
        <w:tc>
          <w:tcPr>
            <w:tcW w:w="2280" w:type="dxa"/>
            <w:tcBorders>
              <w:top w:val="single" w:sz="6" w:space="0" w:color="000000"/>
              <w:bottom w:val="single" w:sz="6" w:space="0" w:color="000000"/>
              <w:right w:val="single" w:sz="6" w:space="0" w:color="000000"/>
            </w:tcBorders>
          </w:tcPr>
          <w:p>
            <w:pPr>
              <w:pStyle w:val="TableParagraph"/>
              <w:ind w:left="105" w:right="110"/>
              <w:rPr>
                <w:sz w:val="20"/>
              </w:rPr>
            </w:pPr>
            <w:r>
              <w:rPr>
                <w:sz w:val="20"/>
              </w:rPr>
              <w:t>Self-Stick Protective Felt Tabs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spacing w:before="158"/>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Seeds of All Kinds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2"/>
              <w:jc w:val="center"/>
              <w:rPr>
                <w:sz w:val="20"/>
              </w:rPr>
            </w:pPr>
            <w:r>
              <w:rPr>
                <w:sz w:val="20"/>
              </w:rPr>
              <w:t>USDA</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Sewing Accessories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Needles of any type, thimbles, kindred articles, etc.</w:t>
            </w: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544" w:hRule="atLeast"/>
        </w:trPr>
        <w:tc>
          <w:tcPr>
            <w:tcW w:w="2280" w:type="dxa"/>
            <w:tcBorders>
              <w:top w:val="single" w:sz="6" w:space="0" w:color="000000"/>
              <w:bottom w:val="single" w:sz="6" w:space="0" w:color="000000"/>
              <w:right w:val="single" w:sz="6" w:space="0" w:color="000000"/>
            </w:tcBorders>
          </w:tcPr>
          <w:p>
            <w:pPr>
              <w:pStyle w:val="TableParagraph"/>
              <w:spacing w:before="158"/>
              <w:ind w:left="105"/>
              <w:rPr>
                <w:sz w:val="20"/>
              </w:rPr>
            </w:pPr>
            <w:r>
              <w:rPr>
                <w:sz w:val="20"/>
              </w:rPr>
              <w:t>Shampoo</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08" w:right="94"/>
              <w:jc w:val="center"/>
              <w:rPr>
                <w:sz w:val="20"/>
              </w:rPr>
            </w:pPr>
            <w:r>
              <w:rPr>
                <w:sz w:val="20"/>
              </w:rPr>
              <w:t>FDA-C</w:t>
            </w:r>
          </w:p>
          <w:p>
            <w:pPr>
              <w:pStyle w:val="TableParagraph"/>
              <w:spacing w:before="1"/>
              <w:ind w:left="110" w:right="92"/>
              <w:jc w:val="center"/>
              <w:rPr>
                <w:sz w:val="20"/>
              </w:rPr>
            </w:pPr>
            <w:r>
              <w:rPr>
                <w:sz w:val="20"/>
              </w:rPr>
              <w:t>or D</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Shoelaces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Small Arms Ammunition</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777" w:hRule="atLeast"/>
        </w:trPr>
        <w:tc>
          <w:tcPr>
            <w:tcW w:w="2280" w:type="dxa"/>
            <w:tcBorders>
              <w:top w:val="single" w:sz="6" w:space="0" w:color="000000"/>
              <w:bottom w:val="single" w:sz="6" w:space="0" w:color="000000"/>
              <w:right w:val="single" w:sz="6" w:space="0" w:color="000000"/>
            </w:tcBorders>
          </w:tcPr>
          <w:p>
            <w:pPr>
              <w:pStyle w:val="TableParagraph"/>
              <w:ind w:left="105" w:right="283"/>
              <w:rPr>
                <w:sz w:val="20"/>
              </w:rPr>
            </w:pPr>
            <w:r>
              <w:rPr>
                <w:sz w:val="20"/>
              </w:rPr>
              <w:t>Silverware, Stainless Steelware, and Pewter- ware</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spacing w:before="9"/>
              <w:rPr>
                <w:sz w:val="23"/>
              </w:rPr>
            </w:pPr>
          </w:p>
          <w:p>
            <w:pPr>
              <w:pStyle w:val="TableParagraph"/>
              <w:spacing w:before="0"/>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Smoking Pipes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544"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Soap Bars with a Drug Claim</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Including any claim for removing facial blemishes, etc. Refer to Deter- gent Bars for further discussion in this area.</w:t>
            </w:r>
          </w:p>
        </w:tc>
        <w:tc>
          <w:tcPr>
            <w:tcW w:w="1024" w:type="dxa"/>
            <w:tcBorders>
              <w:top w:val="single" w:sz="6" w:space="0" w:color="000000"/>
              <w:left w:val="single" w:sz="6" w:space="0" w:color="000000"/>
              <w:bottom w:val="single" w:sz="6" w:space="0" w:color="000000"/>
            </w:tcBorders>
          </w:tcPr>
          <w:p>
            <w:pPr>
              <w:pStyle w:val="TableParagraph"/>
              <w:spacing w:before="158"/>
              <w:ind w:left="110" w:right="94"/>
              <w:jc w:val="center"/>
              <w:rPr>
                <w:sz w:val="20"/>
              </w:rPr>
            </w:pPr>
            <w:r>
              <w:rPr>
                <w:sz w:val="20"/>
              </w:rPr>
              <w:t>FDA-D</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Soap Dishes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Souvenirs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Sporting Goods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20"/>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546" w:hRule="atLeast"/>
        </w:trPr>
        <w:tc>
          <w:tcPr>
            <w:tcW w:w="2280" w:type="dxa"/>
            <w:tcBorders>
              <w:top w:val="single" w:sz="6" w:space="0" w:color="000000"/>
              <w:bottom w:val="single" w:sz="6" w:space="0" w:color="000000"/>
              <w:right w:val="single" w:sz="6" w:space="0" w:color="000000"/>
            </w:tcBorders>
          </w:tcPr>
          <w:p>
            <w:pPr>
              <w:pStyle w:val="TableParagraph"/>
              <w:ind w:left="105" w:right="299"/>
              <w:rPr>
                <w:sz w:val="20"/>
              </w:rPr>
            </w:pPr>
            <w:r>
              <w:rPr>
                <w:sz w:val="20"/>
              </w:rPr>
              <w:t>Stationery and Writing Supplies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Loose-leaf binders, paper tablets, etc.</w:t>
            </w:r>
          </w:p>
        </w:tc>
        <w:tc>
          <w:tcPr>
            <w:tcW w:w="1024" w:type="dxa"/>
            <w:tcBorders>
              <w:top w:val="single" w:sz="6" w:space="0" w:color="000000"/>
              <w:left w:val="single" w:sz="6" w:space="0" w:color="000000"/>
              <w:bottom w:val="single" w:sz="6" w:space="0" w:color="000000"/>
            </w:tcBorders>
          </w:tcPr>
          <w:p>
            <w:pPr>
              <w:pStyle w:val="TableParagraph"/>
              <w:spacing w:before="158"/>
              <w:ind w:left="110" w:right="93"/>
              <w:jc w:val="center"/>
              <w:rPr>
                <w:sz w:val="20"/>
              </w:rPr>
            </w:pPr>
            <w:r>
              <w:rPr>
                <w:sz w:val="20"/>
              </w:rPr>
              <w:t>CI</w:t>
            </w:r>
          </w:p>
        </w:tc>
      </w:tr>
    </w:tbl>
    <w:p>
      <w:pPr>
        <w:spacing w:after="0"/>
        <w:jc w:val="center"/>
        <w:rPr>
          <w:sz w:val="20"/>
        </w:rPr>
        <w:sectPr>
          <w:pgSz w:w="12240" w:h="15840"/>
          <w:pgMar w:header="730" w:footer="740" w:top="1340" w:bottom="940" w:left="1260" w:right="1020"/>
        </w:sectPr>
      </w:pPr>
    </w:p>
    <w:p>
      <w:pPr>
        <w:pStyle w:val="BodyText"/>
        <w:spacing w:before="5"/>
        <w:rPr>
          <w:sz w:val="8"/>
        </w:rPr>
      </w:pPr>
    </w:p>
    <w:tbl>
      <w:tblPr>
        <w:tblW w:w="0" w:type="auto"/>
        <w:jc w:val="left"/>
        <w:tblInd w:w="20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280"/>
        <w:gridCol w:w="6026"/>
        <w:gridCol w:w="1024"/>
      </w:tblGrid>
      <w:tr>
        <w:trPr>
          <w:trHeight w:val="361" w:hRule="atLeast"/>
        </w:trPr>
        <w:tc>
          <w:tcPr>
            <w:tcW w:w="9330" w:type="dxa"/>
            <w:gridSpan w:val="3"/>
          </w:tcPr>
          <w:p>
            <w:pPr>
              <w:pStyle w:val="TableParagraph"/>
              <w:spacing w:before="41"/>
              <w:ind w:left="2267"/>
              <w:rPr>
                <w:b/>
                <w:sz w:val="24"/>
              </w:rPr>
            </w:pPr>
            <w:r>
              <w:rPr>
                <w:b/>
                <w:sz w:val="24"/>
              </w:rPr>
              <w:t>Commodities Excluded from FTC Jurisdiction</w:t>
            </w:r>
          </w:p>
        </w:tc>
      </w:tr>
      <w:tr>
        <w:trPr>
          <w:trHeight w:val="776" w:hRule="atLeast"/>
        </w:trPr>
        <w:tc>
          <w:tcPr>
            <w:tcW w:w="2280" w:type="dxa"/>
            <w:tcBorders>
              <w:bottom w:val="single" w:sz="6" w:space="0" w:color="000000"/>
              <w:right w:val="single" w:sz="6" w:space="0" w:color="000000"/>
            </w:tcBorders>
          </w:tcPr>
          <w:p>
            <w:pPr>
              <w:pStyle w:val="TableParagraph"/>
              <w:spacing w:before="9"/>
              <w:rPr>
                <w:sz w:val="23"/>
              </w:rPr>
            </w:pPr>
          </w:p>
          <w:p>
            <w:pPr>
              <w:pStyle w:val="TableParagraph"/>
              <w:spacing w:before="0"/>
              <w:ind w:left="869" w:right="869"/>
              <w:jc w:val="center"/>
              <w:rPr>
                <w:b/>
                <w:sz w:val="20"/>
              </w:rPr>
            </w:pPr>
            <w:r>
              <w:rPr>
                <w:b/>
                <w:sz w:val="20"/>
              </w:rPr>
              <w:t>Term</w:t>
            </w:r>
          </w:p>
        </w:tc>
        <w:tc>
          <w:tcPr>
            <w:tcW w:w="6026" w:type="dxa"/>
            <w:tcBorders>
              <w:left w:val="single" w:sz="6" w:space="0" w:color="000000"/>
              <w:bottom w:val="single" w:sz="6" w:space="0" w:color="000000"/>
              <w:right w:val="single" w:sz="6" w:space="0" w:color="000000"/>
            </w:tcBorders>
          </w:tcPr>
          <w:p>
            <w:pPr>
              <w:pStyle w:val="TableParagraph"/>
              <w:spacing w:before="9"/>
              <w:rPr>
                <w:sz w:val="23"/>
              </w:rPr>
            </w:pPr>
          </w:p>
          <w:p>
            <w:pPr>
              <w:pStyle w:val="TableParagraph"/>
              <w:spacing w:before="0"/>
              <w:ind w:left="2493" w:right="2488"/>
              <w:jc w:val="center"/>
              <w:rPr>
                <w:b/>
                <w:sz w:val="20"/>
              </w:rPr>
            </w:pPr>
            <w:r>
              <w:rPr>
                <w:b/>
                <w:sz w:val="20"/>
              </w:rPr>
              <w:t>Description</w:t>
            </w:r>
          </w:p>
        </w:tc>
        <w:tc>
          <w:tcPr>
            <w:tcW w:w="1024" w:type="dxa"/>
            <w:tcBorders>
              <w:left w:val="single" w:sz="6" w:space="0" w:color="000000"/>
              <w:bottom w:val="single" w:sz="6" w:space="0" w:color="000000"/>
            </w:tcBorders>
          </w:tcPr>
          <w:p>
            <w:pPr>
              <w:pStyle w:val="TableParagraph"/>
              <w:spacing w:line="229" w:lineRule="exact" w:before="45"/>
              <w:ind w:left="146"/>
              <w:rPr>
                <w:b/>
                <w:sz w:val="20"/>
              </w:rPr>
            </w:pPr>
            <w:r>
              <w:rPr>
                <w:b/>
                <w:sz w:val="20"/>
              </w:rPr>
              <w:t>FTC Ju-</w:t>
            </w:r>
          </w:p>
          <w:p>
            <w:pPr>
              <w:pStyle w:val="TableParagraph"/>
              <w:spacing w:before="0"/>
              <w:ind w:left="343" w:hanging="106"/>
              <w:rPr>
                <w:b/>
                <w:sz w:val="20"/>
              </w:rPr>
            </w:pPr>
            <w:r>
              <w:rPr>
                <w:b/>
                <w:w w:val="95"/>
                <w:sz w:val="20"/>
              </w:rPr>
              <w:t>risdic- </w:t>
            </w:r>
            <w:r>
              <w:rPr>
                <w:b/>
                <w:sz w:val="20"/>
              </w:rPr>
              <w:t>tion</w:t>
            </w:r>
          </w:p>
        </w:tc>
      </w:tr>
      <w:tr>
        <w:trPr>
          <w:trHeight w:val="546" w:hRule="atLeast"/>
        </w:trPr>
        <w:tc>
          <w:tcPr>
            <w:tcW w:w="2280" w:type="dxa"/>
            <w:tcBorders>
              <w:top w:val="single" w:sz="6" w:space="0" w:color="000000"/>
              <w:bottom w:val="single" w:sz="6" w:space="0" w:color="000000"/>
              <w:right w:val="single" w:sz="6" w:space="0" w:color="000000"/>
            </w:tcBorders>
          </w:tcPr>
          <w:p>
            <w:pPr>
              <w:pStyle w:val="TableParagraph"/>
              <w:ind w:left="105" w:right="438"/>
              <w:rPr>
                <w:sz w:val="20"/>
              </w:rPr>
            </w:pPr>
            <w:r>
              <w:rPr>
                <w:sz w:val="20"/>
              </w:rPr>
              <w:t>Textiles and Items of Wearing Apparel</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Cloth laundry bags, towels, cheese cloth, shoe shine cloths, etc.</w:t>
            </w:r>
          </w:p>
        </w:tc>
        <w:tc>
          <w:tcPr>
            <w:tcW w:w="1024" w:type="dxa"/>
            <w:tcBorders>
              <w:top w:val="single" w:sz="6" w:space="0" w:color="000000"/>
              <w:left w:val="single" w:sz="6" w:space="0" w:color="000000"/>
              <w:bottom w:val="single" w:sz="6" w:space="0" w:color="000000"/>
            </w:tcBorders>
          </w:tcPr>
          <w:p>
            <w:pPr>
              <w:pStyle w:val="TableParagraph"/>
              <w:spacing w:before="158"/>
              <w:ind w:left="110" w:right="93"/>
              <w:jc w:val="center"/>
              <w:rPr>
                <w:sz w:val="20"/>
              </w:rPr>
            </w:pPr>
            <w:r>
              <w:rPr>
                <w:sz w:val="20"/>
              </w:rPr>
              <w:t>CI</w:t>
            </w:r>
          </w:p>
        </w:tc>
      </w:tr>
      <w:tr>
        <w:trPr>
          <w:trHeight w:val="546" w:hRule="atLeast"/>
        </w:trPr>
        <w:tc>
          <w:tcPr>
            <w:tcW w:w="2280" w:type="dxa"/>
            <w:tcBorders>
              <w:top w:val="single" w:sz="6" w:space="0" w:color="000000"/>
              <w:bottom w:val="single" w:sz="6" w:space="0" w:color="000000"/>
              <w:right w:val="single" w:sz="6" w:space="0" w:color="000000"/>
            </w:tcBorders>
          </w:tcPr>
          <w:p>
            <w:pPr>
              <w:pStyle w:val="TableParagraph"/>
              <w:ind w:left="105" w:right="366"/>
              <w:rPr>
                <w:sz w:val="20"/>
              </w:rPr>
            </w:pPr>
            <w:r>
              <w:rPr>
                <w:sz w:val="20"/>
              </w:rPr>
              <w:t>Tobacco and Tobacco Products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ind w:left="112"/>
              <w:rPr>
                <w:sz w:val="20"/>
              </w:rPr>
            </w:pPr>
            <w:r>
              <w:rPr>
                <w:sz w:val="20"/>
              </w:rPr>
              <w:t>Pipes, cigarettes, etc.</w:t>
            </w:r>
          </w:p>
        </w:tc>
        <w:tc>
          <w:tcPr>
            <w:tcW w:w="1024" w:type="dxa"/>
            <w:tcBorders>
              <w:top w:val="single" w:sz="6" w:space="0" w:color="000000"/>
              <w:left w:val="single" w:sz="6" w:space="0" w:color="000000"/>
              <w:bottom w:val="single" w:sz="6" w:space="0" w:color="000000"/>
            </w:tcBorders>
          </w:tcPr>
          <w:p>
            <w:pPr>
              <w:pStyle w:val="TableParagraph"/>
              <w:ind w:left="237" w:right="199" w:firstLine="24"/>
              <w:rPr>
                <w:sz w:val="20"/>
              </w:rPr>
            </w:pPr>
            <w:r>
              <w:rPr>
                <w:sz w:val="20"/>
              </w:rPr>
              <w:t>TTB - USDA</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Toothpaste</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18"/>
              </w:rPr>
            </w:pPr>
          </w:p>
        </w:tc>
        <w:tc>
          <w:tcPr>
            <w:tcW w:w="1024" w:type="dxa"/>
            <w:tcBorders>
              <w:top w:val="single" w:sz="6" w:space="0" w:color="000000"/>
              <w:left w:val="single" w:sz="6" w:space="0" w:color="000000"/>
              <w:bottom w:val="single" w:sz="6" w:space="0" w:color="000000"/>
            </w:tcBorders>
          </w:tcPr>
          <w:p>
            <w:pPr>
              <w:pStyle w:val="TableParagraph"/>
              <w:ind w:left="110" w:right="94"/>
              <w:jc w:val="center"/>
              <w:rPr>
                <w:sz w:val="20"/>
              </w:rPr>
            </w:pPr>
            <w:r>
              <w:rPr>
                <w:sz w:val="20"/>
              </w:rPr>
              <w:t>FDA-D</w:t>
            </w:r>
          </w:p>
        </w:tc>
      </w:tr>
      <w:tr>
        <w:trPr>
          <w:trHeight w:val="313" w:hRule="atLeast"/>
        </w:trPr>
        <w:tc>
          <w:tcPr>
            <w:tcW w:w="2280" w:type="dxa"/>
            <w:tcBorders>
              <w:top w:val="single" w:sz="6" w:space="0" w:color="000000"/>
              <w:bottom w:val="single" w:sz="6" w:space="0" w:color="000000"/>
              <w:right w:val="single" w:sz="6" w:space="0" w:color="000000"/>
            </w:tcBorders>
          </w:tcPr>
          <w:p>
            <w:pPr>
              <w:pStyle w:val="TableParagraph"/>
              <w:spacing w:before="41"/>
              <w:ind w:left="105"/>
              <w:rPr>
                <w:sz w:val="20"/>
              </w:rPr>
            </w:pPr>
            <w:r>
              <w:rPr>
                <w:sz w:val="20"/>
              </w:rPr>
              <w:t>Toys</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18"/>
              </w:rPr>
            </w:pPr>
          </w:p>
        </w:tc>
        <w:tc>
          <w:tcPr>
            <w:tcW w:w="1024" w:type="dxa"/>
            <w:tcBorders>
              <w:top w:val="single" w:sz="6" w:space="0" w:color="000000"/>
              <w:left w:val="single" w:sz="6" w:space="0" w:color="000000"/>
              <w:bottom w:val="single" w:sz="6" w:space="0" w:color="000000"/>
            </w:tcBorders>
          </w:tcPr>
          <w:p>
            <w:pPr>
              <w:pStyle w:val="TableParagraph"/>
              <w:spacing w:before="41"/>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Typewriter Ribbon</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18"/>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6" w:hRule="atLeast"/>
        </w:trPr>
        <w:tc>
          <w:tcPr>
            <w:tcW w:w="2280" w:type="dxa"/>
            <w:tcBorders>
              <w:top w:val="single" w:sz="6" w:space="0" w:color="000000"/>
              <w:bottom w:val="single" w:sz="6" w:space="0" w:color="000000"/>
              <w:right w:val="single" w:sz="6" w:space="0" w:color="000000"/>
            </w:tcBorders>
          </w:tcPr>
          <w:p>
            <w:pPr>
              <w:pStyle w:val="TableParagraph"/>
              <w:ind w:left="105"/>
              <w:rPr>
                <w:sz w:val="20"/>
              </w:rPr>
            </w:pPr>
            <w:r>
              <w:rPr>
                <w:sz w:val="20"/>
              </w:rPr>
              <w:t>Wire of Any Type</w:t>
            </w:r>
          </w:p>
        </w:tc>
        <w:tc>
          <w:tcPr>
            <w:tcW w:w="6026" w:type="dxa"/>
            <w:tcBorders>
              <w:top w:val="single" w:sz="6" w:space="0" w:color="000000"/>
              <w:left w:val="single" w:sz="6" w:space="0" w:color="000000"/>
              <w:bottom w:val="single" w:sz="6" w:space="0" w:color="000000"/>
              <w:right w:val="single" w:sz="6" w:space="0" w:color="000000"/>
            </w:tcBorders>
          </w:tcPr>
          <w:p>
            <w:pPr>
              <w:pStyle w:val="TableParagraph"/>
              <w:spacing w:before="0"/>
              <w:rPr>
                <w:sz w:val="18"/>
              </w:rPr>
            </w:pPr>
          </w:p>
        </w:tc>
        <w:tc>
          <w:tcPr>
            <w:tcW w:w="1024" w:type="dxa"/>
            <w:tcBorders>
              <w:top w:val="single" w:sz="6" w:space="0" w:color="000000"/>
              <w:left w:val="single" w:sz="6" w:space="0" w:color="000000"/>
              <w:bottom w:val="single" w:sz="6" w:space="0" w:color="000000"/>
            </w:tcBorders>
          </w:tcPr>
          <w:p>
            <w:pPr>
              <w:pStyle w:val="TableParagraph"/>
              <w:ind w:left="110" w:right="93"/>
              <w:jc w:val="center"/>
              <w:rPr>
                <w:sz w:val="20"/>
              </w:rPr>
            </w:pPr>
            <w:r>
              <w:rPr>
                <w:sz w:val="20"/>
              </w:rPr>
              <w:t>CI</w:t>
            </w:r>
          </w:p>
        </w:tc>
      </w:tr>
      <w:tr>
        <w:trPr>
          <w:trHeight w:val="318" w:hRule="atLeast"/>
        </w:trPr>
        <w:tc>
          <w:tcPr>
            <w:tcW w:w="2280" w:type="dxa"/>
            <w:tcBorders>
              <w:top w:val="single" w:sz="6" w:space="0" w:color="000000"/>
              <w:right w:val="single" w:sz="6" w:space="0" w:color="000000"/>
            </w:tcBorders>
          </w:tcPr>
          <w:p>
            <w:pPr>
              <w:pStyle w:val="TableParagraph"/>
              <w:ind w:left="105"/>
              <w:rPr>
                <w:sz w:val="20"/>
              </w:rPr>
            </w:pPr>
            <w:r>
              <w:rPr>
                <w:sz w:val="20"/>
              </w:rPr>
              <w:t>Woodenware</w:t>
            </w:r>
          </w:p>
        </w:tc>
        <w:tc>
          <w:tcPr>
            <w:tcW w:w="6026" w:type="dxa"/>
            <w:tcBorders>
              <w:top w:val="single" w:sz="6" w:space="0" w:color="000000"/>
              <w:left w:val="single" w:sz="6" w:space="0" w:color="000000"/>
              <w:right w:val="single" w:sz="6" w:space="0" w:color="000000"/>
            </w:tcBorders>
          </w:tcPr>
          <w:p>
            <w:pPr>
              <w:pStyle w:val="TableParagraph"/>
              <w:spacing w:before="0"/>
              <w:rPr>
                <w:sz w:val="18"/>
              </w:rPr>
            </w:pPr>
          </w:p>
        </w:tc>
        <w:tc>
          <w:tcPr>
            <w:tcW w:w="1024" w:type="dxa"/>
            <w:tcBorders>
              <w:top w:val="single" w:sz="6" w:space="0" w:color="000000"/>
              <w:left w:val="single" w:sz="6" w:space="0" w:color="000000"/>
            </w:tcBorders>
          </w:tcPr>
          <w:p>
            <w:pPr>
              <w:pStyle w:val="TableParagraph"/>
              <w:ind w:left="110" w:right="93"/>
              <w:jc w:val="center"/>
              <w:rPr>
                <w:sz w:val="20"/>
              </w:rPr>
            </w:pPr>
            <w:r>
              <w:rPr>
                <w:sz w:val="20"/>
              </w:rPr>
              <w:t>CI</w:t>
            </w:r>
          </w:p>
        </w:tc>
      </w:tr>
    </w:tbl>
    <w:p>
      <w:pPr>
        <w:pStyle w:val="BodyText"/>
        <w:spacing w:before="1"/>
        <w:rPr>
          <w:sz w:val="24"/>
        </w:rPr>
      </w:pPr>
    </w:p>
    <w:p>
      <w:pPr>
        <w:pStyle w:val="Heading1"/>
        <w:numPr>
          <w:ilvl w:val="2"/>
          <w:numId w:val="12"/>
        </w:numPr>
        <w:tabs>
          <w:tab w:pos="732" w:val="left" w:leader="none"/>
        </w:tabs>
        <w:spacing w:line="240" w:lineRule="auto" w:before="91" w:after="0"/>
        <w:ind w:left="732" w:right="0" w:hanging="552"/>
        <w:jc w:val="left"/>
      </w:pPr>
      <w:bookmarkStart w:name="_bookmark23" w:id="41"/>
      <w:bookmarkEnd w:id="41"/>
      <w:r>
        <w:rPr>
          <w:b w:val="0"/>
        </w:rPr>
      </w:r>
      <w:bookmarkStart w:name="_bookmark23" w:id="42"/>
      <w:bookmarkEnd w:id="42"/>
      <w:r>
        <w:rPr/>
        <w:t>S</w:t>
      </w:r>
      <w:r>
        <w:rPr/>
        <w:t>ize Descriptors for Raw, Shell-On Shrimp</w:t>
      </w:r>
      <w:r>
        <w:rPr>
          <w:spacing w:val="-2"/>
        </w:rPr>
        <w:t> </w:t>
      </w:r>
      <w:r>
        <w:rPr/>
        <w:t>Products.</w:t>
      </w:r>
    </w:p>
    <w:p>
      <w:pPr>
        <w:pStyle w:val="BodyText"/>
        <w:ind w:left="180"/>
      </w:pPr>
      <w:r>
        <w:rPr/>
        <w:t>(L&amp;R, 1995, p. 97)</w:t>
      </w:r>
    </w:p>
    <w:p>
      <w:pPr>
        <w:pStyle w:val="BodyText"/>
        <w:spacing w:before="11"/>
      </w:pPr>
    </w:p>
    <w:p>
      <w:pPr>
        <w:pStyle w:val="Heading1"/>
      </w:pPr>
      <w:r>
        <w:rPr/>
        <w:t>Guideline</w:t>
      </w:r>
    </w:p>
    <w:p>
      <w:pPr>
        <w:pStyle w:val="BodyText"/>
        <w:spacing w:before="10"/>
        <w:rPr>
          <w:b/>
        </w:rPr>
      </w:pPr>
    </w:p>
    <w:p>
      <w:pPr>
        <w:pStyle w:val="BodyText"/>
        <w:ind w:left="179" w:right="418"/>
        <w:jc w:val="both"/>
      </w:pPr>
      <w:r>
        <w:rPr/>
        <w:t>If size descriptor terms for shrimp (e.g., small, medium, large, or colossal) are used on packages, advertisements, or on signs when offering shrimp for sale from bulk, a statement of count-per-kilogram, if sold by kilogram, or count- per-pound, if sold by pound, should be included adjacent to the size descriptor (e.g., medium-large, 31 to 40 shrimp per pound).</w:t>
      </w:r>
    </w:p>
    <w:p>
      <w:pPr>
        <w:pStyle w:val="BodyText"/>
        <w:spacing w:before="3"/>
        <w:rPr>
          <w:sz w:val="31"/>
        </w:rPr>
      </w:pPr>
    </w:p>
    <w:p>
      <w:pPr>
        <w:pStyle w:val="Heading1"/>
        <w:numPr>
          <w:ilvl w:val="2"/>
          <w:numId w:val="12"/>
        </w:numPr>
        <w:tabs>
          <w:tab w:pos="830" w:val="left" w:leader="none"/>
        </w:tabs>
        <w:spacing w:line="240" w:lineRule="auto" w:before="0" w:after="0"/>
        <w:ind w:left="830" w:right="0" w:hanging="651"/>
        <w:jc w:val="left"/>
      </w:pPr>
      <w:bookmarkStart w:name="_bookmark24" w:id="43"/>
      <w:bookmarkEnd w:id="43"/>
      <w:r>
        <w:rPr>
          <w:b w:val="0"/>
        </w:rPr>
      </w:r>
      <w:bookmarkStart w:name="_bookmark24" w:id="44"/>
      <w:bookmarkEnd w:id="44"/>
      <w:r>
        <w:rPr/>
        <w:t>M</w:t>
      </w:r>
      <w:r>
        <w:rPr/>
        <w:t>odel Guidelines for the Administrative Review</w:t>
      </w:r>
      <w:r>
        <w:rPr>
          <w:spacing w:val="-3"/>
        </w:rPr>
        <w:t> </w:t>
      </w:r>
      <w:r>
        <w:rPr/>
        <w:t>Process.</w:t>
      </w:r>
    </w:p>
    <w:p>
      <w:pPr>
        <w:pStyle w:val="BodyText"/>
        <w:spacing w:before="10"/>
        <w:rPr>
          <w:b/>
        </w:rPr>
      </w:pPr>
    </w:p>
    <w:p>
      <w:pPr>
        <w:spacing w:before="1"/>
        <w:ind w:left="179" w:right="0" w:firstLine="0"/>
        <w:jc w:val="left"/>
        <w:rPr>
          <w:b/>
          <w:sz w:val="20"/>
        </w:rPr>
      </w:pPr>
      <w:r>
        <w:rPr>
          <w:b/>
          <w:sz w:val="20"/>
        </w:rPr>
        <w:t>Purpose</w:t>
      </w:r>
    </w:p>
    <w:p>
      <w:pPr>
        <w:pStyle w:val="BodyText"/>
        <w:spacing w:before="10"/>
        <w:rPr>
          <w:b/>
        </w:rPr>
      </w:pPr>
    </w:p>
    <w:p>
      <w:pPr>
        <w:pStyle w:val="BodyText"/>
        <w:ind w:left="179" w:right="416"/>
        <w:jc w:val="both"/>
      </w:pPr>
      <w:r>
        <w:rPr/>
        <w:t>These guidelines are provided to assist weights and measures programs in establishing an administrative review pro- cess.</w:t>
      </w:r>
      <w:r>
        <w:rPr>
          <w:spacing w:val="36"/>
        </w:rPr>
        <w:t> </w:t>
      </w:r>
      <w:r>
        <w:rPr>
          <w:u w:val="single"/>
        </w:rPr>
        <w:t>They</w:t>
      </w:r>
      <w:r>
        <w:rPr>
          <w:spacing w:val="-10"/>
          <w:u w:val="single"/>
        </w:rPr>
        <w:t> </w:t>
      </w:r>
      <w:r>
        <w:rPr>
          <w:u w:val="single"/>
        </w:rPr>
        <w:t>are</w:t>
      </w:r>
      <w:r>
        <w:rPr>
          <w:spacing w:val="-7"/>
          <w:u w:val="single"/>
        </w:rPr>
        <w:t> </w:t>
      </w:r>
      <w:r>
        <w:rPr>
          <w:u w:val="single"/>
        </w:rPr>
        <w:t>not</w:t>
      </w:r>
      <w:r>
        <w:rPr>
          <w:spacing w:val="-7"/>
          <w:u w:val="single"/>
        </w:rPr>
        <w:t> </w:t>
      </w:r>
      <w:r>
        <w:rPr>
          <w:u w:val="single"/>
        </w:rPr>
        <w:t>intended</w:t>
      </w:r>
      <w:r>
        <w:rPr>
          <w:spacing w:val="-6"/>
          <w:u w:val="single"/>
        </w:rPr>
        <w:t> </w:t>
      </w:r>
      <w:r>
        <w:rPr>
          <w:u w:val="single"/>
        </w:rPr>
        <w:t>to</w:t>
      </w:r>
      <w:r>
        <w:rPr>
          <w:spacing w:val="-8"/>
          <w:u w:val="single"/>
        </w:rPr>
        <w:t> </w:t>
      </w:r>
      <w:r>
        <w:rPr>
          <w:u w:val="single"/>
        </w:rPr>
        <w:t>be</w:t>
      </w:r>
      <w:r>
        <w:rPr>
          <w:spacing w:val="-7"/>
          <w:u w:val="single"/>
        </w:rPr>
        <w:t> </w:t>
      </w:r>
      <w:r>
        <w:rPr>
          <w:u w:val="single"/>
        </w:rPr>
        <w:t>the</w:t>
      </w:r>
      <w:r>
        <w:rPr>
          <w:spacing w:val="-6"/>
          <w:u w:val="single"/>
        </w:rPr>
        <w:t> </w:t>
      </w:r>
      <w:r>
        <w:rPr>
          <w:u w:val="single"/>
        </w:rPr>
        <w:t>only</w:t>
      </w:r>
      <w:r>
        <w:rPr>
          <w:spacing w:val="-10"/>
          <w:u w:val="single"/>
        </w:rPr>
        <w:t> </w:t>
      </w:r>
      <w:r>
        <w:rPr>
          <w:u w:val="single"/>
        </w:rPr>
        <w:t>process</w:t>
      </w:r>
      <w:r>
        <w:rPr>
          <w:spacing w:val="-9"/>
          <w:u w:val="single"/>
        </w:rPr>
        <w:t> </w:t>
      </w:r>
      <w:r>
        <w:rPr>
          <w:u w:val="single"/>
        </w:rPr>
        <w:t>an</w:t>
      </w:r>
      <w:r>
        <w:rPr>
          <w:spacing w:val="-8"/>
          <w:u w:val="single"/>
        </w:rPr>
        <w:t> </w:t>
      </w:r>
      <w:r>
        <w:rPr>
          <w:u w:val="single"/>
        </w:rPr>
        <w:t>agency</w:t>
      </w:r>
      <w:r>
        <w:rPr>
          <w:spacing w:val="-6"/>
          <w:u w:val="single"/>
        </w:rPr>
        <w:t> </w:t>
      </w:r>
      <w:r>
        <w:rPr>
          <w:u w:val="single"/>
        </w:rPr>
        <w:t>may</w:t>
      </w:r>
      <w:r>
        <w:rPr>
          <w:spacing w:val="-8"/>
          <w:u w:val="single"/>
        </w:rPr>
        <w:t> </w:t>
      </w:r>
      <w:r>
        <w:rPr>
          <w:u w:val="single"/>
        </w:rPr>
        <w:t>use</w:t>
      </w:r>
      <w:r>
        <w:rPr>
          <w:spacing w:val="-7"/>
          <w:u w:val="single"/>
        </w:rPr>
        <w:t> </w:t>
      </w:r>
      <w:r>
        <w:rPr>
          <w:u w:val="single"/>
        </w:rPr>
        <w:t>nor</w:t>
      </w:r>
      <w:r>
        <w:rPr>
          <w:spacing w:val="-6"/>
          <w:u w:val="single"/>
        </w:rPr>
        <w:t> </w:t>
      </w:r>
      <w:r>
        <w:rPr>
          <w:u w:val="single"/>
        </w:rPr>
        <w:t>are</w:t>
      </w:r>
      <w:r>
        <w:rPr>
          <w:spacing w:val="-6"/>
          <w:u w:val="single"/>
        </w:rPr>
        <w:t> </w:t>
      </w:r>
      <w:r>
        <w:rPr>
          <w:u w:val="single"/>
        </w:rPr>
        <w:t>they</w:t>
      </w:r>
      <w:r>
        <w:rPr>
          <w:spacing w:val="-10"/>
          <w:u w:val="single"/>
        </w:rPr>
        <w:t> </w:t>
      </w:r>
      <w:r>
        <w:rPr>
          <w:u w:val="single"/>
        </w:rPr>
        <w:t>intended</w:t>
      </w:r>
      <w:r>
        <w:rPr>
          <w:spacing w:val="-7"/>
          <w:u w:val="single"/>
        </w:rPr>
        <w:t> </w:t>
      </w:r>
      <w:r>
        <w:rPr>
          <w:u w:val="single"/>
        </w:rPr>
        <w:t>to</w:t>
      </w:r>
      <w:r>
        <w:rPr>
          <w:spacing w:val="-6"/>
          <w:u w:val="single"/>
        </w:rPr>
        <w:t> </w:t>
      </w:r>
      <w:r>
        <w:rPr>
          <w:u w:val="single"/>
        </w:rPr>
        <w:t>supersede</w:t>
      </w:r>
      <w:r>
        <w:rPr>
          <w:spacing w:val="-7"/>
          <w:u w:val="single"/>
        </w:rPr>
        <w:t> </w:t>
      </w:r>
      <w:r>
        <w:rPr>
          <w:u w:val="single"/>
        </w:rPr>
        <w:t>any</w:t>
      </w:r>
      <w:r>
        <w:rPr>
          <w:spacing w:val="-10"/>
          <w:u w:val="single"/>
        </w:rPr>
        <w:t> </w:t>
      </w:r>
      <w:r>
        <w:rPr>
          <w:u w:val="single"/>
        </w:rPr>
        <w:t>agency’s</w:t>
      </w:r>
      <w:r>
        <w:rPr/>
        <w:t> </w:t>
      </w:r>
      <w:r>
        <w:rPr>
          <w:u w:val="single"/>
        </w:rPr>
        <w:t>existing process. Before implementing ANY process, it should be approved by legal</w:t>
      </w:r>
      <w:r>
        <w:rPr>
          <w:spacing w:val="-11"/>
          <w:u w:val="single"/>
        </w:rPr>
        <w:t> </w:t>
      </w:r>
      <w:r>
        <w:rPr>
          <w:u w:val="single"/>
        </w:rPr>
        <w:t>counsel.</w:t>
      </w:r>
    </w:p>
    <w:p>
      <w:pPr>
        <w:pStyle w:val="BodyText"/>
        <w:spacing w:before="10"/>
        <w:rPr>
          <w:sz w:val="12"/>
        </w:rPr>
      </w:pPr>
    </w:p>
    <w:p>
      <w:pPr>
        <w:pStyle w:val="BodyText"/>
        <w:spacing w:before="91"/>
        <w:ind w:left="179" w:right="417"/>
        <w:jc w:val="both"/>
      </w:pPr>
      <w:r>
        <w:rPr/>
        <w:t>These guidelines ensure that persons affected by “inspection findings” (e.g., price misrepresentations or shortweight packages), or who are deprived of the use of their property (devices or packages placed under “stop” or “off-sale” order), are provided a timely-independent review of the action. The process enables affected persons to provide evi- dence</w:t>
      </w:r>
      <w:r>
        <w:rPr>
          <w:spacing w:val="-7"/>
        </w:rPr>
        <w:t> </w:t>
      </w:r>
      <w:r>
        <w:rPr/>
        <w:t>which</w:t>
      </w:r>
      <w:r>
        <w:rPr>
          <w:spacing w:val="-8"/>
        </w:rPr>
        <w:t> </w:t>
      </w:r>
      <w:r>
        <w:rPr/>
        <w:t>could</w:t>
      </w:r>
      <w:r>
        <w:rPr>
          <w:spacing w:val="-8"/>
        </w:rPr>
        <w:t> </w:t>
      </w:r>
      <w:r>
        <w:rPr/>
        <w:t>be</w:t>
      </w:r>
      <w:r>
        <w:rPr>
          <w:spacing w:val="-9"/>
        </w:rPr>
        <w:t> </w:t>
      </w:r>
      <w:r>
        <w:rPr/>
        <w:t>relevant</w:t>
      </w:r>
      <w:r>
        <w:rPr>
          <w:spacing w:val="-5"/>
        </w:rPr>
        <w:t> </w:t>
      </w:r>
      <w:r>
        <w:rPr/>
        <w:t>in</w:t>
      </w:r>
      <w:r>
        <w:rPr>
          <w:spacing w:val="-10"/>
        </w:rPr>
        <w:t> </w:t>
      </w:r>
      <w:r>
        <w:rPr/>
        <w:t>determining</w:t>
      </w:r>
      <w:r>
        <w:rPr>
          <w:spacing w:val="-9"/>
        </w:rPr>
        <w:t> </w:t>
      </w:r>
      <w:r>
        <w:rPr/>
        <w:t>whether</w:t>
      </w:r>
      <w:r>
        <w:rPr>
          <w:spacing w:val="-8"/>
        </w:rPr>
        <w:t> </w:t>
      </w:r>
      <w:r>
        <w:rPr/>
        <w:t>the</w:t>
      </w:r>
      <w:r>
        <w:rPr>
          <w:spacing w:val="-9"/>
        </w:rPr>
        <w:t> </w:t>
      </w:r>
      <w:r>
        <w:rPr/>
        <w:t>enforcement</w:t>
      </w:r>
      <w:r>
        <w:rPr>
          <w:spacing w:val="-9"/>
        </w:rPr>
        <w:t> </w:t>
      </w:r>
      <w:r>
        <w:rPr/>
        <w:t>action</w:t>
      </w:r>
      <w:r>
        <w:rPr>
          <w:spacing w:val="-8"/>
        </w:rPr>
        <w:t> </w:t>
      </w:r>
      <w:r>
        <w:rPr/>
        <w:t>was</w:t>
      </w:r>
      <w:r>
        <w:rPr>
          <w:spacing w:val="-10"/>
        </w:rPr>
        <w:t> </w:t>
      </w:r>
      <w:r>
        <w:rPr/>
        <w:t>proper.</w:t>
      </w:r>
      <w:r>
        <w:rPr>
          <w:spacing w:val="33"/>
        </w:rPr>
        <w:t> </w:t>
      </w:r>
      <w:r>
        <w:rPr/>
        <w:t>The</w:t>
      </w:r>
      <w:r>
        <w:rPr>
          <w:spacing w:val="-9"/>
        </w:rPr>
        <w:t> </w:t>
      </w:r>
      <w:r>
        <w:rPr/>
        <w:t>purpose</w:t>
      </w:r>
      <w:r>
        <w:rPr>
          <w:spacing w:val="-9"/>
        </w:rPr>
        <w:t> </w:t>
      </w:r>
      <w:r>
        <w:rPr/>
        <w:t>of</w:t>
      </w:r>
      <w:r>
        <w:rPr>
          <w:spacing w:val="-11"/>
        </w:rPr>
        <w:t> </w:t>
      </w:r>
      <w:r>
        <w:rPr/>
        <w:t>the</w:t>
      </w:r>
      <w:r>
        <w:rPr>
          <w:spacing w:val="-9"/>
        </w:rPr>
        <w:t> </w:t>
      </w:r>
      <w:r>
        <w:rPr/>
        <w:t>process is to ensure that a person’s ability to conduct business is not hindered by improper enforcement actions. This process is</w:t>
      </w:r>
      <w:r>
        <w:rPr>
          <w:spacing w:val="-7"/>
        </w:rPr>
        <w:t> </w:t>
      </w:r>
      <w:r>
        <w:rPr/>
        <w:t>independent</w:t>
      </w:r>
      <w:r>
        <w:rPr>
          <w:spacing w:val="-6"/>
        </w:rPr>
        <w:t> </w:t>
      </w:r>
      <w:r>
        <w:rPr/>
        <w:t>of</w:t>
      </w:r>
      <w:r>
        <w:rPr>
          <w:spacing w:val="-7"/>
        </w:rPr>
        <w:t> </w:t>
      </w:r>
      <w:r>
        <w:rPr/>
        <w:t>any</w:t>
      </w:r>
      <w:r>
        <w:rPr>
          <w:spacing w:val="-9"/>
        </w:rPr>
        <w:t> </w:t>
      </w:r>
      <w:r>
        <w:rPr/>
        <w:t>other</w:t>
      </w:r>
      <w:r>
        <w:rPr>
          <w:spacing w:val="-5"/>
        </w:rPr>
        <w:t> </w:t>
      </w:r>
      <w:r>
        <w:rPr/>
        <w:t>action</w:t>
      </w:r>
      <w:r>
        <w:rPr>
          <w:spacing w:val="-7"/>
        </w:rPr>
        <w:t> </w:t>
      </w:r>
      <w:r>
        <w:rPr/>
        <w:t>(e.g.,</w:t>
      </w:r>
      <w:r>
        <w:rPr>
          <w:spacing w:val="-6"/>
        </w:rPr>
        <w:t> </w:t>
      </w:r>
      <w:r>
        <w:rPr/>
        <w:t>administrative</w:t>
      </w:r>
      <w:r>
        <w:rPr>
          <w:spacing w:val="-5"/>
        </w:rPr>
        <w:t> </w:t>
      </w:r>
      <w:r>
        <w:rPr/>
        <w:t>penalties,</w:t>
      </w:r>
      <w:r>
        <w:rPr>
          <w:spacing w:val="-5"/>
        </w:rPr>
        <w:t> </w:t>
      </w:r>
      <w:r>
        <w:rPr/>
        <w:t>prosecutions,</w:t>
      </w:r>
      <w:r>
        <w:rPr>
          <w:spacing w:val="-5"/>
        </w:rPr>
        <w:t> </w:t>
      </w:r>
      <w:r>
        <w:rPr/>
        <w:t>etc.)</w:t>
      </w:r>
      <w:r>
        <w:rPr>
          <w:spacing w:val="-6"/>
        </w:rPr>
        <w:t> </w:t>
      </w:r>
      <w:r>
        <w:rPr/>
        <w:t>that</w:t>
      </w:r>
      <w:r>
        <w:rPr>
          <w:spacing w:val="-3"/>
        </w:rPr>
        <w:t> </w:t>
      </w:r>
      <w:r>
        <w:rPr/>
        <w:t>may</w:t>
      </w:r>
      <w:r>
        <w:rPr>
          <w:spacing w:val="-9"/>
        </w:rPr>
        <w:t> </w:t>
      </w:r>
      <w:r>
        <w:rPr/>
        <w:t>be</w:t>
      </w:r>
      <w:r>
        <w:rPr>
          <w:spacing w:val="-5"/>
        </w:rPr>
        <w:t> </w:t>
      </w:r>
      <w:r>
        <w:rPr/>
        <w:t>taken</w:t>
      </w:r>
      <w:r>
        <w:rPr>
          <w:spacing w:val="-8"/>
        </w:rPr>
        <w:t> </w:t>
      </w:r>
      <w:r>
        <w:rPr/>
        <w:t>by</w:t>
      </w:r>
      <w:r>
        <w:rPr>
          <w:spacing w:val="-8"/>
        </w:rPr>
        <w:t> </w:t>
      </w:r>
      <w:r>
        <w:rPr/>
        <w:t>the</w:t>
      </w:r>
      <w:r>
        <w:rPr>
          <w:spacing w:val="-6"/>
        </w:rPr>
        <w:t> </w:t>
      </w:r>
      <w:r>
        <w:rPr/>
        <w:t>enforce- ment</w:t>
      </w:r>
      <w:r>
        <w:rPr>
          <w:spacing w:val="-1"/>
        </w:rPr>
        <w:t> </w:t>
      </w:r>
      <w:r>
        <w:rPr/>
        <w:t>agency.</w:t>
      </w:r>
    </w:p>
    <w:p>
      <w:pPr>
        <w:pStyle w:val="BodyText"/>
        <w:spacing w:before="10"/>
      </w:pPr>
    </w:p>
    <w:p>
      <w:pPr>
        <w:pStyle w:val="Heading1"/>
        <w:spacing w:before="1"/>
      </w:pPr>
      <w:r>
        <w:rPr/>
        <w:t>Background</w:t>
      </w:r>
    </w:p>
    <w:p>
      <w:pPr>
        <w:pStyle w:val="BodyText"/>
        <w:spacing w:before="10"/>
        <w:rPr>
          <w:b/>
        </w:rPr>
      </w:pPr>
    </w:p>
    <w:p>
      <w:pPr>
        <w:pStyle w:val="BodyText"/>
        <w:ind w:left="179" w:right="416"/>
        <w:jc w:val="both"/>
      </w:pPr>
      <w:r>
        <w:rPr/>
        <w:t>In the course of their work, weights and measures officials take enforcement actions that may prohibit the use of devices</w:t>
      </w:r>
      <w:r>
        <w:rPr>
          <w:spacing w:val="-5"/>
        </w:rPr>
        <w:t> </w:t>
      </w:r>
      <w:r>
        <w:rPr/>
        <w:t>or</w:t>
      </w:r>
      <w:r>
        <w:rPr>
          <w:spacing w:val="-3"/>
        </w:rPr>
        <w:t> </w:t>
      </w:r>
      <w:r>
        <w:rPr/>
        <w:t>the</w:t>
      </w:r>
      <w:r>
        <w:rPr>
          <w:spacing w:val="-3"/>
        </w:rPr>
        <w:t> </w:t>
      </w:r>
      <w:r>
        <w:rPr/>
        <w:t>sale</w:t>
      </w:r>
      <w:r>
        <w:rPr>
          <w:spacing w:val="-4"/>
        </w:rPr>
        <w:t> </w:t>
      </w:r>
      <w:r>
        <w:rPr/>
        <w:t>of</w:t>
      </w:r>
      <w:r>
        <w:rPr>
          <w:spacing w:val="-5"/>
        </w:rPr>
        <w:t> </w:t>
      </w:r>
      <w:r>
        <w:rPr/>
        <w:t>packaged</w:t>
      </w:r>
      <w:r>
        <w:rPr>
          <w:spacing w:val="-2"/>
        </w:rPr>
        <w:t> </w:t>
      </w:r>
      <w:r>
        <w:rPr/>
        <w:t>goods</w:t>
      </w:r>
      <w:r>
        <w:rPr>
          <w:spacing w:val="-5"/>
        </w:rPr>
        <w:t> </w:t>
      </w:r>
      <w:r>
        <w:rPr/>
        <w:t>(e.g.,</w:t>
      </w:r>
      <w:r>
        <w:rPr>
          <w:spacing w:val="-2"/>
        </w:rPr>
        <w:t> </w:t>
      </w:r>
      <w:r>
        <w:rPr/>
        <w:t>“stop-sale”</w:t>
      </w:r>
      <w:r>
        <w:rPr>
          <w:spacing w:val="-4"/>
        </w:rPr>
        <w:t> </w:t>
      </w:r>
      <w:r>
        <w:rPr/>
        <w:t>or</w:t>
      </w:r>
      <w:r>
        <w:rPr>
          <w:spacing w:val="-3"/>
        </w:rPr>
        <w:t> </w:t>
      </w:r>
      <w:r>
        <w:rPr/>
        <w:t>“off-sale”</w:t>
      </w:r>
      <w:r>
        <w:rPr>
          <w:spacing w:val="-3"/>
        </w:rPr>
        <w:t> </w:t>
      </w:r>
      <w:r>
        <w:rPr/>
        <w:t>orders</w:t>
      </w:r>
      <w:r>
        <w:rPr>
          <w:spacing w:val="-4"/>
        </w:rPr>
        <w:t> </w:t>
      </w:r>
      <w:r>
        <w:rPr/>
        <w:t>for</w:t>
      </w:r>
      <w:r>
        <w:rPr>
          <w:spacing w:val="-6"/>
        </w:rPr>
        <w:t> </w:t>
      </w:r>
      <w:r>
        <w:rPr/>
        <w:t>packages</w:t>
      </w:r>
      <w:r>
        <w:rPr>
          <w:spacing w:val="-4"/>
        </w:rPr>
        <w:t> </w:t>
      </w:r>
      <w:r>
        <w:rPr/>
        <w:t>and</w:t>
      </w:r>
      <w:r>
        <w:rPr>
          <w:spacing w:val="-3"/>
        </w:rPr>
        <w:t> </w:t>
      </w:r>
      <w:r>
        <w:rPr/>
        <w:t>“stop-use”</w:t>
      </w:r>
      <w:r>
        <w:rPr>
          <w:spacing w:val="-3"/>
        </w:rPr>
        <w:t> </w:t>
      </w:r>
      <w:r>
        <w:rPr/>
        <w:t>or</w:t>
      </w:r>
      <w:r>
        <w:rPr>
          <w:spacing w:val="-3"/>
        </w:rPr>
        <w:t> </w:t>
      </w:r>
      <w:r>
        <w:rPr/>
        <w:t>“condem- nation” tags issued on devices). Improper actions (e.g., not following prescribed test procedures, enforcing labeling requirements on exempted packages, or incorrectly citing someone for a “violation”) place the official and the juris- diction in the position of being liable for the action if it is found that the action was “illegal.” In some cases, weights and measures jurisdictions could be ordered to pay monetary damages to compensate the affected party for the im- proper</w:t>
      </w:r>
      <w:r>
        <w:rPr>
          <w:spacing w:val="-3"/>
        </w:rPr>
        <w:t> </w:t>
      </w:r>
      <w:r>
        <w:rPr/>
        <w:t>action.</w:t>
      </w:r>
    </w:p>
    <w:p>
      <w:pPr>
        <w:spacing w:after="0"/>
        <w:jc w:val="both"/>
        <w:sectPr>
          <w:footerReference w:type="even" r:id="rId32"/>
          <w:footerReference w:type="default" r:id="rId33"/>
          <w:pgSz w:w="12240" w:h="15840"/>
          <w:pgMar w:footer="741" w:header="730" w:top="1340" w:bottom="940" w:left="1260" w:right="1020"/>
        </w:sectPr>
      </w:pPr>
    </w:p>
    <w:p>
      <w:pPr>
        <w:pStyle w:val="BodyText"/>
        <w:spacing w:before="1"/>
        <w:rPr>
          <w:sz w:val="17"/>
        </w:rPr>
      </w:pPr>
    </w:p>
    <w:p>
      <w:pPr>
        <w:pStyle w:val="BodyText"/>
        <w:spacing w:before="91"/>
        <w:ind w:left="179" w:right="416"/>
        <w:jc w:val="both"/>
      </w:pPr>
      <w:r>
        <w:rPr/>
        <w:t>This process is one way to provide affected persons an opportunity to present evidence which may be relevant in determining whether the order or finding has been properly made to an independent party. The procedure enables business</w:t>
      </w:r>
      <w:r>
        <w:rPr>
          <w:spacing w:val="-9"/>
        </w:rPr>
        <w:t> </w:t>
      </w:r>
      <w:r>
        <w:rPr/>
        <w:t>operators</w:t>
      </w:r>
      <w:r>
        <w:rPr>
          <w:spacing w:val="-8"/>
        </w:rPr>
        <w:t> </w:t>
      </w:r>
      <w:r>
        <w:rPr/>
        <w:t>to</w:t>
      </w:r>
      <w:r>
        <w:rPr>
          <w:spacing w:val="-6"/>
        </w:rPr>
        <w:t> </w:t>
      </w:r>
      <w:r>
        <w:rPr/>
        <w:t>obtain</w:t>
      </w:r>
      <w:r>
        <w:rPr>
          <w:spacing w:val="-8"/>
        </w:rPr>
        <w:t> </w:t>
      </w:r>
      <w:r>
        <w:rPr/>
        <w:t>an</w:t>
      </w:r>
      <w:r>
        <w:rPr>
          <w:spacing w:val="-7"/>
        </w:rPr>
        <w:t> </w:t>
      </w:r>
      <w:r>
        <w:rPr/>
        <w:t>independent</w:t>
      </w:r>
      <w:r>
        <w:rPr>
          <w:spacing w:val="-7"/>
        </w:rPr>
        <w:t> </w:t>
      </w:r>
      <w:r>
        <w:rPr/>
        <w:t>review</w:t>
      </w:r>
      <w:r>
        <w:rPr>
          <w:spacing w:val="-9"/>
        </w:rPr>
        <w:t> </w:t>
      </w:r>
      <w:r>
        <w:rPr/>
        <w:t>of</w:t>
      </w:r>
      <w:r>
        <w:rPr>
          <w:spacing w:val="-8"/>
        </w:rPr>
        <w:t> </w:t>
      </w:r>
      <w:r>
        <w:rPr/>
        <w:t>orders</w:t>
      </w:r>
      <w:r>
        <w:rPr>
          <w:spacing w:val="-9"/>
        </w:rPr>
        <w:t> </w:t>
      </w:r>
      <w:r>
        <w:rPr/>
        <w:t>or</w:t>
      </w:r>
      <w:r>
        <w:rPr>
          <w:spacing w:val="-6"/>
        </w:rPr>
        <w:t> </w:t>
      </w:r>
      <w:r>
        <w:rPr/>
        <w:t>findings</w:t>
      </w:r>
      <w:r>
        <w:rPr>
          <w:spacing w:val="-8"/>
        </w:rPr>
        <w:t> </w:t>
      </w:r>
      <w:r>
        <w:rPr/>
        <w:t>so</w:t>
      </w:r>
      <w:r>
        <w:rPr>
          <w:spacing w:val="-6"/>
        </w:rPr>
        <w:t> </w:t>
      </w:r>
      <w:r>
        <w:rPr/>
        <w:t>that</w:t>
      </w:r>
      <w:r>
        <w:rPr>
          <w:spacing w:val="-8"/>
        </w:rPr>
        <w:t> </w:t>
      </w:r>
      <w:r>
        <w:rPr/>
        <w:t>actions</w:t>
      </w:r>
      <w:r>
        <w:rPr>
          <w:spacing w:val="-8"/>
        </w:rPr>
        <w:t> </w:t>
      </w:r>
      <w:r>
        <w:rPr/>
        <w:t>affecting</w:t>
      </w:r>
      <w:r>
        <w:rPr>
          <w:spacing w:val="-8"/>
        </w:rPr>
        <w:t> </w:t>
      </w:r>
      <w:r>
        <w:rPr/>
        <w:t>their</w:t>
      </w:r>
      <w:r>
        <w:rPr>
          <w:spacing w:val="-6"/>
        </w:rPr>
        <w:t> </w:t>
      </w:r>
      <w:r>
        <w:rPr/>
        <w:t>business</w:t>
      </w:r>
      <w:r>
        <w:rPr>
          <w:spacing w:val="-9"/>
        </w:rPr>
        <w:t> </w:t>
      </w:r>
      <w:r>
        <w:rPr/>
        <w:t>can</w:t>
      </w:r>
      <w:r>
        <w:rPr>
          <w:spacing w:val="-8"/>
        </w:rPr>
        <w:t> </w:t>
      </w:r>
      <w:r>
        <w:rPr/>
        <w:t>be evaluated administratively instead of through litigation. This ensures timely review, which is essential because of the impact that such actions may have on the ability of a business to operate and in cases where perishable products may be</w:t>
      </w:r>
      <w:r>
        <w:rPr>
          <w:spacing w:val="-1"/>
        </w:rPr>
        <w:t> </w:t>
      </w:r>
      <w:r>
        <w:rPr/>
        <w:t>lost.</w:t>
      </w:r>
    </w:p>
    <w:p>
      <w:pPr>
        <w:pStyle w:val="BodyText"/>
        <w:spacing w:before="10"/>
      </w:pPr>
    </w:p>
    <w:p>
      <w:pPr>
        <w:pStyle w:val="Heading1"/>
        <w:spacing w:before="1"/>
      </w:pPr>
      <w:r>
        <w:rPr/>
        <w:t>Review Provisions</w:t>
      </w:r>
    </w:p>
    <w:p>
      <w:pPr>
        <w:pStyle w:val="BodyText"/>
        <w:spacing w:before="10"/>
        <w:rPr>
          <w:b/>
        </w:rPr>
      </w:pPr>
    </w:p>
    <w:p>
      <w:pPr>
        <w:pStyle w:val="BodyText"/>
        <w:ind w:left="179"/>
      </w:pPr>
      <w:r>
        <w:rPr/>
        <w:t>Parties affected by enforcement actions must be given the opportunity to appeal enforcement actions.</w:t>
      </w:r>
    </w:p>
    <w:p>
      <w:pPr>
        <w:pStyle w:val="BodyText"/>
        <w:spacing w:before="10"/>
      </w:pPr>
    </w:p>
    <w:p>
      <w:pPr>
        <w:pStyle w:val="BodyText"/>
        <w:ind w:left="179" w:right="417"/>
        <w:jc w:val="both"/>
      </w:pPr>
      <w:r>
        <w:rPr/>
        <w:t>Inspectors</w:t>
      </w:r>
      <w:r>
        <w:rPr>
          <w:spacing w:val="-12"/>
        </w:rPr>
        <w:t> </w:t>
      </w:r>
      <w:r>
        <w:rPr/>
        <w:t>are</w:t>
      </w:r>
      <w:r>
        <w:rPr>
          <w:spacing w:val="-12"/>
        </w:rPr>
        <w:t> </w:t>
      </w:r>
      <w:r>
        <w:rPr/>
        <w:t>the</w:t>
      </w:r>
      <w:r>
        <w:rPr>
          <w:spacing w:val="-11"/>
        </w:rPr>
        <w:t> </w:t>
      </w:r>
      <w:r>
        <w:rPr/>
        <w:t>primary</w:t>
      </w:r>
      <w:r>
        <w:rPr>
          <w:spacing w:val="-13"/>
        </w:rPr>
        <w:t> </w:t>
      </w:r>
      <w:r>
        <w:rPr/>
        <w:t>contacts</w:t>
      </w:r>
      <w:r>
        <w:rPr>
          <w:spacing w:val="-10"/>
        </w:rPr>
        <w:t> </w:t>
      </w:r>
      <w:r>
        <w:rPr/>
        <w:t>with</w:t>
      </w:r>
      <w:r>
        <w:rPr>
          <w:spacing w:val="-13"/>
        </w:rPr>
        <w:t> </w:t>
      </w:r>
      <w:r>
        <w:rPr/>
        <w:t>regulated</w:t>
      </w:r>
      <w:r>
        <w:rPr>
          <w:spacing w:val="-10"/>
        </w:rPr>
        <w:t> </w:t>
      </w:r>
      <w:r>
        <w:rPr/>
        <w:t>firms</w:t>
      </w:r>
      <w:r>
        <w:rPr>
          <w:spacing w:val="-10"/>
        </w:rPr>
        <w:t> </w:t>
      </w:r>
      <w:r>
        <w:rPr/>
        <w:t>and</w:t>
      </w:r>
      <w:r>
        <w:rPr>
          <w:spacing w:val="-10"/>
        </w:rPr>
        <w:t> </w:t>
      </w:r>
      <w:r>
        <w:rPr/>
        <w:t>thus</w:t>
      </w:r>
      <w:r>
        <w:rPr>
          <w:spacing w:val="-12"/>
        </w:rPr>
        <w:t> </w:t>
      </w:r>
      <w:r>
        <w:rPr/>
        <w:t>are</w:t>
      </w:r>
      <w:r>
        <w:rPr>
          <w:spacing w:val="-11"/>
        </w:rPr>
        <w:t> </w:t>
      </w:r>
      <w:r>
        <w:rPr/>
        <w:t>in</w:t>
      </w:r>
      <w:r>
        <w:rPr>
          <w:spacing w:val="-13"/>
        </w:rPr>
        <w:t> </w:t>
      </w:r>
      <w:r>
        <w:rPr/>
        <w:t>the</w:t>
      </w:r>
      <w:r>
        <w:rPr>
          <w:spacing w:val="-12"/>
        </w:rPr>
        <w:t> </w:t>
      </w:r>
      <w:r>
        <w:rPr/>
        <w:t>best</w:t>
      </w:r>
      <w:r>
        <w:rPr>
          <w:spacing w:val="-9"/>
        </w:rPr>
        <w:t> </w:t>
      </w:r>
      <w:r>
        <w:rPr/>
        <w:t>position</w:t>
      </w:r>
      <w:r>
        <w:rPr>
          <w:spacing w:val="-13"/>
        </w:rPr>
        <w:t> </w:t>
      </w:r>
      <w:r>
        <w:rPr/>
        <w:t>to</w:t>
      </w:r>
      <w:r>
        <w:rPr>
          <w:spacing w:val="-10"/>
        </w:rPr>
        <w:t> </w:t>
      </w:r>
      <w:r>
        <w:rPr/>
        <w:t>ensure</w:t>
      </w:r>
      <w:r>
        <w:rPr>
          <w:spacing w:val="-11"/>
        </w:rPr>
        <w:t> </w:t>
      </w:r>
      <w:r>
        <w:rPr/>
        <w:t>that</w:t>
      </w:r>
      <w:r>
        <w:rPr>
          <w:spacing w:val="-12"/>
        </w:rPr>
        <w:t> </w:t>
      </w:r>
      <w:r>
        <w:rPr/>
        <w:t>the</w:t>
      </w:r>
      <w:r>
        <w:rPr>
          <w:spacing w:val="-11"/>
        </w:rPr>
        <w:t> </w:t>
      </w:r>
      <w:r>
        <w:rPr/>
        <w:t>enforcement actions they take are “proper.” “Proper” means that inspections are conducted (1) within the scope of the authority granted</w:t>
      </w:r>
      <w:r>
        <w:rPr>
          <w:spacing w:val="-13"/>
        </w:rPr>
        <w:t> </w:t>
      </w:r>
      <w:r>
        <w:rPr/>
        <w:t>by</w:t>
      </w:r>
      <w:r>
        <w:rPr>
          <w:spacing w:val="-16"/>
        </w:rPr>
        <w:t> </w:t>
      </w:r>
      <w:r>
        <w:rPr/>
        <w:t>law,</w:t>
      </w:r>
      <w:r>
        <w:rPr>
          <w:spacing w:val="-13"/>
        </w:rPr>
        <w:t> </w:t>
      </w:r>
      <w:r>
        <w:rPr/>
        <w:t>(2)</w:t>
      </w:r>
      <w:r>
        <w:rPr>
          <w:spacing w:val="-4"/>
        </w:rPr>
        <w:t> </w:t>
      </w:r>
      <w:r>
        <w:rPr/>
        <w:t>according</w:t>
      </w:r>
      <w:r>
        <w:rPr>
          <w:spacing w:val="-15"/>
        </w:rPr>
        <w:t> </w:t>
      </w:r>
      <w:r>
        <w:rPr/>
        <w:t>to</w:t>
      </w:r>
      <w:r>
        <w:rPr>
          <w:spacing w:val="-12"/>
        </w:rPr>
        <w:t> </w:t>
      </w:r>
      <w:r>
        <w:rPr/>
        <w:t>recognized</w:t>
      </w:r>
      <w:r>
        <w:rPr>
          <w:spacing w:val="-13"/>
        </w:rPr>
        <w:t> </w:t>
      </w:r>
      <w:r>
        <w:rPr/>
        <w:t>investigative</w:t>
      </w:r>
      <w:r>
        <w:rPr>
          <w:spacing w:val="-13"/>
        </w:rPr>
        <w:t> </w:t>
      </w:r>
      <w:r>
        <w:rPr/>
        <w:t>or</w:t>
      </w:r>
      <w:r>
        <w:rPr>
          <w:spacing w:val="-13"/>
        </w:rPr>
        <w:t> </w:t>
      </w:r>
      <w:r>
        <w:rPr/>
        <w:t>testing</w:t>
      </w:r>
      <w:r>
        <w:rPr>
          <w:spacing w:val="-15"/>
        </w:rPr>
        <w:t> </w:t>
      </w:r>
      <w:r>
        <w:rPr/>
        <w:t>procedures</w:t>
      </w:r>
      <w:r>
        <w:rPr>
          <w:spacing w:val="-13"/>
        </w:rPr>
        <w:t> </w:t>
      </w:r>
      <w:r>
        <w:rPr/>
        <w:t>and</w:t>
      </w:r>
      <w:r>
        <w:rPr>
          <w:spacing w:val="-13"/>
        </w:rPr>
        <w:t> </w:t>
      </w:r>
      <w:r>
        <w:rPr/>
        <w:t>standards,</w:t>
      </w:r>
      <w:r>
        <w:rPr>
          <w:spacing w:val="-13"/>
        </w:rPr>
        <w:t> </w:t>
      </w:r>
      <w:r>
        <w:rPr/>
        <w:t>and</w:t>
      </w:r>
      <w:r>
        <w:rPr>
          <w:spacing w:val="-12"/>
        </w:rPr>
        <w:t> </w:t>
      </w:r>
      <w:r>
        <w:rPr/>
        <w:t>(3)</w:t>
      </w:r>
      <w:r>
        <w:rPr>
          <w:spacing w:val="-7"/>
        </w:rPr>
        <w:t> </w:t>
      </w:r>
      <w:r>
        <w:rPr/>
        <w:t>that</w:t>
      </w:r>
      <w:r>
        <w:rPr>
          <w:spacing w:val="-14"/>
        </w:rPr>
        <w:t> </w:t>
      </w:r>
      <w:r>
        <w:rPr/>
        <w:t>enforcement actions</w:t>
      </w:r>
      <w:r>
        <w:rPr>
          <w:spacing w:val="-10"/>
        </w:rPr>
        <w:t> </w:t>
      </w:r>
      <w:r>
        <w:rPr/>
        <w:t>are</w:t>
      </w:r>
      <w:r>
        <w:rPr>
          <w:spacing w:val="-7"/>
        </w:rPr>
        <w:t> </w:t>
      </w:r>
      <w:r>
        <w:rPr/>
        <w:t>lawful.</w:t>
      </w:r>
      <w:r>
        <w:rPr>
          <w:spacing w:val="34"/>
        </w:rPr>
        <w:t> </w:t>
      </w:r>
      <w:r>
        <w:rPr/>
        <w:t>The</w:t>
      </w:r>
      <w:r>
        <w:rPr>
          <w:spacing w:val="-7"/>
        </w:rPr>
        <w:t> </w:t>
      </w:r>
      <w:r>
        <w:rPr/>
        <w:t>“burden”</w:t>
      </w:r>
      <w:r>
        <w:rPr>
          <w:spacing w:val="-7"/>
        </w:rPr>
        <w:t> </w:t>
      </w:r>
      <w:r>
        <w:rPr/>
        <w:t>for</w:t>
      </w:r>
      <w:r>
        <w:rPr>
          <w:spacing w:val="-8"/>
        </w:rPr>
        <w:t> </w:t>
      </w:r>
      <w:r>
        <w:rPr/>
        <w:t>proving</w:t>
      </w:r>
      <w:r>
        <w:rPr>
          <w:spacing w:val="-9"/>
        </w:rPr>
        <w:t> </w:t>
      </w:r>
      <w:r>
        <w:rPr/>
        <w:t>that</w:t>
      </w:r>
      <w:r>
        <w:rPr>
          <w:spacing w:val="-8"/>
        </w:rPr>
        <w:t> </w:t>
      </w:r>
      <w:r>
        <w:rPr/>
        <w:t>actions</w:t>
      </w:r>
      <w:r>
        <w:rPr>
          <w:spacing w:val="-9"/>
        </w:rPr>
        <w:t> </w:t>
      </w:r>
      <w:r>
        <w:rPr/>
        <w:t>are</w:t>
      </w:r>
      <w:r>
        <w:rPr>
          <w:spacing w:val="-8"/>
        </w:rPr>
        <w:t> </w:t>
      </w:r>
      <w:r>
        <w:rPr/>
        <w:t>“proper”</w:t>
      </w:r>
      <w:r>
        <w:rPr>
          <w:spacing w:val="-7"/>
        </w:rPr>
        <w:t> </w:t>
      </w:r>
      <w:r>
        <w:rPr/>
        <w:t>falls</w:t>
      </w:r>
      <w:r>
        <w:rPr>
          <w:spacing w:val="-9"/>
        </w:rPr>
        <w:t> </w:t>
      </w:r>
      <w:r>
        <w:rPr/>
        <w:t>on</w:t>
      </w:r>
      <w:r>
        <w:rPr>
          <w:spacing w:val="-10"/>
        </w:rPr>
        <w:t> </w:t>
      </w:r>
      <w:r>
        <w:rPr/>
        <w:t>the</w:t>
      </w:r>
      <w:r>
        <w:rPr>
          <w:spacing w:val="-5"/>
        </w:rPr>
        <w:t> </w:t>
      </w:r>
      <w:r>
        <w:rPr/>
        <w:t>weights</w:t>
      </w:r>
      <w:r>
        <w:rPr>
          <w:spacing w:val="-9"/>
        </w:rPr>
        <w:t> </w:t>
      </w:r>
      <w:r>
        <w:rPr/>
        <w:t>and</w:t>
      </w:r>
      <w:r>
        <w:rPr>
          <w:spacing w:val="-5"/>
        </w:rPr>
        <w:t> </w:t>
      </w:r>
      <w:r>
        <w:rPr/>
        <w:t>measures</w:t>
      </w:r>
      <w:r>
        <w:rPr>
          <w:spacing w:val="-9"/>
        </w:rPr>
        <w:t> </w:t>
      </w:r>
      <w:r>
        <w:rPr/>
        <w:t>program,</w:t>
      </w:r>
      <w:r>
        <w:rPr>
          <w:spacing w:val="-7"/>
        </w:rPr>
        <w:t> </w:t>
      </w:r>
      <w:r>
        <w:rPr/>
        <w:t>not on regulated</w:t>
      </w:r>
      <w:r>
        <w:rPr>
          <w:spacing w:val="-1"/>
        </w:rPr>
        <w:t> </w:t>
      </w:r>
      <w:r>
        <w:rPr/>
        <w:t>firms.</w:t>
      </w:r>
    </w:p>
    <w:p>
      <w:pPr>
        <w:pStyle w:val="BodyText"/>
        <w:spacing w:before="10"/>
      </w:pPr>
    </w:p>
    <w:p>
      <w:pPr>
        <w:pStyle w:val="BodyText"/>
        <w:ind w:left="180" w:right="417"/>
        <w:jc w:val="both"/>
      </w:pPr>
      <w:r>
        <w:rPr/>
        <w:t>Weights</w:t>
      </w:r>
      <w:r>
        <w:rPr>
          <w:spacing w:val="-9"/>
        </w:rPr>
        <w:t> </w:t>
      </w:r>
      <w:r>
        <w:rPr/>
        <w:t>and</w:t>
      </w:r>
      <w:r>
        <w:rPr>
          <w:spacing w:val="-4"/>
        </w:rPr>
        <w:t> </w:t>
      </w:r>
      <w:r>
        <w:rPr/>
        <w:t>measures</w:t>
      </w:r>
      <w:r>
        <w:rPr>
          <w:spacing w:val="-9"/>
        </w:rPr>
        <w:t> </w:t>
      </w:r>
      <w:r>
        <w:rPr/>
        <w:t>officials</w:t>
      </w:r>
      <w:r>
        <w:rPr>
          <w:spacing w:val="-9"/>
        </w:rPr>
        <w:t> </w:t>
      </w:r>
      <w:r>
        <w:rPr/>
        <w:t>are</w:t>
      </w:r>
      <w:r>
        <w:rPr>
          <w:spacing w:val="-7"/>
        </w:rPr>
        <w:t> </w:t>
      </w:r>
      <w:r>
        <w:rPr/>
        <w:t>law</w:t>
      </w:r>
      <w:r>
        <w:rPr>
          <w:spacing w:val="-10"/>
        </w:rPr>
        <w:t> </w:t>
      </w:r>
      <w:r>
        <w:rPr/>
        <w:t>enforcement</w:t>
      </w:r>
      <w:r>
        <w:rPr>
          <w:spacing w:val="-8"/>
        </w:rPr>
        <w:t> </w:t>
      </w:r>
      <w:r>
        <w:rPr/>
        <w:t>officers.</w:t>
      </w:r>
      <w:r>
        <w:rPr>
          <w:spacing w:val="36"/>
        </w:rPr>
        <w:t> </w:t>
      </w:r>
      <w:r>
        <w:rPr/>
        <w:t>Therefore,</w:t>
      </w:r>
      <w:r>
        <w:rPr>
          <w:spacing w:val="-7"/>
        </w:rPr>
        <w:t> </w:t>
      </w:r>
      <w:r>
        <w:rPr/>
        <w:t>they</w:t>
      </w:r>
      <w:r>
        <w:rPr>
          <w:spacing w:val="-7"/>
        </w:rPr>
        <w:t> </w:t>
      </w:r>
      <w:r>
        <w:rPr/>
        <w:t>have</w:t>
      </w:r>
      <w:r>
        <w:rPr>
          <w:spacing w:val="-5"/>
        </w:rPr>
        <w:t> </w:t>
      </w:r>
      <w:r>
        <w:rPr/>
        <w:t>the</w:t>
      </w:r>
      <w:r>
        <w:rPr>
          <w:spacing w:val="-5"/>
        </w:rPr>
        <w:t> </w:t>
      </w:r>
      <w:r>
        <w:rPr/>
        <w:t>responsibility</w:t>
      </w:r>
      <w:r>
        <w:rPr>
          <w:spacing w:val="-9"/>
        </w:rPr>
        <w:t> </w:t>
      </w:r>
      <w:r>
        <w:rPr/>
        <w:t>to</w:t>
      </w:r>
      <w:r>
        <w:rPr>
          <w:spacing w:val="-7"/>
        </w:rPr>
        <w:t> </w:t>
      </w:r>
      <w:r>
        <w:rPr/>
        <w:t>exercise</w:t>
      </w:r>
      <w:r>
        <w:rPr>
          <w:spacing w:val="-8"/>
        </w:rPr>
        <w:t> </w:t>
      </w:r>
      <w:r>
        <w:rPr/>
        <w:t>their authority within the “due process” provisions of the U.S. Constitution. As weights and measure programs carry-out their enforcement responsibilities in the future, more and more challenges to their actions and authority will occur. It is</w:t>
      </w:r>
      <w:r>
        <w:rPr>
          <w:spacing w:val="-6"/>
        </w:rPr>
        <w:t> </w:t>
      </w:r>
      <w:r>
        <w:rPr/>
        <w:t>in</w:t>
      </w:r>
      <w:r>
        <w:rPr>
          <w:spacing w:val="-6"/>
        </w:rPr>
        <w:t> </w:t>
      </w:r>
      <w:r>
        <w:rPr/>
        <w:t>the</w:t>
      </w:r>
      <w:r>
        <w:rPr>
          <w:spacing w:val="-4"/>
        </w:rPr>
        <w:t> </w:t>
      </w:r>
      <w:r>
        <w:rPr/>
        <w:t>best</w:t>
      </w:r>
      <w:r>
        <w:rPr>
          <w:spacing w:val="-5"/>
        </w:rPr>
        <w:t> </w:t>
      </w:r>
      <w:r>
        <w:rPr/>
        <w:t>interest</w:t>
      </w:r>
      <w:r>
        <w:rPr>
          <w:spacing w:val="-5"/>
        </w:rPr>
        <w:t> </w:t>
      </w:r>
      <w:r>
        <w:rPr/>
        <w:t>of</w:t>
      </w:r>
      <w:r>
        <w:rPr>
          <w:spacing w:val="-6"/>
        </w:rPr>
        <w:t> </w:t>
      </w:r>
      <w:r>
        <w:rPr/>
        <w:t>any</w:t>
      </w:r>
      <w:r>
        <w:rPr>
          <w:spacing w:val="-6"/>
        </w:rPr>
        <w:t> </w:t>
      </w:r>
      <w:r>
        <w:rPr/>
        <w:t>program</w:t>
      </w:r>
      <w:r>
        <w:rPr>
          <w:spacing w:val="-8"/>
        </w:rPr>
        <w:t> </w:t>
      </w:r>
      <w:r>
        <w:rPr/>
        <w:t>to</w:t>
      </w:r>
      <w:r>
        <w:rPr>
          <w:spacing w:val="-3"/>
        </w:rPr>
        <w:t> </w:t>
      </w:r>
      <w:r>
        <w:rPr/>
        <w:t>establish</w:t>
      </w:r>
      <w:r>
        <w:rPr>
          <w:spacing w:val="-6"/>
        </w:rPr>
        <w:t> </w:t>
      </w:r>
      <w:r>
        <w:rPr/>
        <w:t>strict</w:t>
      </w:r>
      <w:r>
        <w:rPr>
          <w:spacing w:val="-5"/>
        </w:rPr>
        <w:t> </w:t>
      </w:r>
      <w:r>
        <w:rPr/>
        <w:t>operational</w:t>
      </w:r>
      <w:r>
        <w:rPr>
          <w:spacing w:val="-5"/>
        </w:rPr>
        <w:t> </w:t>
      </w:r>
      <w:r>
        <w:rPr/>
        <w:t>procedures</w:t>
      </w:r>
      <w:r>
        <w:rPr>
          <w:spacing w:val="-5"/>
        </w:rPr>
        <w:t> </w:t>
      </w:r>
      <w:r>
        <w:rPr/>
        <w:t>and</w:t>
      </w:r>
      <w:r>
        <w:rPr>
          <w:spacing w:val="-3"/>
        </w:rPr>
        <w:t> </w:t>
      </w:r>
      <w:r>
        <w:rPr/>
        <w:t>standards</w:t>
      </w:r>
      <w:r>
        <w:rPr>
          <w:spacing w:val="-6"/>
        </w:rPr>
        <w:t> </w:t>
      </w:r>
      <w:r>
        <w:rPr/>
        <w:t>of</w:t>
      </w:r>
      <w:r>
        <w:rPr>
          <w:spacing w:val="-6"/>
        </w:rPr>
        <w:t> </w:t>
      </w:r>
      <w:r>
        <w:rPr/>
        <w:t>conduct</w:t>
      </w:r>
      <w:r>
        <w:rPr>
          <w:spacing w:val="-2"/>
        </w:rPr>
        <w:t> </w:t>
      </w:r>
      <w:r>
        <w:rPr/>
        <w:t>to</w:t>
      </w:r>
      <w:r>
        <w:rPr>
          <w:spacing w:val="-3"/>
        </w:rPr>
        <w:t> </w:t>
      </w:r>
      <w:r>
        <w:rPr/>
        <w:t>prevent</w:t>
      </w:r>
      <w:r>
        <w:rPr>
          <w:spacing w:val="-5"/>
        </w:rPr>
        <w:t> </w:t>
      </w:r>
      <w:r>
        <w:rPr/>
        <w:t>the occurrence of improper actions which may place the jurisdiction in an untenable position in a court challenge of an enforcement action. The foundation for ensuring “proper” actions is training, clear and concise requirements, and adoption of, and adherence to uniform test procedures and legal</w:t>
      </w:r>
      <w:r>
        <w:rPr>
          <w:spacing w:val="-6"/>
        </w:rPr>
        <w:t> </w:t>
      </w:r>
      <w:r>
        <w:rPr/>
        <w:t>procedures.</w:t>
      </w:r>
    </w:p>
    <w:p>
      <w:pPr>
        <w:pStyle w:val="BodyText"/>
        <w:spacing w:before="11"/>
      </w:pPr>
    </w:p>
    <w:p>
      <w:pPr>
        <w:pStyle w:val="BodyText"/>
        <w:ind w:left="180" w:right="419"/>
        <w:jc w:val="both"/>
      </w:pPr>
      <w:r>
        <w:rPr/>
        <w:t>Prior to taking enforcement actions the inspector should recheck test results and determine that the information on which the action will be taken is accurate.</w:t>
      </w:r>
    </w:p>
    <w:p>
      <w:pPr>
        <w:pStyle w:val="BodyText"/>
        <w:spacing w:before="8"/>
      </w:pPr>
    </w:p>
    <w:p>
      <w:pPr>
        <w:pStyle w:val="BodyText"/>
        <w:spacing w:before="1"/>
        <w:ind w:left="180" w:right="420"/>
        <w:jc w:val="both"/>
      </w:pPr>
      <w:r>
        <w:rPr/>
        <w:t>Inspections shall be conducted with the understanding that the findings will be clearly and plainly documented and reviewed with the store’s representative.</w:t>
      </w:r>
    </w:p>
    <w:p>
      <w:pPr>
        <w:pStyle w:val="BodyText"/>
        <w:spacing w:before="10"/>
      </w:pPr>
    </w:p>
    <w:p>
      <w:pPr>
        <w:pStyle w:val="BodyText"/>
        <w:ind w:left="179" w:right="417"/>
        <w:jc w:val="both"/>
      </w:pPr>
      <w:r>
        <w:rPr/>
        <w:t>During the review of the findings, the firm’s representative may provide information which must be used by the inspector to resolve the problems and concerns before enforcement actions are taken. In some cases, the provided information</w:t>
      </w:r>
      <w:r>
        <w:rPr>
          <w:spacing w:val="-9"/>
        </w:rPr>
        <w:t> </w:t>
      </w:r>
      <w:r>
        <w:rPr/>
        <w:t>may</w:t>
      </w:r>
      <w:r>
        <w:rPr>
          <w:spacing w:val="-11"/>
        </w:rPr>
        <w:t> </w:t>
      </w:r>
      <w:r>
        <w:rPr/>
        <w:t>not</w:t>
      </w:r>
      <w:r>
        <w:rPr>
          <w:spacing w:val="-10"/>
        </w:rPr>
        <w:t> </w:t>
      </w:r>
      <w:r>
        <w:rPr/>
        <w:t>persuade</w:t>
      </w:r>
      <w:r>
        <w:rPr>
          <w:spacing w:val="-10"/>
        </w:rPr>
        <w:t> </w:t>
      </w:r>
      <w:r>
        <w:rPr/>
        <w:t>the</w:t>
      </w:r>
      <w:r>
        <w:rPr>
          <w:spacing w:val="-9"/>
        </w:rPr>
        <w:t> </w:t>
      </w:r>
      <w:r>
        <w:rPr/>
        <w:t>inspector</w:t>
      </w:r>
      <w:r>
        <w:rPr>
          <w:spacing w:val="-9"/>
        </w:rPr>
        <w:t> </w:t>
      </w:r>
      <w:r>
        <w:rPr/>
        <w:t>to</w:t>
      </w:r>
      <w:r>
        <w:rPr>
          <w:spacing w:val="-9"/>
        </w:rPr>
        <w:t> </w:t>
      </w:r>
      <w:r>
        <w:rPr/>
        <w:t>forego</w:t>
      </w:r>
      <w:r>
        <w:rPr>
          <w:spacing w:val="-9"/>
        </w:rPr>
        <w:t> </w:t>
      </w:r>
      <w:r>
        <w:rPr/>
        <w:t>the</w:t>
      </w:r>
      <w:r>
        <w:rPr>
          <w:spacing w:val="-10"/>
        </w:rPr>
        <w:t> </w:t>
      </w:r>
      <w:r>
        <w:rPr/>
        <w:t>action.</w:t>
      </w:r>
      <w:r>
        <w:rPr>
          <w:spacing w:val="32"/>
        </w:rPr>
        <w:t> </w:t>
      </w:r>
      <w:r>
        <w:rPr/>
        <w:t>In</w:t>
      </w:r>
      <w:r>
        <w:rPr>
          <w:spacing w:val="-11"/>
        </w:rPr>
        <w:t> </w:t>
      </w:r>
      <w:r>
        <w:rPr/>
        <w:t>some</w:t>
      </w:r>
      <w:r>
        <w:rPr>
          <w:spacing w:val="-10"/>
        </w:rPr>
        <w:t> </w:t>
      </w:r>
      <w:r>
        <w:rPr/>
        <w:t>cases,</w:t>
      </w:r>
      <w:r>
        <w:rPr>
          <w:spacing w:val="-10"/>
        </w:rPr>
        <w:t> </w:t>
      </w:r>
      <w:r>
        <w:rPr/>
        <w:t>the</w:t>
      </w:r>
      <w:r>
        <w:rPr>
          <w:spacing w:val="-9"/>
        </w:rPr>
        <w:t> </w:t>
      </w:r>
      <w:r>
        <w:rPr/>
        <w:t>inspector</w:t>
      </w:r>
      <w:r>
        <w:rPr>
          <w:spacing w:val="-9"/>
        </w:rPr>
        <w:t> </w:t>
      </w:r>
      <w:r>
        <w:rPr/>
        <w:t>and</w:t>
      </w:r>
      <w:r>
        <w:rPr>
          <w:spacing w:val="-9"/>
        </w:rPr>
        <w:t> </w:t>
      </w:r>
      <w:r>
        <w:rPr/>
        <w:t>business</w:t>
      </w:r>
      <w:r>
        <w:rPr>
          <w:spacing w:val="-11"/>
        </w:rPr>
        <w:t> </w:t>
      </w:r>
      <w:r>
        <w:rPr/>
        <w:t>representa- tive may not understand the circumstances surrounding the violations, or there may be a conflict between the parties that they cannot resolve. In other cases, the owner or manufacturer may not learn that an enforcement action has occurred until long after the inspector leaves the</w:t>
      </w:r>
      <w:r>
        <w:rPr>
          <w:spacing w:val="-2"/>
        </w:rPr>
        <w:t> </w:t>
      </w:r>
      <w:r>
        <w:rPr/>
        <w:t>establishment.</w:t>
      </w:r>
    </w:p>
    <w:p>
      <w:pPr>
        <w:pStyle w:val="BodyText"/>
        <w:spacing w:before="11"/>
      </w:pPr>
    </w:p>
    <w:p>
      <w:pPr>
        <w:pStyle w:val="BodyText"/>
        <w:ind w:left="179"/>
      </w:pPr>
      <w:r>
        <w:rPr/>
        <w:t>Steps:</w:t>
      </w:r>
    </w:p>
    <w:p>
      <w:pPr>
        <w:pStyle w:val="BodyText"/>
        <w:spacing w:before="10"/>
      </w:pPr>
    </w:p>
    <w:p>
      <w:pPr>
        <w:pStyle w:val="ListParagraph"/>
        <w:numPr>
          <w:ilvl w:val="3"/>
          <w:numId w:val="12"/>
        </w:numPr>
        <w:tabs>
          <w:tab w:pos="900" w:val="left" w:leader="none"/>
        </w:tabs>
        <w:spacing w:line="240" w:lineRule="auto" w:before="0" w:after="0"/>
        <w:ind w:left="899" w:right="415" w:hanging="360"/>
        <w:jc w:val="both"/>
        <w:rPr>
          <w:sz w:val="20"/>
        </w:rPr>
      </w:pPr>
      <w:r>
        <w:rPr>
          <w:sz w:val="20"/>
        </w:rPr>
        <w:t>Provide a framework that will help in resolving most of these situations where “due process” is of concern. Make sure that the responsible party (e.g., as declared on the package label) is notified of violations and receives copies of inspection reports. Establish standard operating procedures to assure the affected party of timely access to a representative of the weights and measures program so that the firm can provide the rele- vant information or obtain clarification of legal</w:t>
      </w:r>
      <w:r>
        <w:rPr>
          <w:spacing w:val="-7"/>
          <w:sz w:val="20"/>
        </w:rPr>
        <w:t> </w:t>
      </w:r>
      <w:r>
        <w:rPr>
          <w:sz w:val="20"/>
        </w:rPr>
        <w:t>requirements.</w:t>
      </w:r>
    </w:p>
    <w:p>
      <w:pPr>
        <w:pStyle w:val="BodyText"/>
        <w:spacing w:before="10"/>
      </w:pPr>
    </w:p>
    <w:p>
      <w:pPr>
        <w:pStyle w:val="ListParagraph"/>
        <w:numPr>
          <w:ilvl w:val="3"/>
          <w:numId w:val="12"/>
        </w:numPr>
        <w:tabs>
          <w:tab w:pos="900" w:val="left" w:leader="none"/>
        </w:tabs>
        <w:spacing w:line="240" w:lineRule="auto" w:before="0" w:after="0"/>
        <w:ind w:left="899" w:right="418" w:hanging="360"/>
        <w:jc w:val="both"/>
        <w:rPr>
          <w:sz w:val="20"/>
        </w:rPr>
      </w:pPr>
      <w:r>
        <w:rPr>
          <w:sz w:val="20"/>
        </w:rPr>
        <w:t>Make the process as simple and convenient as possible. Especially in distant or rural areas where there are no local offices, the review should be conducted by a supervisor of the official taking the action if agreed to by the person filing the request for</w:t>
      </w:r>
      <w:r>
        <w:rPr>
          <w:spacing w:val="-5"/>
          <w:sz w:val="20"/>
        </w:rPr>
        <w:t> </w:t>
      </w:r>
      <w:r>
        <w:rPr>
          <w:sz w:val="20"/>
        </w:rPr>
        <w:t>review.</w:t>
      </w:r>
    </w:p>
    <w:p>
      <w:pPr>
        <w:pStyle w:val="BodyText"/>
        <w:spacing w:before="9"/>
      </w:pPr>
    </w:p>
    <w:p>
      <w:pPr>
        <w:pStyle w:val="ListParagraph"/>
        <w:numPr>
          <w:ilvl w:val="3"/>
          <w:numId w:val="12"/>
        </w:numPr>
        <w:tabs>
          <w:tab w:pos="900" w:val="left" w:leader="none"/>
        </w:tabs>
        <w:spacing w:line="240" w:lineRule="auto" w:before="0" w:after="0"/>
        <w:ind w:left="899" w:right="420" w:hanging="360"/>
        <w:jc w:val="both"/>
        <w:rPr>
          <w:sz w:val="20"/>
        </w:rPr>
      </w:pPr>
      <w:r>
        <w:rPr>
          <w:sz w:val="20"/>
        </w:rPr>
        <w:t>The</w:t>
      </w:r>
      <w:r>
        <w:rPr>
          <w:spacing w:val="-8"/>
          <w:sz w:val="20"/>
        </w:rPr>
        <w:t> </w:t>
      </w:r>
      <w:r>
        <w:rPr>
          <w:sz w:val="20"/>
        </w:rPr>
        <w:t>process</w:t>
      </w:r>
      <w:r>
        <w:rPr>
          <w:spacing w:val="-8"/>
          <w:sz w:val="20"/>
        </w:rPr>
        <w:t> </w:t>
      </w:r>
      <w:r>
        <w:rPr>
          <w:sz w:val="20"/>
        </w:rPr>
        <w:t>should</w:t>
      </w:r>
      <w:r>
        <w:rPr>
          <w:spacing w:val="-7"/>
          <w:sz w:val="20"/>
        </w:rPr>
        <w:t> </w:t>
      </w:r>
      <w:r>
        <w:rPr>
          <w:sz w:val="20"/>
        </w:rPr>
        <w:t>include</w:t>
      </w:r>
      <w:r>
        <w:rPr>
          <w:spacing w:val="-4"/>
          <w:sz w:val="20"/>
        </w:rPr>
        <w:t> </w:t>
      </w:r>
      <w:r>
        <w:rPr>
          <w:sz w:val="20"/>
        </w:rPr>
        <w:t>notice</w:t>
      </w:r>
      <w:r>
        <w:rPr>
          <w:spacing w:val="-8"/>
          <w:sz w:val="20"/>
        </w:rPr>
        <w:t> </w:t>
      </w:r>
      <w:r>
        <w:rPr>
          <w:sz w:val="20"/>
        </w:rPr>
        <w:t>that</w:t>
      </w:r>
      <w:r>
        <w:rPr>
          <w:spacing w:val="-7"/>
          <w:sz w:val="20"/>
        </w:rPr>
        <w:t> </w:t>
      </w:r>
      <w:r>
        <w:rPr>
          <w:sz w:val="20"/>
        </w:rPr>
        <w:t>the</w:t>
      </w:r>
      <w:r>
        <w:rPr>
          <w:spacing w:val="-4"/>
          <w:sz w:val="20"/>
        </w:rPr>
        <w:t> </w:t>
      </w:r>
      <w:r>
        <w:rPr>
          <w:sz w:val="20"/>
        </w:rPr>
        <w:t>firm</w:t>
      </w:r>
      <w:r>
        <w:rPr>
          <w:spacing w:val="-12"/>
          <w:sz w:val="20"/>
        </w:rPr>
        <w:t> </w:t>
      </w:r>
      <w:r>
        <w:rPr>
          <w:sz w:val="20"/>
        </w:rPr>
        <w:t>can</w:t>
      </w:r>
      <w:r>
        <w:rPr>
          <w:spacing w:val="-6"/>
          <w:sz w:val="20"/>
        </w:rPr>
        <w:t> </w:t>
      </w:r>
      <w:r>
        <w:rPr>
          <w:sz w:val="20"/>
        </w:rPr>
        <w:t>seek</w:t>
      </w:r>
      <w:r>
        <w:rPr>
          <w:spacing w:val="-8"/>
          <w:sz w:val="20"/>
        </w:rPr>
        <w:t> </w:t>
      </w:r>
      <w:r>
        <w:rPr>
          <w:sz w:val="20"/>
        </w:rPr>
        <w:t>review</w:t>
      </w:r>
      <w:r>
        <w:rPr>
          <w:spacing w:val="-12"/>
          <w:sz w:val="20"/>
        </w:rPr>
        <w:t> </w:t>
      </w:r>
      <w:r>
        <w:rPr>
          <w:sz w:val="20"/>
        </w:rPr>
        <w:t>at</w:t>
      </w:r>
      <w:r>
        <w:rPr>
          <w:spacing w:val="-7"/>
          <w:sz w:val="20"/>
        </w:rPr>
        <w:t> </w:t>
      </w:r>
      <w:r>
        <w:rPr>
          <w:sz w:val="20"/>
        </w:rPr>
        <w:t>a</w:t>
      </w:r>
      <w:r>
        <w:rPr>
          <w:spacing w:val="-5"/>
          <w:sz w:val="20"/>
        </w:rPr>
        <w:t> </w:t>
      </w:r>
      <w:r>
        <w:rPr>
          <w:sz w:val="20"/>
        </w:rPr>
        <w:t>higher</w:t>
      </w:r>
      <w:r>
        <w:rPr>
          <w:spacing w:val="-6"/>
          <w:sz w:val="20"/>
        </w:rPr>
        <w:t> </w:t>
      </w:r>
      <w:r>
        <w:rPr>
          <w:sz w:val="20"/>
        </w:rPr>
        <w:t>level</w:t>
      </w:r>
      <w:r>
        <w:rPr>
          <w:spacing w:val="-7"/>
          <w:sz w:val="20"/>
        </w:rPr>
        <w:t> </w:t>
      </w:r>
      <w:r>
        <w:rPr>
          <w:sz w:val="20"/>
        </w:rPr>
        <w:t>in</w:t>
      </w:r>
      <w:r>
        <w:rPr>
          <w:spacing w:val="-9"/>
          <w:sz w:val="20"/>
        </w:rPr>
        <w:t> </w:t>
      </w:r>
      <w:r>
        <w:rPr>
          <w:sz w:val="20"/>
        </w:rPr>
        <w:t>the</w:t>
      </w:r>
      <w:r>
        <w:rPr>
          <w:spacing w:val="-4"/>
          <w:sz w:val="20"/>
        </w:rPr>
        <w:t> </w:t>
      </w:r>
      <w:r>
        <w:rPr>
          <w:sz w:val="20"/>
        </w:rPr>
        <w:t>weights</w:t>
      </w:r>
      <w:r>
        <w:rPr>
          <w:spacing w:val="-9"/>
          <w:sz w:val="20"/>
        </w:rPr>
        <w:t> </w:t>
      </w:r>
      <w:r>
        <w:rPr>
          <w:sz w:val="20"/>
        </w:rPr>
        <w:t>and</w:t>
      </w:r>
      <w:r>
        <w:rPr>
          <w:spacing w:val="-3"/>
          <w:sz w:val="20"/>
        </w:rPr>
        <w:t> </w:t>
      </w:r>
      <w:r>
        <w:rPr>
          <w:sz w:val="20"/>
        </w:rPr>
        <w:t>measures program or an independent review by a third party. The following procedures are</w:t>
      </w:r>
      <w:r>
        <w:rPr>
          <w:spacing w:val="-23"/>
          <w:sz w:val="20"/>
        </w:rPr>
        <w:t> </w:t>
      </w:r>
      <w:r>
        <w:rPr>
          <w:sz w:val="20"/>
        </w:rPr>
        <w:t>recommended:</w:t>
      </w:r>
    </w:p>
    <w:p>
      <w:pPr>
        <w:spacing w:after="0" w:line="240" w:lineRule="auto"/>
        <w:jc w:val="both"/>
        <w:rPr>
          <w:sz w:val="20"/>
        </w:rPr>
        <w:sectPr>
          <w:pgSz w:w="12240" w:h="15840"/>
          <w:pgMar w:header="730" w:footer="740" w:top="1340" w:bottom="940" w:left="1260" w:right="1020"/>
        </w:sectPr>
      </w:pPr>
    </w:p>
    <w:p>
      <w:pPr>
        <w:pStyle w:val="ListParagraph"/>
        <w:numPr>
          <w:ilvl w:val="4"/>
          <w:numId w:val="12"/>
        </w:numPr>
        <w:tabs>
          <w:tab w:pos="1260" w:val="left" w:leader="none"/>
        </w:tabs>
        <w:spacing w:line="240" w:lineRule="auto" w:before="88" w:after="0"/>
        <w:ind w:left="1259" w:right="418" w:hanging="360"/>
        <w:jc w:val="both"/>
        <w:rPr>
          <w:sz w:val="20"/>
        </w:rPr>
      </w:pPr>
      <w:r>
        <w:rPr>
          <w:sz w:val="20"/>
        </w:rPr>
        <w:t>Any owner, distributor, packager, or retailer of a device ordered out of service, or item or commodity ordered</w:t>
      </w:r>
      <w:r>
        <w:rPr>
          <w:spacing w:val="-12"/>
          <w:sz w:val="20"/>
        </w:rPr>
        <w:t> </w:t>
      </w:r>
      <w:r>
        <w:rPr>
          <w:sz w:val="20"/>
        </w:rPr>
        <w:t>“off-sale,”</w:t>
      </w:r>
      <w:r>
        <w:rPr>
          <w:spacing w:val="-12"/>
          <w:sz w:val="20"/>
        </w:rPr>
        <w:t> </w:t>
      </w:r>
      <w:r>
        <w:rPr>
          <w:sz w:val="20"/>
        </w:rPr>
        <w:t>or</w:t>
      </w:r>
      <w:r>
        <w:rPr>
          <w:spacing w:val="-12"/>
          <w:sz w:val="20"/>
        </w:rPr>
        <w:t> </w:t>
      </w:r>
      <w:r>
        <w:rPr>
          <w:sz w:val="20"/>
        </w:rPr>
        <w:t>inspection</w:t>
      </w:r>
      <w:r>
        <w:rPr>
          <w:spacing w:val="-14"/>
          <w:sz w:val="20"/>
        </w:rPr>
        <w:t> </w:t>
      </w:r>
      <w:r>
        <w:rPr>
          <w:sz w:val="20"/>
        </w:rPr>
        <w:t>finding</w:t>
      </w:r>
      <w:r>
        <w:rPr>
          <w:spacing w:val="-13"/>
          <w:sz w:val="20"/>
        </w:rPr>
        <w:t> </w:t>
      </w:r>
      <w:r>
        <w:rPr>
          <w:sz w:val="20"/>
        </w:rPr>
        <w:t>(e.g.,</w:t>
      </w:r>
      <w:r>
        <w:rPr>
          <w:spacing w:val="-13"/>
          <w:sz w:val="20"/>
        </w:rPr>
        <w:t> </w:t>
      </w:r>
      <w:r>
        <w:rPr>
          <w:sz w:val="20"/>
        </w:rPr>
        <w:t>a</w:t>
      </w:r>
      <w:r>
        <w:rPr>
          <w:spacing w:val="-12"/>
          <w:sz w:val="20"/>
        </w:rPr>
        <w:t> </w:t>
      </w:r>
      <w:r>
        <w:rPr>
          <w:sz w:val="20"/>
        </w:rPr>
        <w:t>price</w:t>
      </w:r>
      <w:r>
        <w:rPr>
          <w:spacing w:val="-11"/>
          <w:sz w:val="20"/>
        </w:rPr>
        <w:t> </w:t>
      </w:r>
      <w:r>
        <w:rPr>
          <w:sz w:val="20"/>
        </w:rPr>
        <w:t>misrepresentation</w:t>
      </w:r>
      <w:r>
        <w:rPr>
          <w:spacing w:val="-14"/>
          <w:sz w:val="20"/>
        </w:rPr>
        <w:t> </w:t>
      </w:r>
      <w:r>
        <w:rPr>
          <w:sz w:val="20"/>
        </w:rPr>
        <w:t>or</w:t>
      </w:r>
      <w:r>
        <w:rPr>
          <w:spacing w:val="-12"/>
          <w:sz w:val="20"/>
        </w:rPr>
        <w:t> </w:t>
      </w:r>
      <w:r>
        <w:rPr>
          <w:sz w:val="20"/>
        </w:rPr>
        <w:t>a</w:t>
      </w:r>
      <w:r>
        <w:rPr>
          <w:spacing w:val="-12"/>
          <w:sz w:val="20"/>
        </w:rPr>
        <w:t> </w:t>
      </w:r>
      <w:r>
        <w:rPr>
          <w:sz w:val="20"/>
        </w:rPr>
        <w:t>shortweight</w:t>
      </w:r>
      <w:r>
        <w:rPr>
          <w:spacing w:val="-13"/>
          <w:sz w:val="20"/>
        </w:rPr>
        <w:t> </w:t>
      </w:r>
      <w:r>
        <w:rPr>
          <w:sz w:val="20"/>
        </w:rPr>
        <w:t>lot</w:t>
      </w:r>
      <w:r>
        <w:rPr>
          <w:spacing w:val="-10"/>
          <w:sz w:val="20"/>
        </w:rPr>
        <w:t> </w:t>
      </w:r>
      <w:r>
        <w:rPr>
          <w:sz w:val="20"/>
        </w:rPr>
        <w:t>of</w:t>
      </w:r>
      <w:r>
        <w:rPr>
          <w:spacing w:val="-14"/>
          <w:sz w:val="20"/>
        </w:rPr>
        <w:t> </w:t>
      </w:r>
      <w:r>
        <w:rPr>
          <w:sz w:val="20"/>
        </w:rPr>
        <w:t>packages) shall be entitled to a timely review of such order, to a prompt, impartial, administrative review of such off-sale order or</w:t>
      </w:r>
      <w:r>
        <w:rPr>
          <w:spacing w:val="1"/>
          <w:sz w:val="20"/>
        </w:rPr>
        <w:t> </w:t>
      </w:r>
      <w:r>
        <w:rPr>
          <w:sz w:val="20"/>
        </w:rPr>
        <w:t>finding.</w:t>
      </w:r>
    </w:p>
    <w:p>
      <w:pPr>
        <w:pStyle w:val="BodyText"/>
        <w:spacing w:before="9"/>
      </w:pPr>
    </w:p>
    <w:p>
      <w:pPr>
        <w:pStyle w:val="BodyText"/>
        <w:spacing w:before="1"/>
        <w:ind w:left="1259" w:right="419"/>
        <w:jc w:val="both"/>
      </w:pPr>
      <w:r>
        <w:rPr/>
        <w:t>A notice of the right to administrative review should be included on all orders or reports of findings or violations and should be communicated to the responsible firm (e.g., person or firm identified on the product label):</w:t>
      </w:r>
    </w:p>
    <w:p>
      <w:pPr>
        <w:pStyle w:val="BodyText"/>
      </w:pPr>
    </w:p>
    <w:p>
      <w:pPr>
        <w:pStyle w:val="BodyText"/>
        <w:spacing w:before="4"/>
        <w:rPr>
          <w:sz w:val="10"/>
        </w:rPr>
      </w:pPr>
      <w:r>
        <w:rPr/>
        <w:pict>
          <v:shape style="position:absolute;margin-left:153pt;margin-top:8.683203pt;width:306pt;height:171.75pt;mso-position-horizontal-relative:page;mso-position-vertical-relative:paragraph;z-index:-544;mso-wrap-distance-left:0;mso-wrap-distance-right:0" type="#_x0000_t202" filled="false" stroked="true" strokeweight="1.44pt" strokecolor="#000000">
            <v:textbox inset="0,0,0,0">
              <w:txbxContent>
                <w:p>
                  <w:pPr>
                    <w:spacing w:before="175"/>
                    <w:ind w:left="2287" w:right="0" w:firstLine="0"/>
                    <w:jc w:val="left"/>
                    <w:rPr>
                      <w:rFonts w:ascii="Arial"/>
                      <w:b/>
                      <w:sz w:val="22"/>
                    </w:rPr>
                  </w:pPr>
                  <w:r>
                    <w:rPr>
                      <w:rFonts w:ascii="Arial"/>
                      <w:b/>
                      <w:sz w:val="22"/>
                    </w:rPr>
                    <w:t>Sample Notice</w:t>
                  </w:r>
                </w:p>
                <w:p>
                  <w:pPr>
                    <w:pStyle w:val="BodyText"/>
                    <w:spacing w:before="11"/>
                  </w:pPr>
                </w:p>
                <w:p>
                  <w:pPr>
                    <w:pStyle w:val="BodyText"/>
                    <w:ind w:left="129" w:right="129"/>
                    <w:jc w:val="both"/>
                    <w:rPr>
                      <w:rFonts w:ascii="Arial"/>
                    </w:rPr>
                  </w:pPr>
                  <w:r>
                    <w:rPr>
                      <w:rFonts w:ascii="Arial"/>
                    </w:rPr>
                    <w:t>You</w:t>
                  </w:r>
                  <w:r>
                    <w:rPr>
                      <w:rFonts w:ascii="Arial"/>
                      <w:spacing w:val="-15"/>
                    </w:rPr>
                    <w:t> </w:t>
                  </w:r>
                  <w:r>
                    <w:rPr>
                      <w:rFonts w:ascii="Arial"/>
                    </w:rPr>
                    <w:t>have</w:t>
                  </w:r>
                  <w:r>
                    <w:rPr>
                      <w:rFonts w:ascii="Arial"/>
                      <w:spacing w:val="-14"/>
                    </w:rPr>
                    <w:t> </w:t>
                  </w:r>
                  <w:r>
                    <w:rPr>
                      <w:rFonts w:ascii="Arial"/>
                    </w:rPr>
                    <w:t>the</w:t>
                  </w:r>
                  <w:r>
                    <w:rPr>
                      <w:rFonts w:ascii="Arial"/>
                      <w:spacing w:val="-16"/>
                    </w:rPr>
                    <w:t> </w:t>
                  </w:r>
                  <w:r>
                    <w:rPr>
                      <w:rFonts w:ascii="Arial"/>
                    </w:rPr>
                    <w:t>right</w:t>
                  </w:r>
                  <w:r>
                    <w:rPr>
                      <w:rFonts w:ascii="Arial"/>
                      <w:spacing w:val="-15"/>
                    </w:rPr>
                    <w:t> </w:t>
                  </w:r>
                  <w:r>
                    <w:rPr>
                      <w:rFonts w:ascii="Arial"/>
                    </w:rPr>
                    <w:t>to</w:t>
                  </w:r>
                  <w:r>
                    <w:rPr>
                      <w:rFonts w:ascii="Arial"/>
                      <w:spacing w:val="-14"/>
                    </w:rPr>
                    <w:t> </w:t>
                  </w:r>
                  <w:r>
                    <w:rPr>
                      <w:rFonts w:ascii="Arial"/>
                    </w:rPr>
                    <w:t>an</w:t>
                  </w:r>
                  <w:r>
                    <w:rPr>
                      <w:rFonts w:ascii="Arial"/>
                      <w:spacing w:val="-14"/>
                    </w:rPr>
                    <w:t> </w:t>
                  </w:r>
                  <w:r>
                    <w:rPr>
                      <w:rFonts w:ascii="Arial"/>
                    </w:rPr>
                    <w:t>Administrative</w:t>
                  </w:r>
                  <w:r>
                    <w:rPr>
                      <w:rFonts w:ascii="Arial"/>
                      <w:spacing w:val="-15"/>
                    </w:rPr>
                    <w:t> </w:t>
                  </w:r>
                  <w:r>
                    <w:rPr>
                      <w:rFonts w:ascii="Arial"/>
                    </w:rPr>
                    <w:t>Review</w:t>
                  </w:r>
                  <w:r>
                    <w:rPr>
                      <w:rFonts w:ascii="Arial"/>
                      <w:spacing w:val="-16"/>
                    </w:rPr>
                    <w:t> </w:t>
                  </w:r>
                  <w:r>
                    <w:rPr>
                      <w:rFonts w:ascii="Arial"/>
                    </w:rPr>
                    <w:t>of</w:t>
                  </w:r>
                  <w:r>
                    <w:rPr>
                      <w:rFonts w:ascii="Arial"/>
                      <w:spacing w:val="-14"/>
                    </w:rPr>
                    <w:t> </w:t>
                  </w:r>
                  <w:r>
                    <w:rPr>
                      <w:rFonts w:ascii="Arial"/>
                    </w:rPr>
                    <w:t>this</w:t>
                  </w:r>
                  <w:r>
                    <w:rPr>
                      <w:rFonts w:ascii="Arial"/>
                      <w:spacing w:val="-13"/>
                    </w:rPr>
                    <w:t> </w:t>
                  </w:r>
                  <w:r>
                    <w:rPr>
                      <w:rFonts w:ascii="Arial"/>
                    </w:rPr>
                    <w:t>order</w:t>
                  </w:r>
                  <w:r>
                    <w:rPr>
                      <w:rFonts w:ascii="Arial"/>
                      <w:spacing w:val="-15"/>
                    </w:rPr>
                    <w:t> </w:t>
                  </w:r>
                  <w:r>
                    <w:rPr>
                      <w:rFonts w:ascii="Arial"/>
                    </w:rPr>
                    <w:t>finding. To obtain a review, contact the Director of Weights and Measures by telephone or send a written request (either postmarked, faxed, or hand delivered)</w:t>
                  </w:r>
                  <w:r>
                    <w:rPr>
                      <w:rFonts w:ascii="Arial"/>
                      <w:spacing w:val="-2"/>
                    </w:rPr>
                    <w:t> </w:t>
                  </w:r>
                  <w:r>
                    <w:rPr>
                      <w:rFonts w:ascii="Arial"/>
                    </w:rPr>
                    <w:t>to:</w:t>
                  </w:r>
                </w:p>
                <w:p>
                  <w:pPr>
                    <w:pStyle w:val="BodyText"/>
                    <w:spacing w:before="9"/>
                  </w:pPr>
                </w:p>
                <w:p>
                  <w:pPr>
                    <w:pStyle w:val="BodyText"/>
                    <w:ind w:left="129" w:right="131" w:hanging="1"/>
                    <w:jc w:val="both"/>
                    <w:rPr>
                      <w:rFonts w:ascii="Arial"/>
                    </w:rPr>
                  </w:pPr>
                  <w:r>
                    <w:rPr>
                      <w:rFonts w:ascii="Arial"/>
                    </w:rPr>
                    <w:t>(Name, Address, or Fax Number of the Director or other Desig- nated Official)</w:t>
                  </w:r>
                </w:p>
                <w:p>
                  <w:pPr>
                    <w:pStyle w:val="BodyText"/>
                    <w:spacing w:before="9"/>
                  </w:pPr>
                </w:p>
                <w:p>
                  <w:pPr>
                    <w:pStyle w:val="BodyText"/>
                    <w:ind w:left="129" w:right="129"/>
                    <w:jc w:val="both"/>
                    <w:rPr>
                      <w:rFonts w:ascii="Arial"/>
                    </w:rPr>
                  </w:pPr>
                  <w:r>
                    <w:rPr>
                      <w:rFonts w:ascii="Arial"/>
                    </w:rPr>
                    <w:t>Your request should reference any information that you believe supports the withdrawal or modification of the order or finding.</w:t>
                  </w:r>
                </w:p>
              </w:txbxContent>
            </v:textbox>
            <v:stroke linestyle="thinThin" dashstyle="solid"/>
            <w10:wrap type="topAndBottom"/>
          </v:shape>
        </w:pict>
      </w:r>
    </w:p>
    <w:p>
      <w:pPr>
        <w:pStyle w:val="BodyText"/>
      </w:pPr>
    </w:p>
    <w:p>
      <w:pPr>
        <w:pStyle w:val="BodyText"/>
        <w:spacing w:before="7"/>
      </w:pPr>
    </w:p>
    <w:p>
      <w:pPr>
        <w:pStyle w:val="ListParagraph"/>
        <w:numPr>
          <w:ilvl w:val="4"/>
          <w:numId w:val="12"/>
        </w:numPr>
        <w:tabs>
          <w:tab w:pos="1261" w:val="left" w:leader="none"/>
        </w:tabs>
        <w:spacing w:line="240" w:lineRule="auto" w:before="0" w:after="0"/>
        <w:ind w:left="1260" w:right="416" w:hanging="360"/>
        <w:jc w:val="both"/>
        <w:rPr>
          <w:sz w:val="20"/>
        </w:rPr>
      </w:pPr>
      <w:r>
        <w:rPr>
          <w:sz w:val="20"/>
        </w:rPr>
        <w:t>The administrative review shall be conducted by an independent party designated by the Director or before an independent hearing officer appointed by the Department. The officer shall not be a person responsible for weights and measures administration or enforcement.</w:t>
      </w:r>
    </w:p>
    <w:p>
      <w:pPr>
        <w:pStyle w:val="BodyText"/>
        <w:rPr>
          <w:sz w:val="21"/>
        </w:rPr>
      </w:pPr>
    </w:p>
    <w:p>
      <w:pPr>
        <w:pStyle w:val="ListParagraph"/>
        <w:numPr>
          <w:ilvl w:val="4"/>
          <w:numId w:val="12"/>
        </w:numPr>
        <w:tabs>
          <w:tab w:pos="1261" w:val="left" w:leader="none"/>
        </w:tabs>
        <w:spacing w:line="240" w:lineRule="auto" w:before="0" w:after="0"/>
        <w:ind w:left="1260" w:right="0" w:hanging="360"/>
        <w:jc w:val="left"/>
        <w:rPr>
          <w:sz w:val="20"/>
        </w:rPr>
      </w:pPr>
      <w:r>
        <w:rPr>
          <w:sz w:val="20"/>
        </w:rPr>
        <w:t>No fees should be imposed for the administrative review</w:t>
      </w:r>
      <w:r>
        <w:rPr>
          <w:spacing w:val="-1"/>
          <w:sz w:val="20"/>
        </w:rPr>
        <w:t> </w:t>
      </w:r>
      <w:r>
        <w:rPr>
          <w:sz w:val="20"/>
        </w:rPr>
        <w:t>process.</w:t>
      </w:r>
    </w:p>
    <w:p>
      <w:pPr>
        <w:pStyle w:val="BodyText"/>
        <w:spacing w:before="10"/>
      </w:pPr>
    </w:p>
    <w:p>
      <w:pPr>
        <w:pStyle w:val="ListParagraph"/>
        <w:numPr>
          <w:ilvl w:val="4"/>
          <w:numId w:val="12"/>
        </w:numPr>
        <w:tabs>
          <w:tab w:pos="1261" w:val="left" w:leader="none"/>
        </w:tabs>
        <w:spacing w:line="240" w:lineRule="auto" w:before="1" w:after="0"/>
        <w:ind w:left="1260" w:right="0" w:hanging="360"/>
        <w:jc w:val="left"/>
        <w:rPr>
          <w:sz w:val="20"/>
        </w:rPr>
      </w:pPr>
      <w:r>
        <w:rPr>
          <w:sz w:val="20"/>
        </w:rPr>
        <w:t>The</w:t>
      </w:r>
      <w:r>
        <w:rPr>
          <w:spacing w:val="-4"/>
          <w:sz w:val="20"/>
        </w:rPr>
        <w:t> </w:t>
      </w:r>
      <w:r>
        <w:rPr>
          <w:sz w:val="20"/>
        </w:rPr>
        <w:t>firm</w:t>
      </w:r>
      <w:r>
        <w:rPr>
          <w:spacing w:val="-7"/>
          <w:sz w:val="20"/>
        </w:rPr>
        <w:t> </w:t>
      </w:r>
      <w:r>
        <w:rPr>
          <w:sz w:val="20"/>
        </w:rPr>
        <w:t>responsible</w:t>
      </w:r>
      <w:r>
        <w:rPr>
          <w:spacing w:val="-4"/>
          <w:sz w:val="20"/>
        </w:rPr>
        <w:t> </w:t>
      </w:r>
      <w:r>
        <w:rPr>
          <w:sz w:val="20"/>
        </w:rPr>
        <w:t>for</w:t>
      </w:r>
      <w:r>
        <w:rPr>
          <w:spacing w:val="-4"/>
          <w:sz w:val="20"/>
        </w:rPr>
        <w:t> </w:t>
      </w:r>
      <w:r>
        <w:rPr>
          <w:sz w:val="20"/>
        </w:rPr>
        <w:t>the</w:t>
      </w:r>
      <w:r>
        <w:rPr>
          <w:spacing w:val="-3"/>
          <w:sz w:val="20"/>
        </w:rPr>
        <w:t> </w:t>
      </w:r>
      <w:r>
        <w:rPr>
          <w:sz w:val="20"/>
        </w:rPr>
        <w:t>product</w:t>
      </w:r>
      <w:r>
        <w:rPr>
          <w:spacing w:val="-5"/>
          <w:sz w:val="20"/>
        </w:rPr>
        <w:t> </w:t>
      </w:r>
      <w:r>
        <w:rPr>
          <w:sz w:val="20"/>
        </w:rPr>
        <w:t>or</w:t>
      </w:r>
      <w:r>
        <w:rPr>
          <w:spacing w:val="-3"/>
          <w:sz w:val="20"/>
        </w:rPr>
        <w:t> </w:t>
      </w:r>
      <w:r>
        <w:rPr>
          <w:sz w:val="20"/>
        </w:rPr>
        <w:t>the</w:t>
      </w:r>
      <w:r>
        <w:rPr>
          <w:spacing w:val="-4"/>
          <w:sz w:val="20"/>
        </w:rPr>
        <w:t> </w:t>
      </w:r>
      <w:r>
        <w:rPr>
          <w:sz w:val="20"/>
        </w:rPr>
        <w:t>retailer may</w:t>
      </w:r>
      <w:r>
        <w:rPr>
          <w:spacing w:val="-6"/>
          <w:sz w:val="20"/>
        </w:rPr>
        <w:t> </w:t>
      </w:r>
      <w:r>
        <w:rPr>
          <w:sz w:val="20"/>
        </w:rPr>
        <w:t>introduce</w:t>
      </w:r>
      <w:r>
        <w:rPr>
          <w:spacing w:val="-3"/>
          <w:sz w:val="20"/>
        </w:rPr>
        <w:t> </w:t>
      </w:r>
      <w:r>
        <w:rPr>
          <w:sz w:val="20"/>
        </w:rPr>
        <w:t>any</w:t>
      </w:r>
      <w:r>
        <w:rPr>
          <w:spacing w:val="-6"/>
          <w:sz w:val="20"/>
        </w:rPr>
        <w:t> </w:t>
      </w:r>
      <w:r>
        <w:rPr>
          <w:sz w:val="20"/>
        </w:rPr>
        <w:t>record</w:t>
      </w:r>
      <w:r>
        <w:rPr>
          <w:spacing w:val="-2"/>
          <w:sz w:val="20"/>
        </w:rPr>
        <w:t> </w:t>
      </w:r>
      <w:r>
        <w:rPr>
          <w:sz w:val="20"/>
        </w:rPr>
        <w:t>or</w:t>
      </w:r>
      <w:r>
        <w:rPr>
          <w:spacing w:val="-6"/>
          <w:sz w:val="20"/>
        </w:rPr>
        <w:t> </w:t>
      </w:r>
      <w:r>
        <w:rPr>
          <w:sz w:val="20"/>
        </w:rPr>
        <w:t>other</w:t>
      </w:r>
      <w:r>
        <w:rPr>
          <w:spacing w:val="-3"/>
          <w:sz w:val="20"/>
        </w:rPr>
        <w:t> </w:t>
      </w:r>
      <w:r>
        <w:rPr>
          <w:sz w:val="20"/>
        </w:rPr>
        <w:t>relevant</w:t>
      </w:r>
      <w:r>
        <w:rPr>
          <w:spacing w:val="-5"/>
          <w:sz w:val="20"/>
        </w:rPr>
        <w:t> </w:t>
      </w:r>
      <w:r>
        <w:rPr>
          <w:sz w:val="20"/>
        </w:rPr>
        <w:t>evidence.</w:t>
      </w:r>
    </w:p>
    <w:p>
      <w:pPr>
        <w:pStyle w:val="BodyText"/>
        <w:spacing w:before="10"/>
      </w:pPr>
    </w:p>
    <w:p>
      <w:pPr>
        <w:pStyle w:val="Heading1"/>
        <w:ind w:left="1620"/>
      </w:pPr>
      <w:r>
        <w:rPr/>
        <w:t>For example:</w:t>
      </w:r>
    </w:p>
    <w:p>
      <w:pPr>
        <w:pStyle w:val="BodyText"/>
        <w:spacing w:before="8"/>
        <w:rPr>
          <w:b/>
        </w:rPr>
      </w:pPr>
    </w:p>
    <w:p>
      <w:pPr>
        <w:pStyle w:val="ListParagraph"/>
        <w:numPr>
          <w:ilvl w:val="5"/>
          <w:numId w:val="12"/>
        </w:numPr>
        <w:tabs>
          <w:tab w:pos="1979" w:val="left" w:leader="none"/>
          <w:tab w:pos="1980" w:val="left" w:leader="none"/>
        </w:tabs>
        <w:spacing w:line="240" w:lineRule="auto" w:before="0" w:after="0"/>
        <w:ind w:left="1979" w:right="418" w:hanging="374"/>
        <w:jc w:val="left"/>
        <w:rPr>
          <w:sz w:val="20"/>
        </w:rPr>
      </w:pPr>
      <w:r>
        <w:rPr>
          <w:sz w:val="20"/>
        </w:rPr>
        <w:t>Commodities subject to the off-sale action or other findings were produced, processed, pack- aged, priced, or labeled in accordance with applicable laws, regulations or</w:t>
      </w:r>
      <w:r>
        <w:rPr>
          <w:spacing w:val="-20"/>
          <w:sz w:val="20"/>
        </w:rPr>
        <w:t> </w:t>
      </w:r>
      <w:r>
        <w:rPr>
          <w:sz w:val="20"/>
        </w:rPr>
        <w:t>requirements.</w:t>
      </w:r>
    </w:p>
    <w:p>
      <w:pPr>
        <w:pStyle w:val="BodyText"/>
        <w:spacing w:before="10"/>
      </w:pPr>
    </w:p>
    <w:p>
      <w:pPr>
        <w:pStyle w:val="ListParagraph"/>
        <w:numPr>
          <w:ilvl w:val="5"/>
          <w:numId w:val="12"/>
        </w:numPr>
        <w:tabs>
          <w:tab w:pos="1979" w:val="left" w:leader="none"/>
          <w:tab w:pos="1980" w:val="left" w:leader="none"/>
        </w:tabs>
        <w:spacing w:line="240" w:lineRule="auto" w:before="1" w:after="0"/>
        <w:ind w:left="1979" w:right="416" w:hanging="432"/>
        <w:jc w:val="left"/>
        <w:rPr>
          <w:sz w:val="20"/>
        </w:rPr>
      </w:pPr>
      <w:r>
        <w:rPr>
          <w:sz w:val="20"/>
        </w:rPr>
        <w:t>Devices</w:t>
      </w:r>
      <w:r>
        <w:rPr>
          <w:spacing w:val="-10"/>
          <w:sz w:val="20"/>
        </w:rPr>
        <w:t> </w:t>
      </w:r>
      <w:r>
        <w:rPr>
          <w:sz w:val="20"/>
        </w:rPr>
        <w:t>subject</w:t>
      </w:r>
      <w:r>
        <w:rPr>
          <w:spacing w:val="-11"/>
          <w:sz w:val="20"/>
        </w:rPr>
        <w:t> </w:t>
      </w:r>
      <w:r>
        <w:rPr>
          <w:sz w:val="20"/>
        </w:rPr>
        <w:t>to</w:t>
      </w:r>
      <w:r>
        <w:rPr>
          <w:spacing w:val="-10"/>
          <w:sz w:val="20"/>
        </w:rPr>
        <w:t> </w:t>
      </w:r>
      <w:r>
        <w:rPr>
          <w:sz w:val="20"/>
        </w:rPr>
        <w:t>the</w:t>
      </w:r>
      <w:r>
        <w:rPr>
          <w:spacing w:val="-11"/>
          <w:sz w:val="20"/>
        </w:rPr>
        <w:t> </w:t>
      </w:r>
      <w:r>
        <w:rPr>
          <w:sz w:val="20"/>
        </w:rPr>
        <w:t>“stop-use”</w:t>
      </w:r>
      <w:r>
        <w:rPr>
          <w:spacing w:val="-11"/>
          <w:sz w:val="20"/>
        </w:rPr>
        <w:t> </w:t>
      </w:r>
      <w:r>
        <w:rPr>
          <w:sz w:val="20"/>
        </w:rPr>
        <w:t>order</w:t>
      </w:r>
      <w:r>
        <w:rPr>
          <w:spacing w:val="-9"/>
          <w:sz w:val="20"/>
        </w:rPr>
        <w:t> </w:t>
      </w:r>
      <w:r>
        <w:rPr>
          <w:sz w:val="20"/>
        </w:rPr>
        <w:t>or</w:t>
      </w:r>
      <w:r>
        <w:rPr>
          <w:spacing w:val="-10"/>
          <w:sz w:val="20"/>
        </w:rPr>
        <w:t> </w:t>
      </w:r>
      <w:r>
        <w:rPr>
          <w:sz w:val="20"/>
        </w:rPr>
        <w:t>“condemnation”</w:t>
      </w:r>
      <w:r>
        <w:rPr>
          <w:spacing w:val="-6"/>
          <w:sz w:val="20"/>
        </w:rPr>
        <w:t> </w:t>
      </w:r>
      <w:r>
        <w:rPr>
          <w:sz w:val="20"/>
        </w:rPr>
        <w:t>were</w:t>
      </w:r>
      <w:r>
        <w:rPr>
          <w:spacing w:val="-9"/>
          <w:sz w:val="20"/>
        </w:rPr>
        <w:t> </w:t>
      </w:r>
      <w:r>
        <w:rPr>
          <w:sz w:val="20"/>
        </w:rPr>
        <w:t>maintained</w:t>
      </w:r>
      <w:r>
        <w:rPr>
          <w:spacing w:val="-9"/>
          <w:sz w:val="20"/>
        </w:rPr>
        <w:t> </w:t>
      </w:r>
      <w:r>
        <w:rPr>
          <w:sz w:val="20"/>
        </w:rPr>
        <w:t>in</w:t>
      </w:r>
      <w:r>
        <w:rPr>
          <w:spacing w:val="-12"/>
          <w:sz w:val="20"/>
        </w:rPr>
        <w:t> </w:t>
      </w:r>
      <w:r>
        <w:rPr>
          <w:sz w:val="20"/>
        </w:rPr>
        <w:t>accordance</w:t>
      </w:r>
      <w:r>
        <w:rPr>
          <w:spacing w:val="-8"/>
          <w:sz w:val="20"/>
        </w:rPr>
        <w:t> </w:t>
      </w:r>
      <w:r>
        <w:rPr>
          <w:sz w:val="20"/>
        </w:rPr>
        <w:t>with applicable laws, regulations or</w:t>
      </w:r>
      <w:r>
        <w:rPr>
          <w:spacing w:val="-1"/>
          <w:sz w:val="20"/>
        </w:rPr>
        <w:t> </w:t>
      </w:r>
      <w:r>
        <w:rPr>
          <w:sz w:val="20"/>
        </w:rPr>
        <w:t>requirements.</w:t>
      </w:r>
    </w:p>
    <w:p>
      <w:pPr>
        <w:pStyle w:val="BodyText"/>
        <w:spacing w:before="10"/>
      </w:pPr>
    </w:p>
    <w:p>
      <w:pPr>
        <w:pStyle w:val="ListParagraph"/>
        <w:numPr>
          <w:ilvl w:val="5"/>
          <w:numId w:val="12"/>
        </w:numPr>
        <w:tabs>
          <w:tab w:pos="1979" w:val="left" w:leader="none"/>
          <w:tab w:pos="1980" w:val="left" w:leader="none"/>
        </w:tabs>
        <w:spacing w:line="240" w:lineRule="auto" w:before="1" w:after="0"/>
        <w:ind w:left="1979" w:right="0" w:hanging="487"/>
        <w:jc w:val="left"/>
        <w:rPr>
          <w:sz w:val="20"/>
        </w:rPr>
      </w:pPr>
      <w:r>
        <w:rPr>
          <w:sz w:val="20"/>
        </w:rPr>
        <w:t>Prescribed test procedures or sampling plans were not followed by the</w:t>
      </w:r>
      <w:r>
        <w:rPr>
          <w:spacing w:val="-9"/>
          <w:sz w:val="20"/>
        </w:rPr>
        <w:t> </w:t>
      </w:r>
      <w:r>
        <w:rPr>
          <w:sz w:val="20"/>
        </w:rPr>
        <w:t>inspector.</w:t>
      </w:r>
    </w:p>
    <w:p>
      <w:pPr>
        <w:pStyle w:val="BodyText"/>
        <w:spacing w:before="10"/>
      </w:pPr>
    </w:p>
    <w:p>
      <w:pPr>
        <w:pStyle w:val="ListParagraph"/>
        <w:numPr>
          <w:ilvl w:val="5"/>
          <w:numId w:val="12"/>
        </w:numPr>
        <w:tabs>
          <w:tab w:pos="1979" w:val="left" w:leader="none"/>
          <w:tab w:pos="1980" w:val="left" w:leader="none"/>
        </w:tabs>
        <w:spacing w:line="240" w:lineRule="auto" w:before="0" w:after="0"/>
        <w:ind w:left="1979" w:right="0" w:hanging="475"/>
        <w:jc w:val="left"/>
        <w:rPr>
          <w:sz w:val="20"/>
        </w:rPr>
      </w:pPr>
      <w:r>
        <w:rPr>
          <w:sz w:val="20"/>
        </w:rPr>
        <w:t>Mitigating circumstances existed which should be</w:t>
      </w:r>
      <w:r>
        <w:rPr>
          <w:spacing w:val="-1"/>
          <w:sz w:val="20"/>
        </w:rPr>
        <w:t> </w:t>
      </w:r>
      <w:r>
        <w:rPr>
          <w:sz w:val="20"/>
        </w:rPr>
        <w:t>considered.</w:t>
      </w:r>
    </w:p>
    <w:p>
      <w:pPr>
        <w:pStyle w:val="BodyText"/>
        <w:spacing w:before="8"/>
      </w:pPr>
    </w:p>
    <w:p>
      <w:pPr>
        <w:pStyle w:val="ListParagraph"/>
        <w:numPr>
          <w:ilvl w:val="4"/>
          <w:numId w:val="12"/>
        </w:numPr>
        <w:tabs>
          <w:tab w:pos="1260" w:val="left" w:leader="none"/>
        </w:tabs>
        <w:spacing w:line="240" w:lineRule="auto" w:before="0" w:after="0"/>
        <w:ind w:left="1259" w:right="422" w:hanging="360"/>
        <w:jc w:val="left"/>
        <w:rPr>
          <w:sz w:val="20"/>
        </w:rPr>
      </w:pPr>
      <w:r>
        <w:rPr>
          <w:sz w:val="20"/>
        </w:rPr>
        <w:t>The reviewer must consider the inspector’s report, findings, and actions as well as any evidence intro- duced by the owner, distributor, packager, or retailer as part of the review</w:t>
      </w:r>
      <w:r>
        <w:rPr>
          <w:spacing w:val="-18"/>
          <w:sz w:val="20"/>
        </w:rPr>
        <w:t> </w:t>
      </w:r>
      <w:r>
        <w:rPr>
          <w:sz w:val="20"/>
        </w:rPr>
        <w:t>process.</w:t>
      </w:r>
    </w:p>
    <w:p>
      <w:pPr>
        <w:pStyle w:val="BodyText"/>
        <w:spacing w:before="10"/>
      </w:pPr>
    </w:p>
    <w:p>
      <w:pPr>
        <w:pStyle w:val="ListParagraph"/>
        <w:numPr>
          <w:ilvl w:val="4"/>
          <w:numId w:val="12"/>
        </w:numPr>
        <w:tabs>
          <w:tab w:pos="1260" w:val="left" w:leader="none"/>
        </w:tabs>
        <w:spacing w:line="240" w:lineRule="auto" w:before="1" w:after="0"/>
        <w:ind w:left="1259" w:right="421" w:hanging="360"/>
        <w:jc w:val="left"/>
        <w:rPr>
          <w:sz w:val="20"/>
        </w:rPr>
      </w:pPr>
      <w:r>
        <w:rPr>
          <w:sz w:val="20"/>
        </w:rPr>
        <w:t>The</w:t>
      </w:r>
      <w:r>
        <w:rPr>
          <w:spacing w:val="-4"/>
          <w:sz w:val="20"/>
        </w:rPr>
        <w:t> </w:t>
      </w:r>
      <w:r>
        <w:rPr>
          <w:sz w:val="20"/>
        </w:rPr>
        <w:t>reviewer</w:t>
      </w:r>
      <w:r>
        <w:rPr>
          <w:spacing w:val="-1"/>
          <w:sz w:val="20"/>
        </w:rPr>
        <w:t> </w:t>
      </w:r>
      <w:r>
        <w:rPr>
          <w:sz w:val="20"/>
        </w:rPr>
        <w:t>must</w:t>
      </w:r>
      <w:r>
        <w:rPr>
          <w:spacing w:val="-4"/>
          <w:sz w:val="20"/>
        </w:rPr>
        <w:t> </w:t>
      </w:r>
      <w:r>
        <w:rPr>
          <w:sz w:val="20"/>
        </w:rPr>
        <w:t>provide</w:t>
      </w:r>
      <w:r>
        <w:rPr>
          <w:spacing w:val="-4"/>
          <w:sz w:val="20"/>
        </w:rPr>
        <w:t> </w:t>
      </w:r>
      <w:r>
        <w:rPr>
          <w:sz w:val="20"/>
        </w:rPr>
        <w:t>a</w:t>
      </w:r>
      <w:r>
        <w:rPr>
          <w:spacing w:val="-4"/>
          <w:sz w:val="20"/>
        </w:rPr>
        <w:t> </w:t>
      </w:r>
      <w:r>
        <w:rPr>
          <w:sz w:val="20"/>
        </w:rPr>
        <w:t>timely</w:t>
      </w:r>
      <w:r>
        <w:rPr>
          <w:spacing w:val="-3"/>
          <w:sz w:val="20"/>
        </w:rPr>
        <w:t> </w:t>
      </w:r>
      <w:r>
        <w:rPr>
          <w:sz w:val="20"/>
        </w:rPr>
        <w:t>written</w:t>
      </w:r>
      <w:r>
        <w:rPr>
          <w:spacing w:val="-5"/>
          <w:sz w:val="20"/>
        </w:rPr>
        <w:t> </w:t>
      </w:r>
      <w:r>
        <w:rPr>
          <w:sz w:val="20"/>
        </w:rPr>
        <w:t>recommendation</w:t>
      </w:r>
      <w:r>
        <w:rPr>
          <w:spacing w:val="-4"/>
          <w:sz w:val="20"/>
        </w:rPr>
        <w:t> </w:t>
      </w:r>
      <w:r>
        <w:rPr>
          <w:sz w:val="20"/>
        </w:rPr>
        <w:t>following</w:t>
      </w:r>
      <w:r>
        <w:rPr>
          <w:spacing w:val="-5"/>
          <w:sz w:val="20"/>
        </w:rPr>
        <w:t> </w:t>
      </w:r>
      <w:r>
        <w:rPr>
          <w:sz w:val="20"/>
        </w:rPr>
        <w:t>review</w:t>
      </w:r>
      <w:r>
        <w:rPr>
          <w:spacing w:val="-4"/>
          <w:sz w:val="20"/>
        </w:rPr>
        <w:t> </w:t>
      </w:r>
      <w:r>
        <w:rPr>
          <w:sz w:val="20"/>
        </w:rPr>
        <w:t>unless</w:t>
      </w:r>
      <w:r>
        <w:rPr>
          <w:spacing w:val="-5"/>
          <w:sz w:val="20"/>
        </w:rPr>
        <w:t> </w:t>
      </w:r>
      <w:r>
        <w:rPr>
          <w:sz w:val="20"/>
        </w:rPr>
        <w:t>additional</w:t>
      </w:r>
      <w:r>
        <w:rPr>
          <w:spacing w:val="-3"/>
          <w:sz w:val="20"/>
        </w:rPr>
        <w:t> </w:t>
      </w:r>
      <w:r>
        <w:rPr>
          <w:sz w:val="20"/>
        </w:rPr>
        <w:t>time</w:t>
      </w:r>
      <w:r>
        <w:rPr>
          <w:spacing w:val="-4"/>
          <w:sz w:val="20"/>
        </w:rPr>
        <w:t> </w:t>
      </w:r>
      <w:r>
        <w:rPr>
          <w:sz w:val="20"/>
        </w:rPr>
        <w:t>is agreed to by the department and the</w:t>
      </w:r>
      <w:r>
        <w:rPr>
          <w:spacing w:val="-3"/>
          <w:sz w:val="20"/>
        </w:rPr>
        <w:t> </w:t>
      </w:r>
      <w:r>
        <w:rPr>
          <w:sz w:val="20"/>
        </w:rPr>
        <w:t>petitioner.</w:t>
      </w:r>
    </w:p>
    <w:p>
      <w:pPr>
        <w:spacing w:after="0" w:line="240" w:lineRule="auto"/>
        <w:jc w:val="left"/>
        <w:rPr>
          <w:sz w:val="20"/>
        </w:rPr>
        <w:sectPr>
          <w:footerReference w:type="even" r:id="rId34"/>
          <w:footerReference w:type="default" r:id="rId35"/>
          <w:pgSz w:w="12240" w:h="15840"/>
          <w:pgMar w:footer="741" w:header="730" w:top="1340" w:bottom="940" w:left="1260" w:right="1020"/>
          <w:pgNumType w:start="272"/>
        </w:sectPr>
      </w:pPr>
    </w:p>
    <w:p>
      <w:pPr>
        <w:pStyle w:val="BodyText"/>
        <w:spacing w:before="1"/>
        <w:rPr>
          <w:sz w:val="17"/>
        </w:rPr>
      </w:pPr>
    </w:p>
    <w:p>
      <w:pPr>
        <w:pStyle w:val="ListParagraph"/>
        <w:numPr>
          <w:ilvl w:val="4"/>
          <w:numId w:val="12"/>
        </w:numPr>
        <w:tabs>
          <w:tab w:pos="1261" w:val="left" w:leader="none"/>
        </w:tabs>
        <w:spacing w:line="240" w:lineRule="auto" w:before="91" w:after="0"/>
        <w:ind w:left="1260" w:right="414" w:hanging="361"/>
        <w:jc w:val="both"/>
        <w:rPr>
          <w:sz w:val="20"/>
        </w:rPr>
      </w:pPr>
      <w:bookmarkStart w:name="_bookmark25" w:id="45"/>
      <w:bookmarkEnd w:id="45"/>
      <w:r>
        <w:rPr/>
      </w:r>
      <w:bookmarkStart w:name="_bookmark25" w:id="46"/>
      <w:bookmarkEnd w:id="46"/>
      <w:r>
        <w:rPr>
          <w:sz w:val="20"/>
        </w:rPr>
        <w:t>T</w:t>
      </w:r>
      <w:r>
        <w:rPr>
          <w:sz w:val="20"/>
        </w:rPr>
        <w:t>he reviewer may recommend to the Department that an order be upheld, withdrawn or modified. If justified</w:t>
      </w:r>
      <w:r>
        <w:rPr>
          <w:spacing w:val="-5"/>
          <w:sz w:val="20"/>
        </w:rPr>
        <w:t> </w:t>
      </w:r>
      <w:r>
        <w:rPr>
          <w:sz w:val="20"/>
        </w:rPr>
        <w:t>the</w:t>
      </w:r>
      <w:r>
        <w:rPr>
          <w:spacing w:val="-6"/>
          <w:sz w:val="20"/>
        </w:rPr>
        <w:t> </w:t>
      </w:r>
      <w:r>
        <w:rPr>
          <w:sz w:val="20"/>
        </w:rPr>
        <w:t>reviewer</w:t>
      </w:r>
      <w:r>
        <w:rPr>
          <w:spacing w:val="-3"/>
          <w:sz w:val="20"/>
        </w:rPr>
        <w:t> </w:t>
      </w:r>
      <w:r>
        <w:rPr>
          <w:sz w:val="20"/>
        </w:rPr>
        <w:t>may</w:t>
      </w:r>
      <w:r>
        <w:rPr>
          <w:spacing w:val="-7"/>
          <w:sz w:val="20"/>
        </w:rPr>
        <w:t> </w:t>
      </w:r>
      <w:r>
        <w:rPr>
          <w:sz w:val="20"/>
        </w:rPr>
        <w:t>recommend</w:t>
      </w:r>
      <w:r>
        <w:rPr>
          <w:spacing w:val="-5"/>
          <w:sz w:val="20"/>
        </w:rPr>
        <w:t> </w:t>
      </w:r>
      <w:r>
        <w:rPr>
          <w:sz w:val="20"/>
        </w:rPr>
        <w:t>other</w:t>
      </w:r>
      <w:r>
        <w:rPr>
          <w:spacing w:val="-5"/>
          <w:sz w:val="20"/>
        </w:rPr>
        <w:t> </w:t>
      </w:r>
      <w:r>
        <w:rPr>
          <w:sz w:val="20"/>
        </w:rPr>
        <w:t>action</w:t>
      </w:r>
      <w:r>
        <w:rPr>
          <w:spacing w:val="-8"/>
          <w:sz w:val="20"/>
        </w:rPr>
        <w:t> </w:t>
      </w:r>
      <w:r>
        <w:rPr>
          <w:sz w:val="20"/>
        </w:rPr>
        <w:t>including</w:t>
      </w:r>
      <w:r>
        <w:rPr>
          <w:spacing w:val="-7"/>
          <w:sz w:val="20"/>
        </w:rPr>
        <w:t> </w:t>
      </w:r>
      <w:r>
        <w:rPr>
          <w:sz w:val="20"/>
        </w:rPr>
        <w:t>a</w:t>
      </w:r>
      <w:r>
        <w:rPr>
          <w:spacing w:val="-6"/>
          <w:sz w:val="20"/>
        </w:rPr>
        <w:t> </w:t>
      </w:r>
      <w:r>
        <w:rPr>
          <w:sz w:val="20"/>
        </w:rPr>
        <w:t>reinspection</w:t>
      </w:r>
      <w:r>
        <w:rPr>
          <w:spacing w:val="-7"/>
          <w:sz w:val="20"/>
        </w:rPr>
        <w:t> </w:t>
      </w:r>
      <w:r>
        <w:rPr>
          <w:sz w:val="20"/>
        </w:rPr>
        <w:t>of</w:t>
      </w:r>
      <w:r>
        <w:rPr>
          <w:spacing w:val="-7"/>
          <w:sz w:val="20"/>
        </w:rPr>
        <w:t> </w:t>
      </w:r>
      <w:r>
        <w:rPr>
          <w:sz w:val="20"/>
        </w:rPr>
        <w:t>the</w:t>
      </w:r>
      <w:r>
        <w:rPr>
          <w:spacing w:val="-6"/>
          <w:sz w:val="20"/>
        </w:rPr>
        <w:t> </w:t>
      </w:r>
      <w:r>
        <w:rPr>
          <w:sz w:val="20"/>
        </w:rPr>
        <w:t>device</w:t>
      </w:r>
      <w:r>
        <w:rPr>
          <w:spacing w:val="-4"/>
          <w:sz w:val="20"/>
        </w:rPr>
        <w:t> </w:t>
      </w:r>
      <w:r>
        <w:rPr>
          <w:sz w:val="20"/>
        </w:rPr>
        <w:t>or</w:t>
      </w:r>
      <w:r>
        <w:rPr>
          <w:spacing w:val="-5"/>
          <w:sz w:val="20"/>
        </w:rPr>
        <w:t> </w:t>
      </w:r>
      <w:r>
        <w:rPr>
          <w:sz w:val="20"/>
        </w:rPr>
        <w:t>commodity based upon information presented during the</w:t>
      </w:r>
      <w:r>
        <w:rPr>
          <w:spacing w:val="-3"/>
          <w:sz w:val="20"/>
        </w:rPr>
        <w:t> </w:t>
      </w:r>
      <w:r>
        <w:rPr>
          <w:sz w:val="20"/>
        </w:rPr>
        <w:t>review.</w:t>
      </w:r>
    </w:p>
    <w:p>
      <w:pPr>
        <w:pStyle w:val="BodyText"/>
        <w:rPr>
          <w:sz w:val="21"/>
        </w:rPr>
      </w:pPr>
    </w:p>
    <w:p>
      <w:pPr>
        <w:pStyle w:val="ListParagraph"/>
        <w:numPr>
          <w:ilvl w:val="4"/>
          <w:numId w:val="12"/>
        </w:numPr>
        <w:tabs>
          <w:tab w:pos="1261" w:val="left" w:leader="none"/>
        </w:tabs>
        <w:spacing w:line="240" w:lineRule="auto" w:before="0" w:after="0"/>
        <w:ind w:left="1260" w:right="417" w:hanging="360"/>
        <w:jc w:val="both"/>
        <w:rPr>
          <w:sz w:val="20"/>
        </w:rPr>
      </w:pPr>
      <w:r>
        <w:rPr>
          <w:sz w:val="20"/>
        </w:rPr>
        <w:t>All actions should be documented and all parties advised in writing of the results of the review. The report of action should be detailed in that it provides the reasons for the</w:t>
      </w:r>
      <w:r>
        <w:rPr>
          <w:spacing w:val="-16"/>
          <w:sz w:val="20"/>
        </w:rPr>
        <w:t> </w:t>
      </w:r>
      <w:r>
        <w:rPr>
          <w:sz w:val="20"/>
        </w:rPr>
        <w:t>decision.</w:t>
      </w:r>
    </w:p>
    <w:p>
      <w:pPr>
        <w:pStyle w:val="BodyText"/>
        <w:spacing w:before="2"/>
        <w:rPr>
          <w:sz w:val="31"/>
        </w:rPr>
      </w:pPr>
    </w:p>
    <w:p>
      <w:pPr>
        <w:pStyle w:val="Heading1"/>
        <w:numPr>
          <w:ilvl w:val="2"/>
          <w:numId w:val="12"/>
        </w:numPr>
        <w:tabs>
          <w:tab w:pos="833" w:val="left" w:leader="none"/>
        </w:tabs>
        <w:spacing w:line="240" w:lineRule="auto" w:before="0" w:after="0"/>
        <w:ind w:left="833" w:right="0" w:hanging="653"/>
        <w:jc w:val="left"/>
      </w:pPr>
      <w:bookmarkStart w:name="_bookmark26" w:id="47"/>
      <w:bookmarkEnd w:id="47"/>
      <w:r>
        <w:rPr>
          <w:b w:val="0"/>
        </w:rPr>
      </w:r>
      <w:bookmarkStart w:name="_bookmark26" w:id="48"/>
      <w:bookmarkEnd w:id="48"/>
      <w:r>
        <w:rPr/>
        <w:t>G</w:t>
      </w:r>
      <w:r>
        <w:rPr/>
        <w:t>ood Quantity Control Practices.</w:t>
      </w:r>
    </w:p>
    <w:p>
      <w:pPr>
        <w:pStyle w:val="BodyText"/>
        <w:spacing w:before="10"/>
        <w:rPr>
          <w:b/>
        </w:rPr>
      </w:pPr>
    </w:p>
    <w:p>
      <w:pPr>
        <w:pStyle w:val="BodyText"/>
        <w:ind w:left="180"/>
      </w:pPr>
      <w:r>
        <w:rPr/>
        <w:t>Good Quantity Control Practices means that the plant managers should take all reasonable precautions to ensure the following quantity control standards or their equivalent are met:</w:t>
      </w:r>
    </w:p>
    <w:p>
      <w:pPr>
        <w:pStyle w:val="BodyText"/>
        <w:rPr>
          <w:sz w:val="21"/>
        </w:rPr>
      </w:pPr>
    </w:p>
    <w:p>
      <w:pPr>
        <w:pStyle w:val="ListParagraph"/>
        <w:numPr>
          <w:ilvl w:val="3"/>
          <w:numId w:val="12"/>
        </w:numPr>
        <w:tabs>
          <w:tab w:pos="901" w:val="left" w:leader="none"/>
        </w:tabs>
        <w:spacing w:line="240" w:lineRule="auto" w:before="0" w:after="0"/>
        <w:ind w:left="900" w:right="417" w:hanging="360"/>
        <w:jc w:val="both"/>
        <w:rPr>
          <w:sz w:val="20"/>
        </w:rPr>
      </w:pPr>
      <w:r>
        <w:rPr>
          <w:sz w:val="20"/>
        </w:rPr>
        <w:t>A formal quantity control function is in place with authority to review production processes and records, investigate possible errors, and approve, control, or reject</w:t>
      </w:r>
      <w:r>
        <w:rPr>
          <w:spacing w:val="-2"/>
          <w:sz w:val="20"/>
        </w:rPr>
        <w:t> </w:t>
      </w:r>
      <w:r>
        <w:rPr>
          <w:sz w:val="20"/>
        </w:rPr>
        <w:t>lots.</w:t>
      </w:r>
    </w:p>
    <w:p>
      <w:pPr>
        <w:pStyle w:val="BodyText"/>
        <w:spacing w:before="8"/>
      </w:pPr>
    </w:p>
    <w:p>
      <w:pPr>
        <w:pStyle w:val="ListParagraph"/>
        <w:numPr>
          <w:ilvl w:val="3"/>
          <w:numId w:val="12"/>
        </w:numPr>
        <w:tabs>
          <w:tab w:pos="901" w:val="left" w:leader="none"/>
        </w:tabs>
        <w:spacing w:line="240" w:lineRule="auto" w:before="0" w:after="0"/>
        <w:ind w:left="900" w:right="418" w:hanging="360"/>
        <w:jc w:val="both"/>
        <w:rPr>
          <w:sz w:val="20"/>
        </w:rPr>
      </w:pPr>
      <w:r>
        <w:rPr>
          <w:sz w:val="20"/>
        </w:rPr>
        <w:t>Adequate</w:t>
      </w:r>
      <w:r>
        <w:rPr>
          <w:spacing w:val="-8"/>
          <w:sz w:val="20"/>
        </w:rPr>
        <w:t> </w:t>
      </w:r>
      <w:r>
        <w:rPr>
          <w:sz w:val="20"/>
        </w:rPr>
        <w:t>facilities</w:t>
      </w:r>
      <w:r>
        <w:rPr>
          <w:spacing w:val="-11"/>
          <w:sz w:val="20"/>
        </w:rPr>
        <w:t> </w:t>
      </w:r>
      <w:r>
        <w:rPr>
          <w:sz w:val="20"/>
        </w:rPr>
        <w:t>(e.g.,</w:t>
      </w:r>
      <w:r>
        <w:rPr>
          <w:spacing w:val="-10"/>
          <w:sz w:val="20"/>
        </w:rPr>
        <w:t> </w:t>
      </w:r>
      <w:r>
        <w:rPr>
          <w:sz w:val="20"/>
        </w:rPr>
        <w:t>equipment,</w:t>
      </w:r>
      <w:r>
        <w:rPr>
          <w:spacing w:val="-10"/>
          <w:sz w:val="20"/>
        </w:rPr>
        <w:t> </w:t>
      </w:r>
      <w:r>
        <w:rPr>
          <w:sz w:val="20"/>
        </w:rPr>
        <w:t>standards,</w:t>
      </w:r>
      <w:r>
        <w:rPr>
          <w:spacing w:val="-10"/>
          <w:sz w:val="20"/>
        </w:rPr>
        <w:t> </w:t>
      </w:r>
      <w:r>
        <w:rPr>
          <w:sz w:val="20"/>
        </w:rPr>
        <w:t>and</w:t>
      </w:r>
      <w:r>
        <w:rPr>
          <w:spacing w:val="-8"/>
          <w:sz w:val="20"/>
        </w:rPr>
        <w:t> </w:t>
      </w:r>
      <w:r>
        <w:rPr>
          <w:sz w:val="20"/>
        </w:rPr>
        <w:t>work</w:t>
      </w:r>
      <w:r>
        <w:rPr>
          <w:spacing w:val="-11"/>
          <w:sz w:val="20"/>
        </w:rPr>
        <w:t> </w:t>
      </w:r>
      <w:r>
        <w:rPr>
          <w:sz w:val="20"/>
        </w:rPr>
        <w:t>areas)</w:t>
      </w:r>
      <w:r>
        <w:rPr>
          <w:spacing w:val="-9"/>
          <w:sz w:val="20"/>
        </w:rPr>
        <w:t> </w:t>
      </w:r>
      <w:r>
        <w:rPr>
          <w:sz w:val="20"/>
        </w:rPr>
        <w:t>for</w:t>
      </w:r>
      <w:r>
        <w:rPr>
          <w:spacing w:val="-10"/>
          <w:sz w:val="20"/>
        </w:rPr>
        <w:t> </w:t>
      </w:r>
      <w:r>
        <w:rPr>
          <w:sz w:val="20"/>
        </w:rPr>
        <w:t>conducting</w:t>
      </w:r>
      <w:r>
        <w:rPr>
          <w:spacing w:val="-10"/>
          <w:sz w:val="20"/>
        </w:rPr>
        <w:t> </w:t>
      </w:r>
      <w:r>
        <w:rPr>
          <w:sz w:val="20"/>
        </w:rPr>
        <w:t>quantity</w:t>
      </w:r>
      <w:r>
        <w:rPr>
          <w:spacing w:val="-11"/>
          <w:sz w:val="20"/>
        </w:rPr>
        <w:t> </w:t>
      </w:r>
      <w:r>
        <w:rPr>
          <w:sz w:val="20"/>
        </w:rPr>
        <w:t>control</w:t>
      </w:r>
      <w:r>
        <w:rPr>
          <w:spacing w:val="-10"/>
          <w:sz w:val="20"/>
        </w:rPr>
        <w:t> </w:t>
      </w:r>
      <w:r>
        <w:rPr>
          <w:sz w:val="20"/>
        </w:rPr>
        <w:t>functions</w:t>
      </w:r>
      <w:r>
        <w:rPr>
          <w:spacing w:val="-11"/>
          <w:sz w:val="20"/>
        </w:rPr>
        <w:t> </w:t>
      </w:r>
      <w:r>
        <w:rPr>
          <w:sz w:val="20"/>
        </w:rPr>
        <w:t>are provided and</w:t>
      </w:r>
      <w:r>
        <w:rPr>
          <w:spacing w:val="1"/>
          <w:sz w:val="20"/>
        </w:rPr>
        <w:t> </w:t>
      </w:r>
      <w:r>
        <w:rPr>
          <w:sz w:val="20"/>
        </w:rPr>
        <w:t>maintained.</w:t>
      </w:r>
    </w:p>
    <w:p>
      <w:pPr>
        <w:pStyle w:val="BodyText"/>
        <w:spacing w:before="11"/>
      </w:pPr>
    </w:p>
    <w:p>
      <w:pPr>
        <w:pStyle w:val="ListParagraph"/>
        <w:numPr>
          <w:ilvl w:val="3"/>
          <w:numId w:val="12"/>
        </w:numPr>
        <w:tabs>
          <w:tab w:pos="900" w:val="left" w:leader="none"/>
          <w:tab w:pos="901" w:val="left" w:leader="none"/>
        </w:tabs>
        <w:spacing w:line="240" w:lineRule="auto" w:before="0" w:after="0"/>
        <w:ind w:left="900" w:right="0" w:hanging="360"/>
        <w:jc w:val="left"/>
        <w:rPr>
          <w:sz w:val="20"/>
        </w:rPr>
      </w:pPr>
      <w:r>
        <w:rPr>
          <w:sz w:val="20"/>
        </w:rPr>
        <w:t>A quantity control program (e.g., a system of statistical process control) is in place and</w:t>
      </w:r>
      <w:r>
        <w:rPr>
          <w:spacing w:val="-25"/>
          <w:sz w:val="20"/>
        </w:rPr>
        <w:t> </w:t>
      </w:r>
      <w:r>
        <w:rPr>
          <w:sz w:val="20"/>
        </w:rPr>
        <w:t>maintained.</w:t>
      </w:r>
    </w:p>
    <w:p>
      <w:pPr>
        <w:pStyle w:val="BodyText"/>
        <w:spacing w:before="10"/>
      </w:pPr>
    </w:p>
    <w:p>
      <w:pPr>
        <w:pStyle w:val="ListParagraph"/>
        <w:numPr>
          <w:ilvl w:val="3"/>
          <w:numId w:val="12"/>
        </w:numPr>
        <w:tabs>
          <w:tab w:pos="900" w:val="left" w:leader="none"/>
        </w:tabs>
        <w:spacing w:line="240" w:lineRule="auto" w:before="0" w:after="0"/>
        <w:ind w:left="899" w:right="417" w:hanging="360"/>
        <w:jc w:val="both"/>
        <w:rPr>
          <w:sz w:val="20"/>
        </w:rPr>
      </w:pPr>
      <w:r>
        <w:rPr>
          <w:sz w:val="20"/>
        </w:rPr>
        <w:t>Sampling is conducted at a frequency appropriate to the product process to ensure that the data obtained is representative of the production</w:t>
      </w:r>
      <w:r>
        <w:rPr>
          <w:spacing w:val="-4"/>
          <w:sz w:val="20"/>
        </w:rPr>
        <w:t> </w:t>
      </w:r>
      <w:r>
        <w:rPr>
          <w:sz w:val="20"/>
        </w:rPr>
        <w:t>lot.</w:t>
      </w:r>
    </w:p>
    <w:p>
      <w:pPr>
        <w:pStyle w:val="BodyText"/>
        <w:rPr>
          <w:sz w:val="21"/>
        </w:rPr>
      </w:pPr>
    </w:p>
    <w:p>
      <w:pPr>
        <w:pStyle w:val="ListParagraph"/>
        <w:numPr>
          <w:ilvl w:val="3"/>
          <w:numId w:val="12"/>
        </w:numPr>
        <w:tabs>
          <w:tab w:pos="899" w:val="left" w:leader="none"/>
          <w:tab w:pos="900" w:val="left" w:leader="none"/>
        </w:tabs>
        <w:spacing w:line="240" w:lineRule="auto" w:before="0" w:after="0"/>
        <w:ind w:left="899" w:right="0" w:hanging="360"/>
        <w:jc w:val="left"/>
        <w:rPr>
          <w:sz w:val="20"/>
        </w:rPr>
      </w:pPr>
      <w:r>
        <w:rPr>
          <w:sz w:val="20"/>
        </w:rPr>
        <w:t>Production</w:t>
      </w:r>
      <w:r>
        <w:rPr>
          <w:spacing w:val="-3"/>
          <w:sz w:val="20"/>
        </w:rPr>
        <w:t> </w:t>
      </w:r>
      <w:r>
        <w:rPr>
          <w:sz w:val="20"/>
        </w:rPr>
        <w:t>records</w:t>
      </w:r>
      <w:r>
        <w:rPr>
          <w:spacing w:val="-3"/>
          <w:sz w:val="20"/>
        </w:rPr>
        <w:t> </w:t>
      </w:r>
      <w:r>
        <w:rPr>
          <w:sz w:val="20"/>
        </w:rPr>
        <w:t>are</w:t>
      </w:r>
      <w:r>
        <w:rPr>
          <w:spacing w:val="-1"/>
          <w:sz w:val="20"/>
        </w:rPr>
        <w:t> </w:t>
      </w:r>
      <w:r>
        <w:rPr>
          <w:sz w:val="20"/>
        </w:rPr>
        <w:t>maintained</w:t>
      </w:r>
      <w:r>
        <w:rPr>
          <w:spacing w:val="-1"/>
          <w:sz w:val="20"/>
        </w:rPr>
        <w:t> </w:t>
      </w:r>
      <w:r>
        <w:rPr>
          <w:sz w:val="20"/>
        </w:rPr>
        <w:t>to</w:t>
      </w:r>
      <w:r>
        <w:rPr>
          <w:spacing w:val="-1"/>
          <w:sz w:val="20"/>
        </w:rPr>
        <w:t> </w:t>
      </w:r>
      <w:r>
        <w:rPr>
          <w:sz w:val="20"/>
        </w:rPr>
        <w:t>provide</w:t>
      </w:r>
      <w:r>
        <w:rPr>
          <w:spacing w:val="-1"/>
          <w:sz w:val="20"/>
        </w:rPr>
        <w:t> </w:t>
      </w:r>
      <w:r>
        <w:rPr>
          <w:sz w:val="20"/>
        </w:rPr>
        <w:t>a</w:t>
      </w:r>
      <w:r>
        <w:rPr>
          <w:spacing w:val="-2"/>
          <w:sz w:val="20"/>
        </w:rPr>
        <w:t> </w:t>
      </w:r>
      <w:r>
        <w:rPr>
          <w:sz w:val="20"/>
        </w:rPr>
        <w:t>history</w:t>
      </w:r>
      <w:r>
        <w:rPr>
          <w:spacing w:val="-6"/>
          <w:sz w:val="20"/>
        </w:rPr>
        <w:t> </w:t>
      </w:r>
      <w:r>
        <w:rPr>
          <w:sz w:val="20"/>
        </w:rPr>
        <w:t>of</w:t>
      </w:r>
      <w:r>
        <w:rPr>
          <w:spacing w:val="-3"/>
          <w:sz w:val="20"/>
        </w:rPr>
        <w:t> </w:t>
      </w:r>
      <w:r>
        <w:rPr>
          <w:sz w:val="20"/>
        </w:rPr>
        <w:t>the</w:t>
      </w:r>
      <w:r>
        <w:rPr>
          <w:spacing w:val="-2"/>
          <w:sz w:val="20"/>
        </w:rPr>
        <w:t> </w:t>
      </w:r>
      <w:r>
        <w:rPr>
          <w:sz w:val="20"/>
        </w:rPr>
        <w:t>filling</w:t>
      </w:r>
      <w:r>
        <w:rPr>
          <w:spacing w:val="-3"/>
          <w:sz w:val="20"/>
        </w:rPr>
        <w:t> </w:t>
      </w:r>
      <w:r>
        <w:rPr>
          <w:sz w:val="20"/>
        </w:rPr>
        <w:t>and net</w:t>
      </w:r>
      <w:r>
        <w:rPr>
          <w:spacing w:val="-2"/>
          <w:sz w:val="20"/>
        </w:rPr>
        <w:t> </w:t>
      </w:r>
      <w:r>
        <w:rPr>
          <w:sz w:val="20"/>
        </w:rPr>
        <w:t>content</w:t>
      </w:r>
      <w:r>
        <w:rPr>
          <w:spacing w:val="-2"/>
          <w:sz w:val="20"/>
        </w:rPr>
        <w:t> </w:t>
      </w:r>
      <w:r>
        <w:rPr>
          <w:sz w:val="20"/>
        </w:rPr>
        <w:t>labeling</w:t>
      </w:r>
      <w:r>
        <w:rPr>
          <w:spacing w:val="-2"/>
          <w:sz w:val="20"/>
        </w:rPr>
        <w:t> </w:t>
      </w:r>
      <w:r>
        <w:rPr>
          <w:sz w:val="20"/>
        </w:rPr>
        <w:t>of</w:t>
      </w:r>
      <w:r>
        <w:rPr>
          <w:spacing w:val="-4"/>
          <w:sz w:val="20"/>
        </w:rPr>
        <w:t> </w:t>
      </w:r>
      <w:r>
        <w:rPr>
          <w:sz w:val="20"/>
        </w:rPr>
        <w:t>the</w:t>
      </w:r>
      <w:r>
        <w:rPr>
          <w:spacing w:val="-1"/>
          <w:sz w:val="20"/>
        </w:rPr>
        <w:t> </w:t>
      </w:r>
      <w:r>
        <w:rPr>
          <w:sz w:val="20"/>
        </w:rPr>
        <w:t>product.</w:t>
      </w:r>
    </w:p>
    <w:p>
      <w:pPr>
        <w:pStyle w:val="BodyText"/>
        <w:spacing w:before="7"/>
      </w:pPr>
    </w:p>
    <w:p>
      <w:pPr>
        <w:pStyle w:val="ListParagraph"/>
        <w:numPr>
          <w:ilvl w:val="3"/>
          <w:numId w:val="12"/>
        </w:numPr>
        <w:tabs>
          <w:tab w:pos="900" w:val="left" w:leader="none"/>
        </w:tabs>
        <w:spacing w:line="240" w:lineRule="auto" w:before="1" w:after="0"/>
        <w:ind w:left="899" w:right="417" w:hanging="360"/>
        <w:jc w:val="both"/>
        <w:rPr>
          <w:sz w:val="20"/>
        </w:rPr>
      </w:pPr>
      <w:r>
        <w:rPr>
          <w:sz w:val="20"/>
        </w:rPr>
        <w:t>Each “production lot” contains on the average the labeled quantity and the number of packages exceeding the specified maximum allowable variation (MAV) value in the inspection sample shall be no more than permitted</w:t>
      </w:r>
      <w:r>
        <w:rPr>
          <w:spacing w:val="-4"/>
          <w:sz w:val="20"/>
        </w:rPr>
        <w:t> </w:t>
      </w:r>
      <w:r>
        <w:rPr>
          <w:sz w:val="20"/>
        </w:rPr>
        <w:t>in</w:t>
      </w:r>
      <w:r>
        <w:rPr>
          <w:spacing w:val="-6"/>
          <w:sz w:val="20"/>
        </w:rPr>
        <w:t> </w:t>
      </w:r>
      <w:r>
        <w:rPr>
          <w:sz w:val="20"/>
        </w:rPr>
        <w:t>Table</w:t>
      </w:r>
      <w:r>
        <w:rPr>
          <w:spacing w:val="-1"/>
          <w:sz w:val="20"/>
        </w:rPr>
        <w:t> </w:t>
      </w:r>
      <w:r>
        <w:rPr>
          <w:sz w:val="20"/>
        </w:rPr>
        <w:t>2-1.</w:t>
      </w:r>
      <w:r>
        <w:rPr>
          <w:spacing w:val="-5"/>
          <w:sz w:val="20"/>
        </w:rPr>
        <w:t> </w:t>
      </w:r>
      <w:r>
        <w:rPr>
          <w:sz w:val="20"/>
        </w:rPr>
        <w:t>Sampling</w:t>
      </w:r>
      <w:r>
        <w:rPr>
          <w:spacing w:val="-6"/>
          <w:sz w:val="20"/>
        </w:rPr>
        <w:t> </w:t>
      </w:r>
      <w:r>
        <w:rPr>
          <w:sz w:val="20"/>
        </w:rPr>
        <w:t>Plans</w:t>
      </w:r>
      <w:r>
        <w:rPr>
          <w:spacing w:val="-5"/>
          <w:sz w:val="20"/>
        </w:rPr>
        <w:t> </w:t>
      </w:r>
      <w:r>
        <w:rPr>
          <w:sz w:val="20"/>
        </w:rPr>
        <w:t>for</w:t>
      </w:r>
      <w:r>
        <w:rPr>
          <w:spacing w:val="-4"/>
          <w:sz w:val="20"/>
        </w:rPr>
        <w:t> </w:t>
      </w:r>
      <w:r>
        <w:rPr>
          <w:sz w:val="20"/>
        </w:rPr>
        <w:t>Category</w:t>
      </w:r>
      <w:r>
        <w:rPr>
          <w:spacing w:val="-6"/>
          <w:sz w:val="20"/>
        </w:rPr>
        <w:t> </w:t>
      </w:r>
      <w:r>
        <w:rPr>
          <w:sz w:val="20"/>
        </w:rPr>
        <w:t>A</w:t>
      </w:r>
      <w:r>
        <w:rPr>
          <w:spacing w:val="-7"/>
          <w:sz w:val="20"/>
        </w:rPr>
        <w:t> </w:t>
      </w:r>
      <w:r>
        <w:rPr>
          <w:sz w:val="20"/>
        </w:rPr>
        <w:t>and</w:t>
      </w:r>
      <w:r>
        <w:rPr>
          <w:spacing w:val="-4"/>
          <w:sz w:val="20"/>
        </w:rPr>
        <w:t> </w:t>
      </w:r>
      <w:r>
        <w:rPr>
          <w:sz w:val="20"/>
        </w:rPr>
        <w:t>Table</w:t>
      </w:r>
      <w:r>
        <w:rPr>
          <w:spacing w:val="-4"/>
          <w:sz w:val="20"/>
        </w:rPr>
        <w:t> </w:t>
      </w:r>
      <w:r>
        <w:rPr>
          <w:sz w:val="20"/>
        </w:rPr>
        <w:t>2-2.</w:t>
      </w:r>
      <w:r>
        <w:rPr>
          <w:spacing w:val="-4"/>
          <w:sz w:val="20"/>
        </w:rPr>
        <w:t> </w:t>
      </w:r>
      <w:r>
        <w:rPr>
          <w:sz w:val="20"/>
        </w:rPr>
        <w:t>Sampling</w:t>
      </w:r>
      <w:r>
        <w:rPr>
          <w:spacing w:val="-6"/>
          <w:sz w:val="20"/>
        </w:rPr>
        <w:t> </w:t>
      </w:r>
      <w:r>
        <w:rPr>
          <w:sz w:val="20"/>
        </w:rPr>
        <w:t>Plans</w:t>
      </w:r>
      <w:r>
        <w:rPr>
          <w:spacing w:val="-3"/>
          <w:sz w:val="20"/>
        </w:rPr>
        <w:t> </w:t>
      </w:r>
      <w:r>
        <w:rPr>
          <w:sz w:val="20"/>
        </w:rPr>
        <w:t>for</w:t>
      </w:r>
      <w:r>
        <w:rPr>
          <w:spacing w:val="-5"/>
          <w:sz w:val="20"/>
        </w:rPr>
        <w:t> </w:t>
      </w:r>
      <w:r>
        <w:rPr>
          <w:sz w:val="20"/>
        </w:rPr>
        <w:t>Category</w:t>
      </w:r>
      <w:r>
        <w:rPr>
          <w:spacing w:val="-8"/>
          <w:sz w:val="20"/>
        </w:rPr>
        <w:t> </w:t>
      </w:r>
      <w:r>
        <w:rPr>
          <w:sz w:val="20"/>
        </w:rPr>
        <w:t>B</w:t>
      </w:r>
      <w:r>
        <w:rPr>
          <w:spacing w:val="-3"/>
          <w:sz w:val="20"/>
        </w:rPr>
        <w:t> </w:t>
      </w:r>
      <w:r>
        <w:rPr>
          <w:sz w:val="20"/>
        </w:rPr>
        <w:t>found in NIST Handbook 133, Appendix</w:t>
      </w:r>
      <w:r>
        <w:rPr>
          <w:spacing w:val="-1"/>
          <w:sz w:val="20"/>
        </w:rPr>
        <w:t> </w:t>
      </w:r>
      <w:r>
        <w:rPr>
          <w:sz w:val="20"/>
        </w:rPr>
        <w:t>A.</w:t>
      </w:r>
    </w:p>
    <w:p>
      <w:pPr>
        <w:pStyle w:val="BodyText"/>
        <w:rPr>
          <w:sz w:val="21"/>
        </w:rPr>
      </w:pPr>
    </w:p>
    <w:p>
      <w:pPr>
        <w:pStyle w:val="ListParagraph"/>
        <w:numPr>
          <w:ilvl w:val="3"/>
          <w:numId w:val="12"/>
        </w:numPr>
        <w:tabs>
          <w:tab w:pos="900" w:val="left" w:leader="none"/>
        </w:tabs>
        <w:spacing w:line="240" w:lineRule="auto" w:before="0" w:after="0"/>
        <w:ind w:left="899" w:right="419" w:hanging="360"/>
        <w:jc w:val="both"/>
        <w:rPr>
          <w:sz w:val="20"/>
        </w:rPr>
      </w:pPr>
      <w:r>
        <w:rPr>
          <w:sz w:val="20"/>
        </w:rPr>
        <w:t>Packaging practices are appropriate for specific products and measurement procedures (e.g., quantity sam- pling, density and tare determinations) and guidelines for recording and maintaining test results are docu- mented.</w:t>
      </w:r>
    </w:p>
    <w:p>
      <w:pPr>
        <w:pStyle w:val="BodyText"/>
        <w:spacing w:before="9"/>
      </w:pPr>
    </w:p>
    <w:p>
      <w:pPr>
        <w:pStyle w:val="ListParagraph"/>
        <w:numPr>
          <w:ilvl w:val="3"/>
          <w:numId w:val="12"/>
        </w:numPr>
        <w:tabs>
          <w:tab w:pos="900" w:val="left" w:leader="none"/>
        </w:tabs>
        <w:spacing w:line="240" w:lineRule="auto" w:before="0" w:after="0"/>
        <w:ind w:left="899" w:right="418" w:hanging="360"/>
        <w:jc w:val="both"/>
        <w:rPr>
          <w:sz w:val="20"/>
        </w:rPr>
      </w:pPr>
      <w:r>
        <w:rPr>
          <w:sz w:val="20"/>
        </w:rPr>
        <w:t>Personnel responsible for quantity control follow written work instructions and are competent to perform their duties (e.g., background, education, experience and training). Training is conducted at sufficient inter- vals to ensure good practices.</w:t>
      </w:r>
    </w:p>
    <w:p>
      <w:pPr>
        <w:pStyle w:val="BodyText"/>
        <w:rPr>
          <w:sz w:val="21"/>
        </w:rPr>
      </w:pPr>
    </w:p>
    <w:p>
      <w:pPr>
        <w:pStyle w:val="ListParagraph"/>
        <w:numPr>
          <w:ilvl w:val="3"/>
          <w:numId w:val="12"/>
        </w:numPr>
        <w:tabs>
          <w:tab w:pos="900" w:val="left" w:leader="none"/>
        </w:tabs>
        <w:spacing w:line="240" w:lineRule="auto" w:before="0" w:after="0"/>
        <w:ind w:left="899" w:right="417" w:hanging="360"/>
        <w:jc w:val="both"/>
        <w:rPr>
          <w:sz w:val="20"/>
        </w:rPr>
      </w:pPr>
      <w:r>
        <w:rPr>
          <w:sz w:val="20"/>
        </w:rPr>
        <w:t>Recognized procedures are used for the selection, maintenance, adjustment, and testing of filling equipment to insure proper fill</w:t>
      </w:r>
      <w:r>
        <w:rPr>
          <w:spacing w:val="1"/>
          <w:sz w:val="20"/>
        </w:rPr>
        <w:t> </w:t>
      </w:r>
      <w:r>
        <w:rPr>
          <w:sz w:val="20"/>
        </w:rPr>
        <w:t>control.</w:t>
      </w:r>
    </w:p>
    <w:p>
      <w:pPr>
        <w:pStyle w:val="BodyText"/>
        <w:spacing w:before="8"/>
      </w:pPr>
    </w:p>
    <w:p>
      <w:pPr>
        <w:pStyle w:val="ListParagraph"/>
        <w:numPr>
          <w:ilvl w:val="3"/>
          <w:numId w:val="12"/>
        </w:numPr>
        <w:tabs>
          <w:tab w:pos="900" w:val="left" w:leader="none"/>
        </w:tabs>
        <w:spacing w:line="240" w:lineRule="auto" w:before="0" w:after="0"/>
        <w:ind w:left="899" w:right="414" w:hanging="360"/>
        <w:jc w:val="both"/>
        <w:rPr>
          <w:sz w:val="20"/>
        </w:rPr>
      </w:pPr>
      <w:r>
        <w:rPr>
          <w:sz w:val="20"/>
        </w:rPr>
        <w:t>Weighing</w:t>
      </w:r>
      <w:r>
        <w:rPr>
          <w:spacing w:val="-15"/>
          <w:sz w:val="20"/>
        </w:rPr>
        <w:t> </w:t>
      </w:r>
      <w:r>
        <w:rPr>
          <w:sz w:val="20"/>
        </w:rPr>
        <w:t>and</w:t>
      </w:r>
      <w:r>
        <w:rPr>
          <w:spacing w:val="-10"/>
          <w:sz w:val="20"/>
        </w:rPr>
        <w:t> </w:t>
      </w:r>
      <w:r>
        <w:rPr>
          <w:sz w:val="20"/>
        </w:rPr>
        <w:t>measuring</w:t>
      </w:r>
      <w:r>
        <w:rPr>
          <w:spacing w:val="-14"/>
          <w:sz w:val="20"/>
        </w:rPr>
        <w:t> </w:t>
      </w:r>
      <w:r>
        <w:rPr>
          <w:sz w:val="20"/>
        </w:rPr>
        <w:t>devices</w:t>
      </w:r>
      <w:r>
        <w:rPr>
          <w:spacing w:val="-13"/>
          <w:sz w:val="20"/>
        </w:rPr>
        <w:t> </w:t>
      </w:r>
      <w:r>
        <w:rPr>
          <w:sz w:val="20"/>
        </w:rPr>
        <w:t>are</w:t>
      </w:r>
      <w:r>
        <w:rPr>
          <w:spacing w:val="-13"/>
          <w:sz w:val="20"/>
        </w:rPr>
        <w:t> </w:t>
      </w:r>
      <w:r>
        <w:rPr>
          <w:sz w:val="20"/>
        </w:rPr>
        <w:t>suitable</w:t>
      </w:r>
      <w:r>
        <w:rPr>
          <w:spacing w:val="-13"/>
          <w:sz w:val="20"/>
        </w:rPr>
        <w:t> </w:t>
      </w:r>
      <w:r>
        <w:rPr>
          <w:sz w:val="20"/>
        </w:rPr>
        <w:t>for</w:t>
      </w:r>
      <w:r>
        <w:rPr>
          <w:spacing w:val="-12"/>
          <w:sz w:val="20"/>
        </w:rPr>
        <w:t> </w:t>
      </w:r>
      <w:r>
        <w:rPr>
          <w:sz w:val="20"/>
        </w:rPr>
        <w:t>their</w:t>
      </w:r>
      <w:r>
        <w:rPr>
          <w:spacing w:val="-13"/>
          <w:sz w:val="20"/>
        </w:rPr>
        <w:t> </w:t>
      </w:r>
      <w:r>
        <w:rPr>
          <w:sz w:val="20"/>
        </w:rPr>
        <w:t>intended</w:t>
      </w:r>
      <w:r>
        <w:rPr>
          <w:spacing w:val="-11"/>
          <w:sz w:val="20"/>
        </w:rPr>
        <w:t> </w:t>
      </w:r>
      <w:r>
        <w:rPr>
          <w:sz w:val="20"/>
        </w:rPr>
        <w:t>purpose.</w:t>
      </w:r>
      <w:r>
        <w:rPr>
          <w:spacing w:val="22"/>
          <w:sz w:val="20"/>
        </w:rPr>
        <w:t> </w:t>
      </w:r>
      <w:r>
        <w:rPr>
          <w:sz w:val="20"/>
        </w:rPr>
        <w:t>Recognized</w:t>
      </w:r>
      <w:r>
        <w:rPr>
          <w:spacing w:val="-12"/>
          <w:sz w:val="20"/>
        </w:rPr>
        <w:t> </w:t>
      </w:r>
      <w:r>
        <w:rPr>
          <w:sz w:val="20"/>
        </w:rPr>
        <w:t>policies</w:t>
      </w:r>
      <w:r>
        <w:rPr>
          <w:spacing w:val="-13"/>
          <w:sz w:val="20"/>
        </w:rPr>
        <w:t> </w:t>
      </w:r>
      <w:r>
        <w:rPr>
          <w:sz w:val="20"/>
        </w:rPr>
        <w:t>and</w:t>
      </w:r>
      <w:r>
        <w:rPr>
          <w:spacing w:val="-12"/>
          <w:sz w:val="20"/>
        </w:rPr>
        <w:t> </w:t>
      </w:r>
      <w:r>
        <w:rPr>
          <w:sz w:val="20"/>
        </w:rPr>
        <w:t>procedures are established and followed to maintain metrological traceability to the International System of Units (SI) through the NIST. This includes a system of equipment maintenance and calibration to include recordkeep- ing</w:t>
      </w:r>
      <w:r>
        <w:rPr>
          <w:spacing w:val="-2"/>
          <w:sz w:val="20"/>
        </w:rPr>
        <w:t> </w:t>
      </w:r>
      <w:r>
        <w:rPr>
          <w:sz w:val="20"/>
        </w:rPr>
        <w:t>procedures.</w:t>
      </w:r>
    </w:p>
    <w:p>
      <w:pPr>
        <w:pStyle w:val="BodyText"/>
        <w:spacing w:before="62"/>
        <w:ind w:left="899"/>
      </w:pPr>
      <w:r>
        <w:rPr/>
        <w:t>(Amended 2019)</w:t>
      </w:r>
    </w:p>
    <w:p>
      <w:pPr>
        <w:pStyle w:val="BodyText"/>
        <w:spacing w:before="8"/>
      </w:pPr>
    </w:p>
    <w:p>
      <w:pPr>
        <w:pStyle w:val="ListParagraph"/>
        <w:numPr>
          <w:ilvl w:val="3"/>
          <w:numId w:val="12"/>
        </w:numPr>
        <w:tabs>
          <w:tab w:pos="900" w:val="left" w:leader="none"/>
        </w:tabs>
        <w:spacing w:line="240" w:lineRule="auto" w:before="0" w:after="0"/>
        <w:ind w:left="899" w:right="418" w:hanging="360"/>
        <w:jc w:val="both"/>
        <w:rPr>
          <w:sz w:val="20"/>
        </w:rPr>
      </w:pPr>
      <w:r>
        <w:rPr>
          <w:sz w:val="20"/>
        </w:rPr>
        <w:t>Controls</w:t>
      </w:r>
      <w:r>
        <w:rPr>
          <w:spacing w:val="-10"/>
          <w:sz w:val="20"/>
        </w:rPr>
        <w:t> </w:t>
      </w:r>
      <w:r>
        <w:rPr>
          <w:sz w:val="20"/>
        </w:rPr>
        <w:t>over</w:t>
      </w:r>
      <w:r>
        <w:rPr>
          <w:spacing w:val="-7"/>
          <w:sz w:val="20"/>
        </w:rPr>
        <w:t> </w:t>
      </w:r>
      <w:r>
        <w:rPr>
          <w:sz w:val="20"/>
        </w:rPr>
        <w:t>automated</w:t>
      </w:r>
      <w:r>
        <w:rPr>
          <w:spacing w:val="-7"/>
          <w:sz w:val="20"/>
        </w:rPr>
        <w:t> </w:t>
      </w:r>
      <w:r>
        <w:rPr>
          <w:sz w:val="20"/>
        </w:rPr>
        <w:t>data</w:t>
      </w:r>
      <w:r>
        <w:rPr>
          <w:spacing w:val="-7"/>
          <w:sz w:val="20"/>
        </w:rPr>
        <w:t> </w:t>
      </w:r>
      <w:r>
        <w:rPr>
          <w:sz w:val="20"/>
        </w:rPr>
        <w:t>systems</w:t>
      </w:r>
      <w:r>
        <w:rPr>
          <w:spacing w:val="-10"/>
          <w:sz w:val="20"/>
        </w:rPr>
        <w:t> </w:t>
      </w:r>
      <w:r>
        <w:rPr>
          <w:sz w:val="20"/>
        </w:rPr>
        <w:t>and</w:t>
      </w:r>
      <w:r>
        <w:rPr>
          <w:spacing w:val="-7"/>
          <w:sz w:val="20"/>
        </w:rPr>
        <w:t> </w:t>
      </w:r>
      <w:r>
        <w:rPr>
          <w:sz w:val="20"/>
        </w:rPr>
        <w:t>software</w:t>
      </w:r>
      <w:r>
        <w:rPr>
          <w:spacing w:val="-7"/>
          <w:sz w:val="20"/>
        </w:rPr>
        <w:t> </w:t>
      </w:r>
      <w:r>
        <w:rPr>
          <w:sz w:val="20"/>
        </w:rPr>
        <w:t>used</w:t>
      </w:r>
      <w:r>
        <w:rPr>
          <w:spacing w:val="-7"/>
          <w:sz w:val="20"/>
        </w:rPr>
        <w:t> </w:t>
      </w:r>
      <w:r>
        <w:rPr>
          <w:sz w:val="20"/>
        </w:rPr>
        <w:t>in</w:t>
      </w:r>
      <w:r>
        <w:rPr>
          <w:spacing w:val="-8"/>
          <w:sz w:val="20"/>
        </w:rPr>
        <w:t> </w:t>
      </w:r>
      <w:r>
        <w:rPr>
          <w:sz w:val="20"/>
        </w:rPr>
        <w:t>quantity</w:t>
      </w:r>
      <w:r>
        <w:rPr>
          <w:spacing w:val="-9"/>
          <w:sz w:val="20"/>
        </w:rPr>
        <w:t> </w:t>
      </w:r>
      <w:r>
        <w:rPr>
          <w:sz w:val="20"/>
        </w:rPr>
        <w:t>control</w:t>
      </w:r>
      <w:r>
        <w:rPr>
          <w:spacing w:val="-8"/>
          <w:sz w:val="20"/>
        </w:rPr>
        <w:t> </w:t>
      </w:r>
      <w:r>
        <w:rPr>
          <w:sz w:val="20"/>
        </w:rPr>
        <w:t>ensure</w:t>
      </w:r>
      <w:r>
        <w:rPr>
          <w:spacing w:val="-7"/>
          <w:sz w:val="20"/>
        </w:rPr>
        <w:t> </w:t>
      </w:r>
      <w:r>
        <w:rPr>
          <w:sz w:val="20"/>
        </w:rPr>
        <w:t>that</w:t>
      </w:r>
      <w:r>
        <w:rPr>
          <w:spacing w:val="-9"/>
          <w:sz w:val="20"/>
        </w:rPr>
        <w:t> </w:t>
      </w:r>
      <w:r>
        <w:rPr>
          <w:sz w:val="20"/>
        </w:rPr>
        <w:t>information</w:t>
      </w:r>
      <w:r>
        <w:rPr>
          <w:spacing w:val="-9"/>
          <w:sz w:val="20"/>
        </w:rPr>
        <w:t> </w:t>
      </w:r>
      <w:r>
        <w:rPr>
          <w:sz w:val="20"/>
        </w:rPr>
        <w:t>is</w:t>
      </w:r>
      <w:r>
        <w:rPr>
          <w:spacing w:val="-9"/>
          <w:sz w:val="20"/>
        </w:rPr>
        <w:t> </w:t>
      </w:r>
      <w:r>
        <w:rPr>
          <w:sz w:val="20"/>
        </w:rPr>
        <w:t>acces- sible, but changeable only by authorized</w:t>
      </w:r>
      <w:r>
        <w:rPr>
          <w:spacing w:val="-5"/>
          <w:sz w:val="20"/>
        </w:rPr>
        <w:t> </w:t>
      </w:r>
      <w:r>
        <w:rPr>
          <w:sz w:val="20"/>
        </w:rPr>
        <w:t>personnel.</w:t>
      </w:r>
    </w:p>
    <w:p>
      <w:pPr>
        <w:pStyle w:val="BodyText"/>
        <w:spacing w:before="11"/>
      </w:pPr>
    </w:p>
    <w:p>
      <w:pPr>
        <w:pStyle w:val="ListParagraph"/>
        <w:numPr>
          <w:ilvl w:val="3"/>
          <w:numId w:val="12"/>
        </w:numPr>
        <w:tabs>
          <w:tab w:pos="900" w:val="left" w:leader="none"/>
        </w:tabs>
        <w:spacing w:line="240" w:lineRule="auto" w:before="0" w:after="0"/>
        <w:ind w:left="899" w:right="419" w:hanging="360"/>
        <w:jc w:val="both"/>
        <w:rPr>
          <w:sz w:val="20"/>
        </w:rPr>
      </w:pPr>
      <w:r>
        <w:rPr>
          <w:sz w:val="20"/>
        </w:rPr>
        <w:t>Tare materials are monitored for variation. Label changes are controlled to ensure net quantity matches labeled declaration.</w:t>
      </w:r>
    </w:p>
    <w:p>
      <w:pPr>
        <w:spacing w:after="0" w:line="240" w:lineRule="auto"/>
        <w:jc w:val="both"/>
        <w:rPr>
          <w:sz w:val="20"/>
        </w:rPr>
        <w:sectPr>
          <w:pgSz w:w="12240" w:h="15840"/>
          <w:pgMar w:header="730" w:footer="740" w:top="1340" w:bottom="940" w:left="1260" w:right="1020"/>
        </w:sectPr>
      </w:pPr>
    </w:p>
    <w:p>
      <w:pPr>
        <w:pStyle w:val="Heading1"/>
        <w:numPr>
          <w:ilvl w:val="2"/>
          <w:numId w:val="12"/>
        </w:numPr>
        <w:tabs>
          <w:tab w:pos="833" w:val="left" w:leader="none"/>
        </w:tabs>
        <w:spacing w:line="240" w:lineRule="auto" w:before="88" w:after="0"/>
        <w:ind w:left="832" w:right="0" w:hanging="652"/>
        <w:jc w:val="left"/>
      </w:pPr>
      <w:r>
        <w:rPr/>
        <w:t>Point-of-Pack Inspection</w:t>
      </w:r>
      <w:r>
        <w:rPr>
          <w:spacing w:val="-4"/>
        </w:rPr>
        <w:t> </w:t>
      </w:r>
      <w:r>
        <w:rPr/>
        <w:t>Guidelines.</w:t>
      </w:r>
    </w:p>
    <w:p>
      <w:pPr>
        <w:pStyle w:val="BodyText"/>
        <w:spacing w:before="10"/>
        <w:rPr>
          <w:b/>
        </w:rPr>
      </w:pPr>
    </w:p>
    <w:p>
      <w:pPr>
        <w:pStyle w:val="ListParagraph"/>
        <w:numPr>
          <w:ilvl w:val="0"/>
          <w:numId w:val="13"/>
        </w:numPr>
        <w:tabs>
          <w:tab w:pos="475" w:val="left" w:leader="none"/>
        </w:tabs>
        <w:spacing w:line="240" w:lineRule="auto" w:before="1" w:after="0"/>
        <w:ind w:left="475" w:right="0" w:hanging="296"/>
        <w:jc w:val="left"/>
        <w:rPr>
          <w:b/>
          <w:sz w:val="20"/>
        </w:rPr>
      </w:pPr>
      <w:r>
        <w:rPr>
          <w:b/>
          <w:sz w:val="20"/>
        </w:rPr>
        <w:t>Weights and Measures Officials’</w:t>
      </w:r>
      <w:r>
        <w:rPr>
          <w:b/>
          <w:spacing w:val="-2"/>
          <w:sz w:val="20"/>
        </w:rPr>
        <w:t> </w:t>
      </w:r>
      <w:r>
        <w:rPr>
          <w:b/>
          <w:sz w:val="20"/>
        </w:rPr>
        <w:t>Responsibilities.</w:t>
      </w:r>
    </w:p>
    <w:p>
      <w:pPr>
        <w:pStyle w:val="BodyText"/>
        <w:spacing w:before="7"/>
        <w:rPr>
          <w:b/>
        </w:rPr>
      </w:pPr>
    </w:p>
    <w:p>
      <w:pPr>
        <w:pStyle w:val="ListParagraph"/>
        <w:numPr>
          <w:ilvl w:val="1"/>
          <w:numId w:val="13"/>
        </w:numPr>
        <w:tabs>
          <w:tab w:pos="900" w:val="left" w:leader="none"/>
        </w:tabs>
        <w:spacing w:line="240" w:lineRule="auto" w:before="0" w:after="0"/>
        <w:ind w:left="899" w:right="418" w:hanging="360"/>
        <w:jc w:val="both"/>
        <w:rPr>
          <w:sz w:val="20"/>
        </w:rPr>
      </w:pPr>
      <w:r>
        <w:rPr>
          <w:sz w:val="20"/>
        </w:rPr>
        <w:t>Conduct inspections during hours when the plant is normally open for business. Open the inspection by making contact with the plant manager or authorized representative (e.g., the quality assurance manager or the production manager).</w:t>
      </w:r>
    </w:p>
    <w:p>
      <w:pPr>
        <w:pStyle w:val="BodyText"/>
        <w:rPr>
          <w:sz w:val="21"/>
        </w:rPr>
      </w:pPr>
    </w:p>
    <w:p>
      <w:pPr>
        <w:pStyle w:val="ListParagraph"/>
        <w:numPr>
          <w:ilvl w:val="1"/>
          <w:numId w:val="13"/>
        </w:numPr>
        <w:tabs>
          <w:tab w:pos="899" w:val="left" w:leader="none"/>
          <w:tab w:pos="900" w:val="left" w:leader="none"/>
        </w:tabs>
        <w:spacing w:line="240" w:lineRule="auto" w:before="0" w:after="0"/>
        <w:ind w:left="899" w:right="416" w:hanging="360"/>
        <w:jc w:val="left"/>
        <w:rPr>
          <w:sz w:val="20"/>
        </w:rPr>
      </w:pPr>
      <w:r>
        <w:rPr>
          <w:sz w:val="20"/>
        </w:rPr>
        <w:t>Present the proper credentials and explain the reason for the visit (e.g., routine or follow-up inspection or consumer complaint).</w:t>
      </w:r>
    </w:p>
    <w:p>
      <w:pPr>
        <w:pStyle w:val="BodyText"/>
        <w:spacing w:before="11"/>
      </w:pPr>
    </w:p>
    <w:p>
      <w:pPr>
        <w:pStyle w:val="ListParagraph"/>
        <w:numPr>
          <w:ilvl w:val="1"/>
          <w:numId w:val="13"/>
        </w:numPr>
        <w:tabs>
          <w:tab w:pos="899" w:val="left" w:leader="none"/>
          <w:tab w:pos="900" w:val="left" w:leader="none"/>
        </w:tabs>
        <w:spacing w:line="240" w:lineRule="auto" w:before="0" w:after="0"/>
        <w:ind w:left="899" w:right="420" w:hanging="360"/>
        <w:jc w:val="left"/>
        <w:rPr>
          <w:sz w:val="20"/>
        </w:rPr>
      </w:pPr>
      <w:r>
        <w:rPr>
          <w:sz w:val="20"/>
        </w:rPr>
        <w:t>Request access to quantity measurement equipment in the packing room, moisture testing equipment in the laboratory or in the packing room, and product packed on premise or stored in warehouse</w:t>
      </w:r>
      <w:r>
        <w:rPr>
          <w:spacing w:val="-15"/>
          <w:sz w:val="20"/>
        </w:rPr>
        <w:t> </w:t>
      </w:r>
      <w:r>
        <w:rPr>
          <w:sz w:val="20"/>
        </w:rPr>
        <w:t>areas.</w:t>
      </w:r>
    </w:p>
    <w:p>
      <w:pPr>
        <w:pStyle w:val="BodyText"/>
        <w:spacing w:before="8"/>
      </w:pPr>
    </w:p>
    <w:p>
      <w:pPr>
        <w:pStyle w:val="ListParagraph"/>
        <w:numPr>
          <w:ilvl w:val="1"/>
          <w:numId w:val="13"/>
        </w:numPr>
        <w:tabs>
          <w:tab w:pos="899" w:val="left" w:leader="none"/>
          <w:tab w:pos="900" w:val="left" w:leader="none"/>
        </w:tabs>
        <w:spacing w:line="240" w:lineRule="auto" w:before="1" w:after="0"/>
        <w:ind w:left="899" w:right="0" w:hanging="360"/>
        <w:jc w:val="left"/>
        <w:rPr>
          <w:sz w:val="20"/>
        </w:rPr>
      </w:pPr>
      <w:r>
        <w:rPr>
          <w:sz w:val="20"/>
        </w:rPr>
        <w:t>Obtain permission from a plant representative prior to using a tape recorder or a</w:t>
      </w:r>
      <w:r>
        <w:rPr>
          <w:spacing w:val="-10"/>
          <w:sz w:val="20"/>
        </w:rPr>
        <w:t> </w:t>
      </w:r>
      <w:r>
        <w:rPr>
          <w:sz w:val="20"/>
        </w:rPr>
        <w:t>camera.</w:t>
      </w:r>
    </w:p>
    <w:p>
      <w:pPr>
        <w:pStyle w:val="BodyText"/>
        <w:spacing w:before="10"/>
      </w:pPr>
    </w:p>
    <w:p>
      <w:pPr>
        <w:pStyle w:val="ListParagraph"/>
        <w:numPr>
          <w:ilvl w:val="1"/>
          <w:numId w:val="13"/>
        </w:numPr>
        <w:tabs>
          <w:tab w:pos="899" w:val="left" w:leader="none"/>
          <w:tab w:pos="900" w:val="left" w:leader="none"/>
        </w:tabs>
        <w:spacing w:line="240" w:lineRule="auto" w:before="0" w:after="0"/>
        <w:ind w:left="899" w:right="417" w:hanging="360"/>
        <w:jc w:val="left"/>
        <w:rPr>
          <w:sz w:val="20"/>
        </w:rPr>
      </w:pPr>
      <w:r>
        <w:rPr>
          <w:sz w:val="20"/>
        </w:rPr>
        <w:t>Conduct inspection related activities in a professional and appropriate manner and, if possible, work in an area that will not interfere with normal activities of the</w:t>
      </w:r>
      <w:r>
        <w:rPr>
          <w:spacing w:val="-3"/>
          <w:sz w:val="20"/>
        </w:rPr>
        <w:t> </w:t>
      </w:r>
      <w:r>
        <w:rPr>
          <w:sz w:val="20"/>
        </w:rPr>
        <w:t>establishment.</w:t>
      </w:r>
    </w:p>
    <w:p>
      <w:pPr>
        <w:pStyle w:val="BodyText"/>
        <w:spacing w:before="11"/>
      </w:pPr>
    </w:p>
    <w:p>
      <w:pPr>
        <w:pStyle w:val="ListParagraph"/>
        <w:numPr>
          <w:ilvl w:val="1"/>
          <w:numId w:val="13"/>
        </w:numPr>
        <w:tabs>
          <w:tab w:pos="899" w:val="left" w:leader="none"/>
          <w:tab w:pos="900" w:val="left" w:leader="none"/>
        </w:tabs>
        <w:spacing w:line="240" w:lineRule="auto" w:before="0" w:after="0"/>
        <w:ind w:left="899" w:right="416" w:hanging="360"/>
        <w:jc w:val="left"/>
        <w:rPr>
          <w:sz w:val="20"/>
        </w:rPr>
      </w:pPr>
      <w:r>
        <w:rPr>
          <w:sz w:val="20"/>
        </w:rPr>
        <w:t>Abide</w:t>
      </w:r>
      <w:r>
        <w:rPr>
          <w:spacing w:val="-5"/>
          <w:sz w:val="20"/>
        </w:rPr>
        <w:t> </w:t>
      </w:r>
      <w:r>
        <w:rPr>
          <w:sz w:val="20"/>
        </w:rPr>
        <w:t>by</w:t>
      </w:r>
      <w:r>
        <w:rPr>
          <w:spacing w:val="-8"/>
          <w:sz w:val="20"/>
        </w:rPr>
        <w:t> </w:t>
      </w:r>
      <w:r>
        <w:rPr>
          <w:sz w:val="20"/>
        </w:rPr>
        <w:t>all</w:t>
      </w:r>
      <w:r>
        <w:rPr>
          <w:spacing w:val="-6"/>
          <w:sz w:val="20"/>
        </w:rPr>
        <w:t> </w:t>
      </w:r>
      <w:r>
        <w:rPr>
          <w:sz w:val="20"/>
        </w:rPr>
        <w:t>the</w:t>
      </w:r>
      <w:r>
        <w:rPr>
          <w:spacing w:val="-4"/>
          <w:sz w:val="20"/>
        </w:rPr>
        <w:t> </w:t>
      </w:r>
      <w:r>
        <w:rPr>
          <w:sz w:val="20"/>
        </w:rPr>
        <w:t>safety</w:t>
      </w:r>
      <w:r>
        <w:rPr>
          <w:spacing w:val="-9"/>
          <w:sz w:val="20"/>
        </w:rPr>
        <w:t> </w:t>
      </w:r>
      <w:r>
        <w:rPr>
          <w:sz w:val="20"/>
        </w:rPr>
        <w:t>and</w:t>
      </w:r>
      <w:r>
        <w:rPr>
          <w:spacing w:val="-3"/>
          <w:sz w:val="20"/>
        </w:rPr>
        <w:t> </w:t>
      </w:r>
      <w:r>
        <w:rPr>
          <w:sz w:val="20"/>
        </w:rPr>
        <w:t>sanitary</w:t>
      </w:r>
      <w:r>
        <w:rPr>
          <w:spacing w:val="-9"/>
          <w:sz w:val="20"/>
        </w:rPr>
        <w:t> </w:t>
      </w:r>
      <w:r>
        <w:rPr>
          <w:sz w:val="20"/>
        </w:rPr>
        <w:t>requirements</w:t>
      </w:r>
      <w:r>
        <w:rPr>
          <w:spacing w:val="-5"/>
          <w:sz w:val="20"/>
        </w:rPr>
        <w:t> </w:t>
      </w:r>
      <w:r>
        <w:rPr>
          <w:sz w:val="20"/>
        </w:rPr>
        <w:t>of</w:t>
      </w:r>
      <w:r>
        <w:rPr>
          <w:spacing w:val="-6"/>
          <w:sz w:val="20"/>
        </w:rPr>
        <w:t> </w:t>
      </w:r>
      <w:r>
        <w:rPr>
          <w:sz w:val="20"/>
        </w:rPr>
        <w:t>the</w:t>
      </w:r>
      <w:r>
        <w:rPr>
          <w:spacing w:val="-5"/>
          <w:sz w:val="20"/>
        </w:rPr>
        <w:t> </w:t>
      </w:r>
      <w:r>
        <w:rPr>
          <w:sz w:val="20"/>
        </w:rPr>
        <w:t>establishment</w:t>
      </w:r>
      <w:r>
        <w:rPr>
          <w:spacing w:val="-5"/>
          <w:sz w:val="20"/>
        </w:rPr>
        <w:t> </w:t>
      </w:r>
      <w:r>
        <w:rPr>
          <w:sz w:val="20"/>
        </w:rPr>
        <w:t>and</w:t>
      </w:r>
      <w:r>
        <w:rPr>
          <w:spacing w:val="-4"/>
          <w:sz w:val="20"/>
        </w:rPr>
        <w:t> </w:t>
      </w:r>
      <w:r>
        <w:rPr>
          <w:sz w:val="20"/>
        </w:rPr>
        <w:t>clean</w:t>
      </w:r>
      <w:r>
        <w:rPr>
          <w:spacing w:val="-6"/>
          <w:sz w:val="20"/>
        </w:rPr>
        <w:t> </w:t>
      </w:r>
      <w:r>
        <w:rPr>
          <w:sz w:val="20"/>
        </w:rPr>
        <w:t>the</w:t>
      </w:r>
      <w:r>
        <w:rPr>
          <w:spacing w:val="-3"/>
          <w:sz w:val="20"/>
        </w:rPr>
        <w:t> </w:t>
      </w:r>
      <w:r>
        <w:rPr>
          <w:sz w:val="20"/>
        </w:rPr>
        <w:t>work</w:t>
      </w:r>
      <w:r>
        <w:rPr>
          <w:spacing w:val="-6"/>
          <w:sz w:val="20"/>
        </w:rPr>
        <w:t> </w:t>
      </w:r>
      <w:r>
        <w:rPr>
          <w:sz w:val="20"/>
        </w:rPr>
        <w:t>area</w:t>
      </w:r>
      <w:r>
        <w:rPr>
          <w:spacing w:val="-5"/>
          <w:sz w:val="20"/>
        </w:rPr>
        <w:t> </w:t>
      </w:r>
      <w:r>
        <w:rPr>
          <w:sz w:val="20"/>
        </w:rPr>
        <w:t>upon</w:t>
      </w:r>
      <w:r>
        <w:rPr>
          <w:spacing w:val="-6"/>
          <w:sz w:val="20"/>
        </w:rPr>
        <w:t> </w:t>
      </w:r>
      <w:r>
        <w:rPr>
          <w:sz w:val="20"/>
        </w:rPr>
        <w:t>comple- tion of the inspection/test. Return borrowed equipment and</w:t>
      </w:r>
      <w:r>
        <w:rPr>
          <w:spacing w:val="-3"/>
          <w:sz w:val="20"/>
        </w:rPr>
        <w:t> </w:t>
      </w:r>
      <w:r>
        <w:rPr>
          <w:sz w:val="20"/>
        </w:rPr>
        <w:t>materials.</w:t>
      </w:r>
    </w:p>
    <w:p>
      <w:pPr>
        <w:pStyle w:val="BodyText"/>
        <w:spacing w:before="8"/>
      </w:pPr>
    </w:p>
    <w:p>
      <w:pPr>
        <w:pStyle w:val="ListParagraph"/>
        <w:numPr>
          <w:ilvl w:val="1"/>
          <w:numId w:val="13"/>
        </w:numPr>
        <w:tabs>
          <w:tab w:pos="899" w:val="left" w:leader="none"/>
          <w:tab w:pos="900" w:val="left" w:leader="none"/>
        </w:tabs>
        <w:spacing w:line="240" w:lineRule="auto" w:before="0" w:after="0"/>
        <w:ind w:left="899" w:right="418" w:hanging="360"/>
        <w:jc w:val="left"/>
        <w:rPr>
          <w:sz w:val="20"/>
        </w:rPr>
      </w:pPr>
      <w:r>
        <w:rPr>
          <w:sz w:val="20"/>
        </w:rPr>
        <w:t>To</w:t>
      </w:r>
      <w:r>
        <w:rPr>
          <w:spacing w:val="-9"/>
          <w:sz w:val="20"/>
        </w:rPr>
        <w:t> </w:t>
      </w:r>
      <w:r>
        <w:rPr>
          <w:sz w:val="20"/>
        </w:rPr>
        <w:t>close</w:t>
      </w:r>
      <w:r>
        <w:rPr>
          <w:spacing w:val="-9"/>
          <w:sz w:val="20"/>
        </w:rPr>
        <w:t> </w:t>
      </w:r>
      <w:r>
        <w:rPr>
          <w:sz w:val="20"/>
        </w:rPr>
        <w:t>the</w:t>
      </w:r>
      <w:r>
        <w:rPr>
          <w:spacing w:val="-9"/>
          <w:sz w:val="20"/>
        </w:rPr>
        <w:t> </w:t>
      </w:r>
      <w:r>
        <w:rPr>
          <w:sz w:val="20"/>
        </w:rPr>
        <w:t>inspection,</w:t>
      </w:r>
      <w:r>
        <w:rPr>
          <w:spacing w:val="-10"/>
          <w:sz w:val="20"/>
        </w:rPr>
        <w:t> </w:t>
      </w:r>
      <w:r>
        <w:rPr>
          <w:sz w:val="20"/>
        </w:rPr>
        <w:t>recheck</w:t>
      </w:r>
      <w:r>
        <w:rPr>
          <w:spacing w:val="-10"/>
          <w:sz w:val="20"/>
        </w:rPr>
        <w:t> </w:t>
      </w:r>
      <w:r>
        <w:rPr>
          <w:sz w:val="20"/>
        </w:rPr>
        <w:t>inspection</w:t>
      </w:r>
      <w:r>
        <w:rPr>
          <w:spacing w:val="-10"/>
          <w:sz w:val="20"/>
        </w:rPr>
        <w:t> </w:t>
      </w:r>
      <w:r>
        <w:rPr>
          <w:sz w:val="20"/>
        </w:rPr>
        <w:t>reports</w:t>
      </w:r>
      <w:r>
        <w:rPr>
          <w:spacing w:val="-10"/>
          <w:sz w:val="20"/>
        </w:rPr>
        <w:t> </w:t>
      </w:r>
      <w:r>
        <w:rPr>
          <w:sz w:val="20"/>
        </w:rPr>
        <w:t>in</w:t>
      </w:r>
      <w:r>
        <w:rPr>
          <w:spacing w:val="-11"/>
          <w:sz w:val="20"/>
        </w:rPr>
        <w:t> </w:t>
      </w:r>
      <w:r>
        <w:rPr>
          <w:sz w:val="20"/>
        </w:rPr>
        <w:t>detail</w:t>
      </w:r>
      <w:r>
        <w:rPr>
          <w:spacing w:val="-9"/>
          <w:sz w:val="20"/>
        </w:rPr>
        <w:t> </w:t>
      </w:r>
      <w:r>
        <w:rPr>
          <w:sz w:val="20"/>
        </w:rPr>
        <w:t>and</w:t>
      </w:r>
      <w:r>
        <w:rPr>
          <w:spacing w:val="-8"/>
          <w:sz w:val="20"/>
        </w:rPr>
        <w:t> </w:t>
      </w:r>
      <w:r>
        <w:rPr>
          <w:sz w:val="20"/>
        </w:rPr>
        <w:t>ascertain</w:t>
      </w:r>
      <w:r>
        <w:rPr>
          <w:spacing w:val="-10"/>
          <w:sz w:val="20"/>
        </w:rPr>
        <w:t> </w:t>
      </w:r>
      <w:r>
        <w:rPr>
          <w:sz w:val="20"/>
        </w:rPr>
        <w:t>that</w:t>
      </w:r>
      <w:r>
        <w:rPr>
          <w:spacing w:val="-10"/>
          <w:sz w:val="20"/>
        </w:rPr>
        <w:t> </w:t>
      </w:r>
      <w:r>
        <w:rPr>
          <w:sz w:val="20"/>
        </w:rPr>
        <w:t>all</w:t>
      </w:r>
      <w:r>
        <w:rPr>
          <w:spacing w:val="-9"/>
          <w:sz w:val="20"/>
        </w:rPr>
        <w:t> </w:t>
      </w:r>
      <w:r>
        <w:rPr>
          <w:sz w:val="20"/>
        </w:rPr>
        <w:t>information</w:t>
      </w:r>
      <w:r>
        <w:rPr>
          <w:spacing w:val="-10"/>
          <w:sz w:val="20"/>
        </w:rPr>
        <w:t> </w:t>
      </w:r>
      <w:r>
        <w:rPr>
          <w:sz w:val="20"/>
        </w:rPr>
        <w:t>is</w:t>
      </w:r>
      <w:r>
        <w:rPr>
          <w:spacing w:val="-10"/>
          <w:sz w:val="20"/>
        </w:rPr>
        <w:t> </w:t>
      </w:r>
      <w:r>
        <w:rPr>
          <w:sz w:val="20"/>
        </w:rPr>
        <w:t>complete</w:t>
      </w:r>
      <w:r>
        <w:rPr>
          <w:spacing w:val="-10"/>
          <w:sz w:val="20"/>
        </w:rPr>
        <w:t> </w:t>
      </w:r>
      <w:r>
        <w:rPr>
          <w:sz w:val="20"/>
        </w:rPr>
        <w:t>and correct.</w:t>
      </w:r>
    </w:p>
    <w:p>
      <w:pPr>
        <w:pStyle w:val="BodyText"/>
        <w:spacing w:before="11"/>
      </w:pPr>
    </w:p>
    <w:p>
      <w:pPr>
        <w:pStyle w:val="ListParagraph"/>
        <w:numPr>
          <w:ilvl w:val="1"/>
          <w:numId w:val="13"/>
        </w:numPr>
        <w:tabs>
          <w:tab w:pos="899" w:val="left" w:leader="none"/>
          <w:tab w:pos="900" w:val="left" w:leader="none"/>
        </w:tabs>
        <w:spacing w:line="240" w:lineRule="auto" w:before="0" w:after="0"/>
        <w:ind w:left="899" w:right="0" w:hanging="360"/>
        <w:jc w:val="left"/>
        <w:rPr>
          <w:sz w:val="20"/>
        </w:rPr>
      </w:pPr>
      <w:r>
        <w:rPr>
          <w:sz w:val="20"/>
        </w:rPr>
        <w:t>Sample questions and tasks for</w:t>
      </w:r>
      <w:r>
        <w:rPr>
          <w:spacing w:val="2"/>
          <w:sz w:val="20"/>
        </w:rPr>
        <w:t> </w:t>
      </w:r>
      <w:r>
        <w:rPr>
          <w:sz w:val="20"/>
        </w:rPr>
        <w:t>Inspectors:</w:t>
      </w:r>
    </w:p>
    <w:p>
      <w:pPr>
        <w:pStyle w:val="BodyText"/>
        <w:spacing w:before="10"/>
      </w:pPr>
    </w:p>
    <w:p>
      <w:pPr>
        <w:pStyle w:val="ListParagraph"/>
        <w:numPr>
          <w:ilvl w:val="2"/>
          <w:numId w:val="13"/>
        </w:numPr>
        <w:tabs>
          <w:tab w:pos="1260" w:val="left" w:leader="none"/>
        </w:tabs>
        <w:spacing w:line="240" w:lineRule="auto" w:before="0" w:after="0"/>
        <w:ind w:left="1259" w:right="0" w:hanging="360"/>
        <w:jc w:val="left"/>
        <w:rPr>
          <w:sz w:val="20"/>
        </w:rPr>
      </w:pPr>
      <w:r>
        <w:rPr>
          <w:sz w:val="20"/>
        </w:rPr>
        <w:t>Inside Buildings and</w:t>
      </w:r>
      <w:r>
        <w:rPr>
          <w:spacing w:val="-1"/>
          <w:sz w:val="20"/>
        </w:rPr>
        <w:t> </w:t>
      </w:r>
      <w:r>
        <w:rPr>
          <w:sz w:val="20"/>
        </w:rPr>
        <w:t>Equipment.</w:t>
      </w:r>
    </w:p>
    <w:p>
      <w:pPr>
        <w:pStyle w:val="BodyText"/>
        <w:spacing w:before="11"/>
      </w:pPr>
    </w:p>
    <w:p>
      <w:pPr>
        <w:pStyle w:val="ListParagraph"/>
        <w:numPr>
          <w:ilvl w:val="3"/>
          <w:numId w:val="13"/>
        </w:numPr>
        <w:tabs>
          <w:tab w:pos="1619" w:val="left" w:leader="none"/>
          <w:tab w:pos="1620" w:val="left" w:leader="none"/>
        </w:tabs>
        <w:spacing w:line="240" w:lineRule="auto" w:before="0" w:after="0"/>
        <w:ind w:left="1619" w:right="0" w:hanging="374"/>
        <w:jc w:val="left"/>
        <w:rPr>
          <w:sz w:val="20"/>
        </w:rPr>
      </w:pPr>
      <w:r>
        <w:rPr>
          <w:sz w:val="20"/>
        </w:rPr>
        <w:t>Is all filling and associated equipment in good</w:t>
      </w:r>
      <w:r>
        <w:rPr>
          <w:spacing w:val="-3"/>
          <w:sz w:val="20"/>
        </w:rPr>
        <w:t> </w:t>
      </w:r>
      <w:r>
        <w:rPr>
          <w:sz w:val="20"/>
        </w:rPr>
        <w:t>repair?</w:t>
      </w:r>
    </w:p>
    <w:p>
      <w:pPr>
        <w:pStyle w:val="BodyText"/>
        <w:spacing w:before="10"/>
      </w:pPr>
    </w:p>
    <w:p>
      <w:pPr>
        <w:pStyle w:val="ListParagraph"/>
        <w:numPr>
          <w:ilvl w:val="3"/>
          <w:numId w:val="13"/>
        </w:numPr>
        <w:tabs>
          <w:tab w:pos="1619" w:val="left" w:leader="none"/>
          <w:tab w:pos="1620" w:val="left" w:leader="none"/>
        </w:tabs>
        <w:spacing w:line="240" w:lineRule="auto" w:before="0" w:after="0"/>
        <w:ind w:left="1619" w:right="0" w:hanging="432"/>
        <w:jc w:val="left"/>
        <w:rPr>
          <w:sz w:val="20"/>
        </w:rPr>
      </w:pPr>
      <w:r>
        <w:rPr>
          <w:sz w:val="20"/>
        </w:rPr>
        <w:t>Are net content measurement devices suitable for the purpose being</w:t>
      </w:r>
      <w:r>
        <w:rPr>
          <w:spacing w:val="-2"/>
          <w:sz w:val="20"/>
        </w:rPr>
        <w:t> </w:t>
      </w:r>
      <w:r>
        <w:rPr>
          <w:sz w:val="20"/>
        </w:rPr>
        <w:t>used?</w:t>
      </w:r>
    </w:p>
    <w:p>
      <w:pPr>
        <w:pStyle w:val="BodyText"/>
        <w:spacing w:before="8"/>
      </w:pPr>
    </w:p>
    <w:p>
      <w:pPr>
        <w:pStyle w:val="ListParagraph"/>
        <w:numPr>
          <w:ilvl w:val="3"/>
          <w:numId w:val="13"/>
        </w:numPr>
        <w:tabs>
          <w:tab w:pos="1619" w:val="left" w:leader="none"/>
          <w:tab w:pos="1620" w:val="left" w:leader="none"/>
        </w:tabs>
        <w:spacing w:line="240" w:lineRule="auto" w:before="0" w:after="0"/>
        <w:ind w:left="1619" w:right="0" w:hanging="487"/>
        <w:jc w:val="left"/>
        <w:rPr>
          <w:sz w:val="20"/>
        </w:rPr>
      </w:pPr>
      <w:r>
        <w:rPr>
          <w:sz w:val="20"/>
        </w:rPr>
        <w:t>Are standards used by the firm to verify device accuracy traceable to</w:t>
      </w:r>
      <w:r>
        <w:rPr>
          <w:spacing w:val="-15"/>
          <w:sz w:val="20"/>
        </w:rPr>
        <w:t> </w:t>
      </w:r>
      <w:r>
        <w:rPr>
          <w:sz w:val="20"/>
        </w:rPr>
        <w:t>NIST?</w:t>
      </w:r>
    </w:p>
    <w:p>
      <w:pPr>
        <w:pStyle w:val="BodyText"/>
        <w:spacing w:before="10"/>
      </w:pPr>
    </w:p>
    <w:p>
      <w:pPr>
        <w:pStyle w:val="ListParagraph"/>
        <w:numPr>
          <w:ilvl w:val="2"/>
          <w:numId w:val="13"/>
        </w:numPr>
        <w:tabs>
          <w:tab w:pos="1260" w:val="left" w:leader="none"/>
        </w:tabs>
        <w:spacing w:line="240" w:lineRule="auto" w:before="0" w:after="0"/>
        <w:ind w:left="1259" w:right="0" w:hanging="360"/>
        <w:jc w:val="left"/>
        <w:rPr>
          <w:sz w:val="20"/>
        </w:rPr>
      </w:pPr>
      <w:r>
        <w:rPr>
          <w:sz w:val="20"/>
        </w:rPr>
        <w:t>Packing Room</w:t>
      </w:r>
      <w:r>
        <w:rPr>
          <w:spacing w:val="-4"/>
          <w:sz w:val="20"/>
        </w:rPr>
        <w:t> </w:t>
      </w:r>
      <w:r>
        <w:rPr>
          <w:sz w:val="20"/>
        </w:rPr>
        <w:t>Inspection.</w:t>
      </w:r>
    </w:p>
    <w:p>
      <w:pPr>
        <w:pStyle w:val="BodyText"/>
        <w:spacing w:before="11"/>
      </w:pPr>
    </w:p>
    <w:p>
      <w:pPr>
        <w:pStyle w:val="ListParagraph"/>
        <w:numPr>
          <w:ilvl w:val="3"/>
          <w:numId w:val="13"/>
        </w:numPr>
        <w:tabs>
          <w:tab w:pos="1619" w:val="left" w:leader="none"/>
          <w:tab w:pos="1620" w:val="left" w:leader="none"/>
        </w:tabs>
        <w:spacing w:line="240" w:lineRule="auto" w:before="0" w:after="0"/>
        <w:ind w:left="1619" w:right="420" w:hanging="374"/>
        <w:jc w:val="left"/>
        <w:rPr>
          <w:sz w:val="20"/>
        </w:rPr>
      </w:pPr>
      <w:r>
        <w:rPr>
          <w:sz w:val="20"/>
        </w:rPr>
        <w:t>Observe if the program for net quantity of content control in the packing room is actually being carried out.</w:t>
      </w:r>
    </w:p>
    <w:p>
      <w:pPr>
        <w:pStyle w:val="BodyText"/>
        <w:spacing w:before="10"/>
      </w:pPr>
    </w:p>
    <w:p>
      <w:pPr>
        <w:pStyle w:val="ListParagraph"/>
        <w:numPr>
          <w:ilvl w:val="3"/>
          <w:numId w:val="13"/>
        </w:numPr>
        <w:tabs>
          <w:tab w:pos="1620" w:val="left" w:leader="none"/>
        </w:tabs>
        <w:spacing w:line="240" w:lineRule="auto" w:before="1" w:after="0"/>
        <w:ind w:left="1619" w:right="417" w:hanging="432"/>
        <w:jc w:val="both"/>
        <w:rPr>
          <w:sz w:val="20"/>
        </w:rPr>
      </w:pPr>
      <w:r>
        <w:rPr>
          <w:sz w:val="20"/>
        </w:rPr>
        <w:t>Ensure that the weighing systems are suitable and tare determination procedures are adequate. If there</w:t>
      </w:r>
      <w:r>
        <w:rPr>
          <w:spacing w:val="-8"/>
          <w:sz w:val="20"/>
        </w:rPr>
        <w:t> </w:t>
      </w:r>
      <w:r>
        <w:rPr>
          <w:sz w:val="20"/>
        </w:rPr>
        <w:t>are</w:t>
      </w:r>
      <w:r>
        <w:rPr>
          <w:spacing w:val="-8"/>
          <w:sz w:val="20"/>
        </w:rPr>
        <w:t> </w:t>
      </w:r>
      <w:r>
        <w:rPr>
          <w:sz w:val="20"/>
        </w:rPr>
        <w:t>questions</w:t>
      </w:r>
      <w:r>
        <w:rPr>
          <w:spacing w:val="-10"/>
          <w:sz w:val="20"/>
        </w:rPr>
        <w:t> </w:t>
      </w:r>
      <w:r>
        <w:rPr>
          <w:sz w:val="20"/>
        </w:rPr>
        <w:t>regarding</w:t>
      </w:r>
      <w:r>
        <w:rPr>
          <w:spacing w:val="-9"/>
          <w:sz w:val="20"/>
        </w:rPr>
        <w:t> </w:t>
      </w:r>
      <w:r>
        <w:rPr>
          <w:sz w:val="20"/>
        </w:rPr>
        <w:t>tare</w:t>
      </w:r>
      <w:r>
        <w:rPr>
          <w:spacing w:val="-8"/>
          <w:sz w:val="20"/>
        </w:rPr>
        <w:t> </w:t>
      </w:r>
      <w:r>
        <w:rPr>
          <w:sz w:val="20"/>
        </w:rPr>
        <w:t>determination,</w:t>
      </w:r>
      <w:r>
        <w:rPr>
          <w:spacing w:val="-6"/>
          <w:sz w:val="20"/>
        </w:rPr>
        <w:t> </w:t>
      </w:r>
      <w:r>
        <w:rPr>
          <w:sz w:val="20"/>
        </w:rPr>
        <w:t>weigh</w:t>
      </w:r>
      <w:r>
        <w:rPr>
          <w:spacing w:val="-10"/>
          <w:sz w:val="20"/>
        </w:rPr>
        <w:t> </w:t>
      </w:r>
      <w:r>
        <w:rPr>
          <w:sz w:val="20"/>
        </w:rPr>
        <w:t>a</w:t>
      </w:r>
      <w:r>
        <w:rPr>
          <w:spacing w:val="-7"/>
          <w:sz w:val="20"/>
        </w:rPr>
        <w:t> </w:t>
      </w:r>
      <w:r>
        <w:rPr>
          <w:sz w:val="20"/>
        </w:rPr>
        <w:t>representative</w:t>
      </w:r>
      <w:r>
        <w:rPr>
          <w:spacing w:val="-8"/>
          <w:sz w:val="20"/>
        </w:rPr>
        <w:t> </w:t>
      </w:r>
      <w:r>
        <w:rPr>
          <w:sz w:val="20"/>
        </w:rPr>
        <w:t>number</w:t>
      </w:r>
      <w:r>
        <w:rPr>
          <w:spacing w:val="-8"/>
          <w:sz w:val="20"/>
        </w:rPr>
        <w:t> </w:t>
      </w:r>
      <w:r>
        <w:rPr>
          <w:sz w:val="20"/>
        </w:rPr>
        <w:t>of</w:t>
      </w:r>
      <w:r>
        <w:rPr>
          <w:spacing w:val="-9"/>
          <w:sz w:val="20"/>
        </w:rPr>
        <w:t> </w:t>
      </w:r>
      <w:r>
        <w:rPr>
          <w:sz w:val="20"/>
        </w:rPr>
        <w:t>tare</w:t>
      </w:r>
      <w:r>
        <w:rPr>
          <w:spacing w:val="-8"/>
          <w:sz w:val="20"/>
        </w:rPr>
        <w:t> </w:t>
      </w:r>
      <w:r>
        <w:rPr>
          <w:sz w:val="20"/>
        </w:rPr>
        <w:t>and/or</w:t>
      </w:r>
      <w:r>
        <w:rPr>
          <w:spacing w:val="-8"/>
          <w:sz w:val="20"/>
        </w:rPr>
        <w:t> </w:t>
      </w:r>
      <w:r>
        <w:rPr>
          <w:sz w:val="20"/>
        </w:rPr>
        <w:t>filled packages.</w:t>
      </w:r>
    </w:p>
    <w:p>
      <w:pPr>
        <w:pStyle w:val="BodyText"/>
        <w:spacing w:before="8"/>
      </w:pPr>
    </w:p>
    <w:p>
      <w:pPr>
        <w:pStyle w:val="ListParagraph"/>
        <w:numPr>
          <w:ilvl w:val="3"/>
          <w:numId w:val="13"/>
        </w:numPr>
        <w:tabs>
          <w:tab w:pos="1620" w:val="left" w:leader="none"/>
        </w:tabs>
        <w:spacing w:line="240" w:lineRule="auto" w:before="1" w:after="0"/>
        <w:ind w:left="1619" w:right="416" w:hanging="487"/>
        <w:jc w:val="both"/>
        <w:rPr>
          <w:sz w:val="20"/>
        </w:rPr>
      </w:pPr>
      <w:r>
        <w:rPr>
          <w:sz w:val="20"/>
        </w:rPr>
        <w:t>For products labeled and filled by volume and then checked by weight, ensure that proper density is</w:t>
      </w:r>
      <w:r>
        <w:rPr>
          <w:spacing w:val="-2"/>
          <w:sz w:val="20"/>
        </w:rPr>
        <w:t> </w:t>
      </w:r>
      <w:r>
        <w:rPr>
          <w:sz w:val="20"/>
        </w:rPr>
        <w:t>used.</w:t>
      </w:r>
    </w:p>
    <w:p>
      <w:pPr>
        <w:pStyle w:val="BodyText"/>
        <w:spacing w:before="10"/>
      </w:pPr>
    </w:p>
    <w:p>
      <w:pPr>
        <w:pStyle w:val="ListParagraph"/>
        <w:numPr>
          <w:ilvl w:val="2"/>
          <w:numId w:val="13"/>
        </w:numPr>
        <w:tabs>
          <w:tab w:pos="1260" w:val="left" w:leader="none"/>
        </w:tabs>
        <w:spacing w:line="240" w:lineRule="auto" w:before="0" w:after="0"/>
        <w:ind w:left="1259" w:right="0" w:hanging="360"/>
        <w:jc w:val="left"/>
        <w:rPr>
          <w:sz w:val="20"/>
        </w:rPr>
      </w:pPr>
      <w:r>
        <w:rPr>
          <w:sz w:val="20"/>
        </w:rPr>
        <w:t>Warehouse</w:t>
      </w:r>
      <w:r>
        <w:rPr>
          <w:spacing w:val="-13"/>
          <w:sz w:val="20"/>
        </w:rPr>
        <w:t> </w:t>
      </w:r>
      <w:r>
        <w:rPr>
          <w:sz w:val="20"/>
        </w:rPr>
        <w:t>Inspection.</w:t>
      </w:r>
    </w:p>
    <w:p>
      <w:pPr>
        <w:pStyle w:val="BodyText"/>
        <w:spacing w:before="11"/>
      </w:pPr>
    </w:p>
    <w:p>
      <w:pPr>
        <w:pStyle w:val="BodyText"/>
        <w:ind w:left="899"/>
      </w:pPr>
      <w:r>
        <w:rPr/>
        <w:t>If an inspection is conducted:</w:t>
      </w:r>
    </w:p>
    <w:p>
      <w:pPr>
        <w:pStyle w:val="BodyText"/>
        <w:spacing w:before="10"/>
      </w:pPr>
    </w:p>
    <w:p>
      <w:pPr>
        <w:pStyle w:val="ListParagraph"/>
        <w:numPr>
          <w:ilvl w:val="3"/>
          <w:numId w:val="13"/>
        </w:numPr>
        <w:tabs>
          <w:tab w:pos="1618" w:val="left" w:leader="none"/>
          <w:tab w:pos="1620" w:val="left" w:leader="none"/>
        </w:tabs>
        <w:spacing w:line="240" w:lineRule="auto" w:before="0" w:after="0"/>
        <w:ind w:left="1619" w:right="0" w:hanging="375"/>
        <w:jc w:val="left"/>
        <w:rPr>
          <w:sz w:val="20"/>
        </w:rPr>
      </w:pPr>
      <w:r>
        <w:rPr>
          <w:sz w:val="20"/>
        </w:rPr>
        <w:t>Select lot(s) to be</w:t>
      </w:r>
      <w:r>
        <w:rPr>
          <w:spacing w:val="1"/>
          <w:sz w:val="20"/>
        </w:rPr>
        <w:t> </w:t>
      </w:r>
      <w:r>
        <w:rPr>
          <w:sz w:val="20"/>
        </w:rPr>
        <w:t>evaluated.</w:t>
      </w:r>
    </w:p>
    <w:p>
      <w:pPr>
        <w:pStyle w:val="BodyText"/>
        <w:spacing w:before="8"/>
      </w:pPr>
    </w:p>
    <w:p>
      <w:pPr>
        <w:pStyle w:val="ListParagraph"/>
        <w:numPr>
          <w:ilvl w:val="3"/>
          <w:numId w:val="13"/>
        </w:numPr>
        <w:tabs>
          <w:tab w:pos="1618" w:val="left" w:leader="none"/>
          <w:tab w:pos="1620" w:val="left" w:leader="none"/>
        </w:tabs>
        <w:spacing w:line="240" w:lineRule="auto" w:before="0" w:after="0"/>
        <w:ind w:left="1619" w:right="417" w:hanging="432"/>
        <w:jc w:val="left"/>
        <w:rPr>
          <w:sz w:val="20"/>
        </w:rPr>
      </w:pPr>
      <w:r>
        <w:rPr>
          <w:sz w:val="20"/>
        </w:rPr>
        <w:t>Determine the number of samples to be inspected. Use the appropriate sampling plan as described in NIST Handbook 133, “Checking the Net Content of Packaged</w:t>
      </w:r>
      <w:r>
        <w:rPr>
          <w:spacing w:val="-7"/>
          <w:sz w:val="20"/>
        </w:rPr>
        <w:t> </w:t>
      </w:r>
      <w:r>
        <w:rPr>
          <w:sz w:val="20"/>
        </w:rPr>
        <w:t>Goods.”</w:t>
      </w:r>
    </w:p>
    <w:p>
      <w:pPr>
        <w:spacing w:after="0" w:line="240" w:lineRule="auto"/>
        <w:jc w:val="left"/>
        <w:rPr>
          <w:sz w:val="20"/>
        </w:rPr>
        <w:sectPr>
          <w:pgSz w:w="12240" w:h="15840"/>
          <w:pgMar w:header="730" w:footer="741" w:top="1340" w:bottom="940" w:left="1260" w:right="1020"/>
        </w:sectPr>
      </w:pPr>
    </w:p>
    <w:p>
      <w:pPr>
        <w:pStyle w:val="BodyText"/>
        <w:spacing w:before="1"/>
        <w:rPr>
          <w:sz w:val="17"/>
        </w:rPr>
      </w:pPr>
    </w:p>
    <w:p>
      <w:pPr>
        <w:pStyle w:val="ListParagraph"/>
        <w:numPr>
          <w:ilvl w:val="3"/>
          <w:numId w:val="13"/>
        </w:numPr>
        <w:tabs>
          <w:tab w:pos="1619" w:val="left" w:leader="none"/>
          <w:tab w:pos="1620" w:val="left" w:leader="none"/>
        </w:tabs>
        <w:spacing w:line="240" w:lineRule="auto" w:before="91" w:after="0"/>
        <w:ind w:left="1619" w:right="0" w:hanging="487"/>
        <w:jc w:val="left"/>
        <w:rPr>
          <w:sz w:val="20"/>
        </w:rPr>
      </w:pPr>
      <w:r>
        <w:rPr>
          <w:sz w:val="20"/>
        </w:rPr>
        <w:t>Randomly</w:t>
      </w:r>
      <w:r>
        <w:rPr>
          <w:spacing w:val="-6"/>
          <w:sz w:val="20"/>
        </w:rPr>
        <w:t> </w:t>
      </w:r>
      <w:r>
        <w:rPr>
          <w:sz w:val="20"/>
        </w:rPr>
        <w:t>select</w:t>
      </w:r>
      <w:r>
        <w:rPr>
          <w:spacing w:val="-4"/>
          <w:sz w:val="20"/>
        </w:rPr>
        <w:t> </w:t>
      </w:r>
      <w:r>
        <w:rPr>
          <w:sz w:val="20"/>
        </w:rPr>
        <w:t>the</w:t>
      </w:r>
      <w:r>
        <w:rPr>
          <w:spacing w:val="-2"/>
          <w:sz w:val="20"/>
        </w:rPr>
        <w:t> </w:t>
      </w:r>
      <w:r>
        <w:rPr>
          <w:sz w:val="20"/>
        </w:rPr>
        <w:t>number</w:t>
      </w:r>
      <w:r>
        <w:rPr>
          <w:spacing w:val="-3"/>
          <w:sz w:val="20"/>
        </w:rPr>
        <w:t> </w:t>
      </w:r>
      <w:r>
        <w:rPr>
          <w:sz w:val="20"/>
        </w:rPr>
        <w:t>of</w:t>
      </w:r>
      <w:r>
        <w:rPr>
          <w:spacing w:val="-5"/>
          <w:sz w:val="20"/>
        </w:rPr>
        <w:t> </w:t>
      </w:r>
      <w:r>
        <w:rPr>
          <w:sz w:val="20"/>
        </w:rPr>
        <w:t>samples</w:t>
      </w:r>
      <w:r>
        <w:rPr>
          <w:spacing w:val="-5"/>
          <w:sz w:val="20"/>
        </w:rPr>
        <w:t> </w:t>
      </w:r>
      <w:r>
        <w:rPr>
          <w:sz w:val="20"/>
        </w:rPr>
        <w:t>or use</w:t>
      </w:r>
      <w:r>
        <w:rPr>
          <w:spacing w:val="-4"/>
          <w:sz w:val="20"/>
        </w:rPr>
        <w:t> </w:t>
      </w:r>
      <w:r>
        <w:rPr>
          <w:sz w:val="20"/>
        </w:rPr>
        <w:t>a</w:t>
      </w:r>
      <w:r>
        <w:rPr>
          <w:spacing w:val="-1"/>
          <w:sz w:val="20"/>
        </w:rPr>
        <w:t> </w:t>
      </w:r>
      <w:r>
        <w:rPr>
          <w:sz w:val="20"/>
        </w:rPr>
        <w:t>mutually</w:t>
      </w:r>
      <w:r>
        <w:rPr>
          <w:spacing w:val="-5"/>
          <w:sz w:val="20"/>
        </w:rPr>
        <w:t> </w:t>
      </w:r>
      <w:r>
        <w:rPr>
          <w:sz w:val="20"/>
        </w:rPr>
        <w:t>agreed</w:t>
      </w:r>
      <w:r>
        <w:rPr>
          <w:spacing w:val="-3"/>
          <w:sz w:val="20"/>
        </w:rPr>
        <w:t> </w:t>
      </w:r>
      <w:r>
        <w:rPr>
          <w:sz w:val="20"/>
        </w:rPr>
        <w:t>on</w:t>
      </w:r>
      <w:r>
        <w:rPr>
          <w:spacing w:val="-5"/>
          <w:sz w:val="20"/>
        </w:rPr>
        <w:t> </w:t>
      </w:r>
      <w:r>
        <w:rPr>
          <w:sz w:val="20"/>
        </w:rPr>
        <w:t>plan</w:t>
      </w:r>
      <w:r>
        <w:rPr>
          <w:spacing w:val="-6"/>
          <w:sz w:val="20"/>
        </w:rPr>
        <w:t> </w:t>
      </w:r>
      <w:r>
        <w:rPr>
          <w:sz w:val="20"/>
        </w:rPr>
        <w:t>for</w:t>
      </w:r>
      <w:r>
        <w:rPr>
          <w:spacing w:val="-3"/>
          <w:sz w:val="20"/>
        </w:rPr>
        <w:t> </w:t>
      </w:r>
      <w:r>
        <w:rPr>
          <w:sz w:val="20"/>
        </w:rPr>
        <w:t>selecting</w:t>
      </w:r>
      <w:r>
        <w:rPr>
          <w:spacing w:val="-5"/>
          <w:sz w:val="20"/>
        </w:rPr>
        <w:t> </w:t>
      </w:r>
      <w:r>
        <w:rPr>
          <w:sz w:val="20"/>
        </w:rPr>
        <w:t>the</w:t>
      </w:r>
      <w:r>
        <w:rPr>
          <w:spacing w:val="-2"/>
          <w:sz w:val="20"/>
        </w:rPr>
        <w:t> </w:t>
      </w:r>
      <w:r>
        <w:rPr>
          <w:sz w:val="20"/>
        </w:rPr>
        <w:t>samples.</w:t>
      </w:r>
    </w:p>
    <w:p>
      <w:pPr>
        <w:pStyle w:val="BodyText"/>
        <w:spacing w:before="10"/>
      </w:pPr>
    </w:p>
    <w:p>
      <w:pPr>
        <w:pStyle w:val="ListParagraph"/>
        <w:numPr>
          <w:ilvl w:val="3"/>
          <w:numId w:val="13"/>
        </w:numPr>
        <w:tabs>
          <w:tab w:pos="1619" w:val="left" w:leader="none"/>
          <w:tab w:pos="1620" w:val="left" w:leader="none"/>
        </w:tabs>
        <w:spacing w:line="240" w:lineRule="auto" w:before="0" w:after="0"/>
        <w:ind w:left="1619" w:right="420" w:hanging="475"/>
        <w:jc w:val="left"/>
        <w:rPr>
          <w:sz w:val="20"/>
        </w:rPr>
      </w:pPr>
      <w:r>
        <w:rPr>
          <w:sz w:val="20"/>
        </w:rPr>
        <w:t>Determine the average net quantity of the sample and use the standard deviation factor to compute the Sample Error Limit (SEL) to evaluate the</w:t>
      </w:r>
      <w:r>
        <w:rPr>
          <w:spacing w:val="2"/>
          <w:sz w:val="20"/>
        </w:rPr>
        <w:t> </w:t>
      </w:r>
      <w:r>
        <w:rPr>
          <w:sz w:val="20"/>
        </w:rPr>
        <w:t>lot.</w:t>
      </w:r>
    </w:p>
    <w:p>
      <w:pPr>
        <w:pStyle w:val="BodyText"/>
        <w:rPr>
          <w:sz w:val="21"/>
        </w:rPr>
      </w:pPr>
    </w:p>
    <w:p>
      <w:pPr>
        <w:pStyle w:val="ListParagraph"/>
        <w:numPr>
          <w:ilvl w:val="3"/>
          <w:numId w:val="13"/>
        </w:numPr>
        <w:tabs>
          <w:tab w:pos="1619" w:val="left" w:leader="none"/>
          <w:tab w:pos="1620" w:val="left" w:leader="none"/>
        </w:tabs>
        <w:spacing w:line="240" w:lineRule="auto" w:before="0" w:after="0"/>
        <w:ind w:left="1619" w:right="417" w:hanging="420"/>
        <w:jc w:val="left"/>
        <w:rPr>
          <w:sz w:val="20"/>
        </w:rPr>
      </w:pPr>
      <w:r>
        <w:rPr>
          <w:sz w:val="20"/>
        </w:rPr>
        <w:t>Look for individual values that exceed the applicable Maximum Allowable Variation as found in NIST Handbook</w:t>
      </w:r>
      <w:r>
        <w:rPr>
          <w:spacing w:val="1"/>
          <w:sz w:val="20"/>
        </w:rPr>
        <w:t> </w:t>
      </w:r>
      <w:r>
        <w:rPr>
          <w:sz w:val="20"/>
        </w:rPr>
        <w:t>133.</w:t>
      </w:r>
    </w:p>
    <w:p>
      <w:pPr>
        <w:pStyle w:val="BodyText"/>
        <w:spacing w:before="8"/>
      </w:pPr>
    </w:p>
    <w:p>
      <w:pPr>
        <w:pStyle w:val="ListParagraph"/>
        <w:numPr>
          <w:ilvl w:val="3"/>
          <w:numId w:val="13"/>
        </w:numPr>
        <w:tabs>
          <w:tab w:pos="1619" w:val="left" w:leader="none"/>
          <w:tab w:pos="1620" w:val="left" w:leader="none"/>
        </w:tabs>
        <w:spacing w:line="240" w:lineRule="auto" w:before="0" w:after="0"/>
        <w:ind w:left="1619" w:right="0" w:hanging="475"/>
        <w:jc w:val="left"/>
        <w:rPr>
          <w:sz w:val="20"/>
        </w:rPr>
      </w:pPr>
      <w:r>
        <w:rPr>
          <w:sz w:val="20"/>
        </w:rPr>
        <w:t>Apply moisture allowances, if applicable.</w:t>
      </w:r>
    </w:p>
    <w:p>
      <w:pPr>
        <w:pStyle w:val="BodyText"/>
        <w:spacing w:before="10"/>
      </w:pPr>
    </w:p>
    <w:p>
      <w:pPr>
        <w:pStyle w:val="ListParagraph"/>
        <w:numPr>
          <w:ilvl w:val="3"/>
          <w:numId w:val="13"/>
        </w:numPr>
        <w:tabs>
          <w:tab w:pos="1619" w:val="left" w:leader="none"/>
          <w:tab w:pos="1620" w:val="left" w:leader="none"/>
        </w:tabs>
        <w:spacing w:line="240" w:lineRule="auto" w:before="1" w:after="0"/>
        <w:ind w:left="1619" w:right="422" w:hanging="530"/>
        <w:jc w:val="left"/>
        <w:rPr>
          <w:sz w:val="20"/>
        </w:rPr>
      </w:pPr>
      <w:r>
        <w:rPr>
          <w:sz w:val="20"/>
        </w:rPr>
        <w:t>Review</w:t>
      </w:r>
      <w:r>
        <w:rPr>
          <w:spacing w:val="-11"/>
          <w:sz w:val="20"/>
        </w:rPr>
        <w:t> </w:t>
      </w:r>
      <w:r>
        <w:rPr>
          <w:sz w:val="20"/>
        </w:rPr>
        <w:t>the</w:t>
      </w:r>
      <w:r>
        <w:rPr>
          <w:spacing w:val="-6"/>
          <w:sz w:val="20"/>
        </w:rPr>
        <w:t> </w:t>
      </w:r>
      <w:r>
        <w:rPr>
          <w:sz w:val="20"/>
        </w:rPr>
        <w:t>general</w:t>
      </w:r>
      <w:r>
        <w:rPr>
          <w:spacing w:val="-8"/>
          <w:sz w:val="20"/>
        </w:rPr>
        <w:t> </w:t>
      </w:r>
      <w:r>
        <w:rPr>
          <w:sz w:val="20"/>
        </w:rPr>
        <w:t>condition</w:t>
      </w:r>
      <w:r>
        <w:rPr>
          <w:spacing w:val="-8"/>
          <w:sz w:val="20"/>
        </w:rPr>
        <w:t> </w:t>
      </w:r>
      <w:r>
        <w:rPr>
          <w:sz w:val="20"/>
        </w:rPr>
        <w:t>of</w:t>
      </w:r>
      <w:r>
        <w:rPr>
          <w:spacing w:val="-9"/>
          <w:sz w:val="20"/>
        </w:rPr>
        <w:t> </w:t>
      </w:r>
      <w:r>
        <w:rPr>
          <w:sz w:val="20"/>
        </w:rPr>
        <w:t>the</w:t>
      </w:r>
      <w:r>
        <w:rPr>
          <w:spacing w:val="-4"/>
          <w:sz w:val="20"/>
        </w:rPr>
        <w:t> </w:t>
      </w:r>
      <w:r>
        <w:rPr>
          <w:sz w:val="20"/>
        </w:rPr>
        <w:t>warehouse</w:t>
      </w:r>
      <w:r>
        <w:rPr>
          <w:spacing w:val="-8"/>
          <w:sz w:val="20"/>
        </w:rPr>
        <w:t> </w:t>
      </w:r>
      <w:r>
        <w:rPr>
          <w:sz w:val="20"/>
        </w:rPr>
        <w:t>relevant</w:t>
      </w:r>
      <w:r>
        <w:rPr>
          <w:spacing w:val="-8"/>
          <w:sz w:val="20"/>
        </w:rPr>
        <w:t> </w:t>
      </w:r>
      <w:r>
        <w:rPr>
          <w:sz w:val="20"/>
        </w:rPr>
        <w:t>to</w:t>
      </w:r>
      <w:r>
        <w:rPr>
          <w:spacing w:val="-8"/>
          <w:sz w:val="20"/>
        </w:rPr>
        <w:t> </w:t>
      </w:r>
      <w:r>
        <w:rPr>
          <w:sz w:val="20"/>
        </w:rPr>
        <w:t>package</w:t>
      </w:r>
      <w:r>
        <w:rPr>
          <w:spacing w:val="-6"/>
          <w:sz w:val="20"/>
        </w:rPr>
        <w:t> </w:t>
      </w:r>
      <w:r>
        <w:rPr>
          <w:sz w:val="20"/>
        </w:rPr>
        <w:t>integrity,</w:t>
      </w:r>
      <w:r>
        <w:rPr>
          <w:spacing w:val="-6"/>
          <w:sz w:val="20"/>
        </w:rPr>
        <w:t> </w:t>
      </w:r>
      <w:r>
        <w:rPr>
          <w:sz w:val="20"/>
        </w:rPr>
        <w:t>good</w:t>
      </w:r>
      <w:r>
        <w:rPr>
          <w:spacing w:val="-7"/>
          <w:sz w:val="20"/>
        </w:rPr>
        <w:t> </w:t>
      </w:r>
      <w:r>
        <w:rPr>
          <w:sz w:val="20"/>
        </w:rPr>
        <w:t>quantity</w:t>
      </w:r>
      <w:r>
        <w:rPr>
          <w:spacing w:val="-10"/>
          <w:sz w:val="20"/>
        </w:rPr>
        <w:t> </w:t>
      </w:r>
      <w:r>
        <w:rPr>
          <w:sz w:val="20"/>
        </w:rPr>
        <w:t>control, and distribution</w:t>
      </w:r>
      <w:r>
        <w:rPr>
          <w:spacing w:val="-1"/>
          <w:sz w:val="20"/>
        </w:rPr>
        <w:t> </w:t>
      </w:r>
      <w:r>
        <w:rPr>
          <w:sz w:val="20"/>
        </w:rPr>
        <w:t>practices.</w:t>
      </w:r>
    </w:p>
    <w:p>
      <w:pPr>
        <w:pStyle w:val="BodyText"/>
        <w:spacing w:before="10"/>
      </w:pPr>
    </w:p>
    <w:p>
      <w:pPr>
        <w:pStyle w:val="ListParagraph"/>
        <w:numPr>
          <w:ilvl w:val="3"/>
          <w:numId w:val="13"/>
        </w:numPr>
        <w:tabs>
          <w:tab w:pos="1619" w:val="left" w:leader="none"/>
          <w:tab w:pos="1620" w:val="left" w:leader="none"/>
        </w:tabs>
        <w:spacing w:line="240" w:lineRule="auto" w:before="0" w:after="0"/>
        <w:ind w:left="1619" w:right="0" w:hanging="586"/>
        <w:jc w:val="left"/>
        <w:rPr>
          <w:sz w:val="20"/>
        </w:rPr>
      </w:pPr>
      <w:r>
        <w:rPr>
          <w:sz w:val="20"/>
        </w:rPr>
        <w:t>Prepare an inspection report to detail findings and</w:t>
      </w:r>
      <w:r>
        <w:rPr>
          <w:spacing w:val="-4"/>
          <w:sz w:val="20"/>
        </w:rPr>
        <w:t> </w:t>
      </w:r>
      <w:r>
        <w:rPr>
          <w:sz w:val="20"/>
        </w:rPr>
        <w:t>actions.</w:t>
      </w:r>
    </w:p>
    <w:p>
      <w:pPr>
        <w:pStyle w:val="BodyText"/>
        <w:spacing w:before="11"/>
      </w:pPr>
    </w:p>
    <w:p>
      <w:pPr>
        <w:pStyle w:val="ListParagraph"/>
        <w:numPr>
          <w:ilvl w:val="1"/>
          <w:numId w:val="13"/>
        </w:numPr>
        <w:tabs>
          <w:tab w:pos="899" w:val="left" w:leader="none"/>
          <w:tab w:pos="900" w:val="left" w:leader="none"/>
        </w:tabs>
        <w:spacing w:line="240" w:lineRule="auto" w:before="0" w:after="0"/>
        <w:ind w:left="899" w:right="0" w:hanging="360"/>
        <w:jc w:val="left"/>
        <w:rPr>
          <w:sz w:val="20"/>
        </w:rPr>
      </w:pPr>
      <w:r>
        <w:rPr>
          <w:sz w:val="20"/>
        </w:rPr>
        <w:t>Close the inspection - Review findings with Plant</w:t>
      </w:r>
      <w:r>
        <w:rPr>
          <w:spacing w:val="-1"/>
          <w:sz w:val="20"/>
        </w:rPr>
        <w:t> </w:t>
      </w:r>
      <w:r>
        <w:rPr>
          <w:sz w:val="20"/>
        </w:rPr>
        <w:t>Representative.</w:t>
      </w:r>
    </w:p>
    <w:p>
      <w:pPr>
        <w:pStyle w:val="BodyText"/>
        <w:spacing w:before="8"/>
      </w:pPr>
    </w:p>
    <w:p>
      <w:pPr>
        <w:pStyle w:val="BodyText"/>
        <w:ind w:left="179" w:right="416"/>
        <w:jc w:val="both"/>
      </w:pPr>
      <w:r>
        <w:rPr/>
        <w:t>After the inspection, meet with the management representative to discuss inspection findings and observations. Pro- vide additional information as needed (e.g., information on laws and regulations or explanations of test procedures used in the inspection). Be informative, courteous and responsive. If problems/violations are found during the in- spection/test, bring them to the attention of the appropriate person.</w:t>
      </w:r>
    </w:p>
    <w:p>
      <w:pPr>
        <w:pStyle w:val="BodyText"/>
        <w:rPr>
          <w:sz w:val="21"/>
        </w:rPr>
      </w:pPr>
    </w:p>
    <w:p>
      <w:pPr>
        <w:pStyle w:val="Heading1"/>
        <w:numPr>
          <w:ilvl w:val="0"/>
          <w:numId w:val="13"/>
        </w:numPr>
        <w:tabs>
          <w:tab w:pos="465" w:val="left" w:leader="none"/>
        </w:tabs>
        <w:spacing w:line="240" w:lineRule="auto" w:before="0" w:after="0"/>
        <w:ind w:left="465" w:right="0" w:hanging="286"/>
        <w:jc w:val="left"/>
      </w:pPr>
      <w:r>
        <w:rPr/>
        <w:t>Plant Management</w:t>
      </w:r>
      <w:r>
        <w:rPr>
          <w:spacing w:val="-2"/>
        </w:rPr>
        <w:t> </w:t>
      </w:r>
      <w:r>
        <w:rPr/>
        <w:t>Responsibilities.</w:t>
      </w:r>
    </w:p>
    <w:p>
      <w:pPr>
        <w:pStyle w:val="BodyText"/>
        <w:spacing w:before="10"/>
        <w:rPr>
          <w:b/>
        </w:rPr>
      </w:pPr>
    </w:p>
    <w:p>
      <w:pPr>
        <w:pStyle w:val="ListParagraph"/>
        <w:numPr>
          <w:ilvl w:val="1"/>
          <w:numId w:val="13"/>
        </w:numPr>
        <w:tabs>
          <w:tab w:pos="899" w:val="left" w:leader="none"/>
          <w:tab w:pos="900" w:val="left" w:leader="none"/>
        </w:tabs>
        <w:spacing w:line="240" w:lineRule="auto" w:before="0" w:after="0"/>
        <w:ind w:left="899" w:right="0" w:hanging="360"/>
        <w:jc w:val="left"/>
        <w:rPr>
          <w:sz w:val="20"/>
        </w:rPr>
      </w:pPr>
      <w:r>
        <w:rPr>
          <w:sz w:val="20"/>
        </w:rPr>
        <w:t>Recognize that inspectors are enforcing a federal, state or local</w:t>
      </w:r>
      <w:r>
        <w:rPr>
          <w:spacing w:val="-2"/>
          <w:sz w:val="20"/>
        </w:rPr>
        <w:t> </w:t>
      </w:r>
      <w:r>
        <w:rPr>
          <w:sz w:val="20"/>
        </w:rPr>
        <w:t>law.</w:t>
      </w:r>
    </w:p>
    <w:p>
      <w:pPr>
        <w:pStyle w:val="BodyText"/>
        <w:spacing w:before="11"/>
      </w:pPr>
    </w:p>
    <w:p>
      <w:pPr>
        <w:pStyle w:val="ListParagraph"/>
        <w:numPr>
          <w:ilvl w:val="1"/>
          <w:numId w:val="13"/>
        </w:numPr>
        <w:tabs>
          <w:tab w:pos="899" w:val="left" w:leader="none"/>
          <w:tab w:pos="900" w:val="left" w:leader="none"/>
        </w:tabs>
        <w:spacing w:line="240" w:lineRule="auto" w:before="0" w:after="0"/>
        <w:ind w:left="899" w:right="0" w:hanging="360"/>
        <w:jc w:val="left"/>
        <w:rPr>
          <w:sz w:val="20"/>
        </w:rPr>
      </w:pPr>
      <w:r>
        <w:rPr>
          <w:sz w:val="20"/>
        </w:rPr>
        <w:t>Assist the official in conducting inspection activities in a timely and efficient</w:t>
      </w:r>
      <w:r>
        <w:rPr>
          <w:spacing w:val="-14"/>
          <w:sz w:val="20"/>
        </w:rPr>
        <w:t> </w:t>
      </w:r>
      <w:r>
        <w:rPr>
          <w:sz w:val="20"/>
        </w:rPr>
        <w:t>manner.</w:t>
      </w:r>
    </w:p>
    <w:p>
      <w:pPr>
        <w:pStyle w:val="BodyText"/>
        <w:spacing w:before="8"/>
      </w:pPr>
    </w:p>
    <w:p>
      <w:pPr>
        <w:pStyle w:val="ListParagraph"/>
        <w:numPr>
          <w:ilvl w:val="1"/>
          <w:numId w:val="13"/>
        </w:numPr>
        <w:tabs>
          <w:tab w:pos="900" w:val="left" w:leader="none"/>
        </w:tabs>
        <w:spacing w:line="240" w:lineRule="auto" w:before="0" w:after="0"/>
        <w:ind w:left="899" w:right="418" w:hanging="360"/>
        <w:jc w:val="both"/>
        <w:rPr>
          <w:sz w:val="20"/>
        </w:rPr>
      </w:pPr>
      <w:r>
        <w:rPr>
          <w:sz w:val="20"/>
        </w:rPr>
        <w:t>During the initial conference with the inspector, find out whether the inspection is routine, a follow-up, or the result of a consumer complaint. If a complaint, obtain as much information as possible concerning the nature of the complaint, allowing for an appropriate</w:t>
      </w:r>
      <w:r>
        <w:rPr>
          <w:spacing w:val="-3"/>
          <w:sz w:val="20"/>
        </w:rPr>
        <w:t> </w:t>
      </w:r>
      <w:r>
        <w:rPr>
          <w:sz w:val="20"/>
        </w:rPr>
        <w:t>response.</w:t>
      </w:r>
    </w:p>
    <w:p>
      <w:pPr>
        <w:pStyle w:val="BodyText"/>
        <w:spacing w:before="11"/>
      </w:pPr>
    </w:p>
    <w:p>
      <w:pPr>
        <w:pStyle w:val="ListParagraph"/>
        <w:numPr>
          <w:ilvl w:val="1"/>
          <w:numId w:val="13"/>
        </w:numPr>
        <w:tabs>
          <w:tab w:pos="899" w:val="left" w:leader="none"/>
          <w:tab w:pos="900" w:val="left" w:leader="none"/>
        </w:tabs>
        <w:spacing w:line="240" w:lineRule="auto" w:before="0" w:after="0"/>
        <w:ind w:left="899" w:right="419" w:hanging="360"/>
        <w:jc w:val="left"/>
        <w:rPr>
          <w:sz w:val="20"/>
        </w:rPr>
      </w:pPr>
      <w:r>
        <w:rPr>
          <w:sz w:val="20"/>
        </w:rPr>
        <w:t>The plant manager, quality assurance manager, or any designated representative should accompany the in- spector.</w:t>
      </w:r>
    </w:p>
    <w:p>
      <w:pPr>
        <w:pStyle w:val="BodyText"/>
        <w:spacing w:before="8"/>
      </w:pPr>
    </w:p>
    <w:p>
      <w:pPr>
        <w:pStyle w:val="ListParagraph"/>
        <w:numPr>
          <w:ilvl w:val="1"/>
          <w:numId w:val="13"/>
        </w:numPr>
        <w:tabs>
          <w:tab w:pos="899" w:val="left" w:leader="none"/>
          <w:tab w:pos="900" w:val="left" w:leader="none"/>
        </w:tabs>
        <w:spacing w:line="240" w:lineRule="auto" w:before="1" w:after="0"/>
        <w:ind w:left="899" w:right="417" w:hanging="360"/>
        <w:jc w:val="left"/>
        <w:rPr>
          <w:sz w:val="20"/>
        </w:rPr>
      </w:pPr>
      <w:r>
        <w:rPr>
          <w:sz w:val="20"/>
        </w:rPr>
        <w:t>Plant personnel should take note of the inspector’s comments during the inspection and prepare a detailed write-up as soon as the inspection is</w:t>
      </w:r>
      <w:r>
        <w:rPr>
          <w:spacing w:val="-6"/>
          <w:sz w:val="20"/>
        </w:rPr>
        <w:t> </w:t>
      </w:r>
      <w:r>
        <w:rPr>
          <w:sz w:val="20"/>
        </w:rPr>
        <w:t>completed.</w:t>
      </w:r>
    </w:p>
    <w:p>
      <w:pPr>
        <w:pStyle w:val="BodyText"/>
        <w:spacing w:before="10"/>
      </w:pPr>
    </w:p>
    <w:p>
      <w:pPr>
        <w:pStyle w:val="ListParagraph"/>
        <w:numPr>
          <w:ilvl w:val="1"/>
          <w:numId w:val="13"/>
        </w:numPr>
        <w:tabs>
          <w:tab w:pos="899" w:val="left" w:leader="none"/>
          <w:tab w:pos="900" w:val="left" w:leader="none"/>
        </w:tabs>
        <w:spacing w:line="240" w:lineRule="auto" w:before="0" w:after="0"/>
        <w:ind w:left="899" w:right="420" w:hanging="360"/>
        <w:jc w:val="left"/>
        <w:rPr>
          <w:sz w:val="20"/>
        </w:rPr>
      </w:pPr>
      <w:r>
        <w:rPr>
          <w:sz w:val="20"/>
        </w:rPr>
        <w:t>When</w:t>
      </w:r>
      <w:r>
        <w:rPr>
          <w:spacing w:val="-14"/>
          <w:sz w:val="20"/>
        </w:rPr>
        <w:t> </w:t>
      </w:r>
      <w:r>
        <w:rPr>
          <w:sz w:val="20"/>
        </w:rPr>
        <w:t>an</w:t>
      </w:r>
      <w:r>
        <w:rPr>
          <w:spacing w:val="-13"/>
          <w:sz w:val="20"/>
        </w:rPr>
        <w:t> </w:t>
      </w:r>
      <w:r>
        <w:rPr>
          <w:sz w:val="20"/>
        </w:rPr>
        <w:t>official</w:t>
      </w:r>
      <w:r>
        <w:rPr>
          <w:spacing w:val="-12"/>
          <w:sz w:val="20"/>
        </w:rPr>
        <w:t> </w:t>
      </w:r>
      <w:r>
        <w:rPr>
          <w:sz w:val="20"/>
        </w:rPr>
        <w:t>presents</w:t>
      </w:r>
      <w:r>
        <w:rPr>
          <w:spacing w:val="-11"/>
          <w:sz w:val="20"/>
        </w:rPr>
        <w:t> </w:t>
      </w:r>
      <w:r>
        <w:rPr>
          <w:sz w:val="20"/>
        </w:rPr>
        <w:t>an</w:t>
      </w:r>
      <w:r>
        <w:rPr>
          <w:spacing w:val="-10"/>
          <w:sz w:val="20"/>
        </w:rPr>
        <w:t> </w:t>
      </w:r>
      <w:r>
        <w:rPr>
          <w:sz w:val="20"/>
        </w:rPr>
        <w:t>inspection</w:t>
      </w:r>
      <w:r>
        <w:rPr>
          <w:spacing w:val="-13"/>
          <w:sz w:val="20"/>
        </w:rPr>
        <w:t> </w:t>
      </w:r>
      <w:r>
        <w:rPr>
          <w:sz w:val="20"/>
        </w:rPr>
        <w:t>report,</w:t>
      </w:r>
      <w:r>
        <w:rPr>
          <w:spacing w:val="-12"/>
          <w:sz w:val="20"/>
        </w:rPr>
        <w:t> </w:t>
      </w:r>
      <w:r>
        <w:rPr>
          <w:sz w:val="20"/>
        </w:rPr>
        <w:t>discuss</w:t>
      </w:r>
      <w:r>
        <w:rPr>
          <w:spacing w:val="-12"/>
          <w:sz w:val="20"/>
        </w:rPr>
        <w:t> </w:t>
      </w:r>
      <w:r>
        <w:rPr>
          <w:sz w:val="20"/>
        </w:rPr>
        <w:t>the</w:t>
      </w:r>
      <w:r>
        <w:rPr>
          <w:spacing w:val="-11"/>
          <w:sz w:val="20"/>
        </w:rPr>
        <w:t> </w:t>
      </w:r>
      <w:r>
        <w:rPr>
          <w:sz w:val="20"/>
        </w:rPr>
        <w:t>observations</w:t>
      </w:r>
      <w:r>
        <w:rPr>
          <w:spacing w:val="-13"/>
          <w:sz w:val="20"/>
        </w:rPr>
        <w:t> </w:t>
      </w:r>
      <w:r>
        <w:rPr>
          <w:sz w:val="20"/>
        </w:rPr>
        <w:t>and,</w:t>
      </w:r>
      <w:r>
        <w:rPr>
          <w:spacing w:val="-11"/>
          <w:sz w:val="20"/>
        </w:rPr>
        <w:t> </w:t>
      </w:r>
      <w:r>
        <w:rPr>
          <w:sz w:val="20"/>
        </w:rPr>
        <w:t>if</w:t>
      </w:r>
      <w:r>
        <w:rPr>
          <w:spacing w:val="-13"/>
          <w:sz w:val="20"/>
        </w:rPr>
        <w:t> </w:t>
      </w:r>
      <w:r>
        <w:rPr>
          <w:sz w:val="20"/>
        </w:rPr>
        <w:t>possible,</w:t>
      </w:r>
      <w:r>
        <w:rPr>
          <w:spacing w:val="-12"/>
          <w:sz w:val="20"/>
        </w:rPr>
        <w:t> </w:t>
      </w:r>
      <w:r>
        <w:rPr>
          <w:sz w:val="20"/>
        </w:rPr>
        <w:t>provide</w:t>
      </w:r>
      <w:r>
        <w:rPr>
          <w:spacing w:val="-11"/>
          <w:sz w:val="20"/>
        </w:rPr>
        <w:t> </w:t>
      </w:r>
      <w:r>
        <w:rPr>
          <w:sz w:val="20"/>
        </w:rPr>
        <w:t>explanations for any changes deemed necessary as a result of the</w:t>
      </w:r>
      <w:r>
        <w:rPr>
          <w:spacing w:val="-14"/>
          <w:sz w:val="20"/>
        </w:rPr>
        <w:t> </w:t>
      </w:r>
      <w:r>
        <w:rPr>
          <w:sz w:val="20"/>
        </w:rPr>
        <w:t>inspection/test.</w:t>
      </w:r>
    </w:p>
    <w:p>
      <w:pPr>
        <w:pStyle w:val="BodyText"/>
        <w:rPr>
          <w:sz w:val="21"/>
        </w:rPr>
      </w:pPr>
    </w:p>
    <w:p>
      <w:pPr>
        <w:pStyle w:val="BodyText"/>
        <w:ind w:left="179"/>
      </w:pPr>
      <w:r>
        <w:rPr/>
        <w:t>Plant Management: information that must be shared with the inspector.</w:t>
      </w:r>
    </w:p>
    <w:p>
      <w:pPr>
        <w:pStyle w:val="BodyText"/>
        <w:spacing w:before="10"/>
      </w:pPr>
    </w:p>
    <w:p>
      <w:pPr>
        <w:pStyle w:val="ListParagraph"/>
        <w:numPr>
          <w:ilvl w:val="0"/>
          <w:numId w:val="14"/>
        </w:numPr>
        <w:tabs>
          <w:tab w:pos="899" w:val="left" w:leader="none"/>
          <w:tab w:pos="900" w:val="left" w:leader="none"/>
        </w:tabs>
        <w:spacing w:line="240" w:lineRule="auto" w:before="0" w:after="0"/>
        <w:ind w:left="899" w:right="0" w:hanging="360"/>
        <w:jc w:val="left"/>
        <w:rPr>
          <w:sz w:val="20"/>
        </w:rPr>
      </w:pPr>
      <w:r>
        <w:rPr>
          <w:sz w:val="20"/>
        </w:rPr>
        <w:t>Establishment name and</w:t>
      </w:r>
      <w:r>
        <w:rPr>
          <w:spacing w:val="2"/>
          <w:sz w:val="20"/>
        </w:rPr>
        <w:t> </w:t>
      </w:r>
      <w:r>
        <w:rPr>
          <w:sz w:val="20"/>
        </w:rPr>
        <w:t>address.</w:t>
      </w:r>
    </w:p>
    <w:p>
      <w:pPr>
        <w:pStyle w:val="BodyText"/>
        <w:spacing w:before="8"/>
      </w:pPr>
    </w:p>
    <w:p>
      <w:pPr>
        <w:pStyle w:val="ListParagraph"/>
        <w:numPr>
          <w:ilvl w:val="0"/>
          <w:numId w:val="14"/>
        </w:numPr>
        <w:tabs>
          <w:tab w:pos="898" w:val="left" w:leader="none"/>
          <w:tab w:pos="899" w:val="left" w:leader="none"/>
        </w:tabs>
        <w:spacing w:line="240" w:lineRule="auto" w:before="0" w:after="0"/>
        <w:ind w:left="898" w:right="420" w:hanging="360"/>
        <w:jc w:val="left"/>
        <w:rPr>
          <w:sz w:val="20"/>
        </w:rPr>
      </w:pPr>
      <w:r>
        <w:rPr>
          <w:sz w:val="20"/>
        </w:rPr>
        <w:t>Type of firm and information on related firms or applicable information (e.g., sub-contractor, servant, or agent).</w:t>
      </w:r>
    </w:p>
    <w:p>
      <w:pPr>
        <w:pStyle w:val="BodyText"/>
        <w:spacing w:before="11"/>
      </w:pPr>
    </w:p>
    <w:p>
      <w:pPr>
        <w:pStyle w:val="ListParagraph"/>
        <w:numPr>
          <w:ilvl w:val="0"/>
          <w:numId w:val="14"/>
        </w:numPr>
        <w:tabs>
          <w:tab w:pos="898" w:val="left" w:leader="none"/>
          <w:tab w:pos="899" w:val="left" w:leader="none"/>
        </w:tabs>
        <w:spacing w:line="240" w:lineRule="auto" w:before="0" w:after="0"/>
        <w:ind w:left="898" w:right="421" w:hanging="360"/>
        <w:jc w:val="left"/>
        <w:rPr>
          <w:sz w:val="20"/>
        </w:rPr>
      </w:pPr>
      <w:r>
        <w:rPr>
          <w:sz w:val="20"/>
        </w:rPr>
        <w:t>General description and location of shipping and storage areas where packaged goods intended for distribu- tion are</w:t>
      </w:r>
      <w:r>
        <w:rPr>
          <w:spacing w:val="-2"/>
          <w:sz w:val="20"/>
        </w:rPr>
        <w:t> </w:t>
      </w:r>
      <w:r>
        <w:rPr>
          <w:sz w:val="20"/>
        </w:rPr>
        <w:t>stored.</w:t>
      </w:r>
    </w:p>
    <w:p>
      <w:pPr>
        <w:pStyle w:val="BodyText"/>
        <w:spacing w:before="11"/>
      </w:pPr>
    </w:p>
    <w:p>
      <w:pPr>
        <w:pStyle w:val="ListParagraph"/>
        <w:numPr>
          <w:ilvl w:val="0"/>
          <w:numId w:val="14"/>
        </w:numPr>
        <w:tabs>
          <w:tab w:pos="898" w:val="left" w:leader="none"/>
          <w:tab w:pos="899" w:val="left" w:leader="none"/>
        </w:tabs>
        <w:spacing w:line="240" w:lineRule="auto" w:before="0" w:after="0"/>
        <w:ind w:left="898" w:right="0" w:hanging="360"/>
        <w:jc w:val="left"/>
        <w:rPr>
          <w:sz w:val="20"/>
        </w:rPr>
      </w:pPr>
      <w:r>
        <w:rPr>
          <w:sz w:val="20"/>
        </w:rPr>
        <w:t>Commodities manufactured by or stored at the</w:t>
      </w:r>
      <w:r>
        <w:rPr>
          <w:spacing w:val="2"/>
          <w:sz w:val="20"/>
        </w:rPr>
        <w:t> </w:t>
      </w:r>
      <w:r>
        <w:rPr>
          <w:sz w:val="20"/>
        </w:rPr>
        <w:t>facility.</w:t>
      </w:r>
    </w:p>
    <w:p>
      <w:pPr>
        <w:pStyle w:val="BodyText"/>
        <w:spacing w:before="10"/>
      </w:pPr>
    </w:p>
    <w:p>
      <w:pPr>
        <w:pStyle w:val="ListParagraph"/>
        <w:numPr>
          <w:ilvl w:val="0"/>
          <w:numId w:val="14"/>
        </w:numPr>
        <w:tabs>
          <w:tab w:pos="898" w:val="left" w:leader="none"/>
          <w:tab w:pos="899" w:val="left" w:leader="none"/>
        </w:tabs>
        <w:spacing w:line="240" w:lineRule="auto" w:before="0" w:after="0"/>
        <w:ind w:left="898" w:right="0" w:hanging="360"/>
        <w:jc w:val="left"/>
        <w:rPr>
          <w:sz w:val="20"/>
        </w:rPr>
      </w:pPr>
      <w:r>
        <w:rPr>
          <w:sz w:val="20"/>
        </w:rPr>
        <w:t>Names of responsible plant</w:t>
      </w:r>
      <w:r>
        <w:rPr>
          <w:spacing w:val="-4"/>
          <w:sz w:val="20"/>
        </w:rPr>
        <w:t> </w:t>
      </w:r>
      <w:r>
        <w:rPr>
          <w:sz w:val="20"/>
        </w:rPr>
        <w:t>officials.</w:t>
      </w:r>
    </w:p>
    <w:p>
      <w:pPr>
        <w:spacing w:after="0" w:line="240" w:lineRule="auto"/>
        <w:jc w:val="left"/>
        <w:rPr>
          <w:sz w:val="20"/>
        </w:rPr>
        <w:sectPr>
          <w:pgSz w:w="12240" w:h="15840"/>
          <w:pgMar w:header="730" w:footer="740" w:top="1340" w:bottom="940" w:left="1260" w:right="1020"/>
        </w:sectPr>
      </w:pPr>
    </w:p>
    <w:p>
      <w:pPr>
        <w:pStyle w:val="BodyText"/>
        <w:spacing w:before="88"/>
        <w:ind w:left="179"/>
      </w:pPr>
      <w:r>
        <w:rPr/>
        <w:t>Plant Management: information that may be shared with the inspector.</w:t>
      </w:r>
    </w:p>
    <w:p>
      <w:pPr>
        <w:pStyle w:val="BodyText"/>
        <w:spacing w:before="10"/>
      </w:pPr>
    </w:p>
    <w:p>
      <w:pPr>
        <w:pStyle w:val="ListParagraph"/>
        <w:numPr>
          <w:ilvl w:val="0"/>
          <w:numId w:val="15"/>
        </w:numPr>
        <w:tabs>
          <w:tab w:pos="900" w:val="left" w:leader="none"/>
        </w:tabs>
        <w:spacing w:line="240" w:lineRule="auto" w:before="1" w:after="0"/>
        <w:ind w:left="899" w:right="0" w:hanging="360"/>
        <w:jc w:val="both"/>
        <w:rPr>
          <w:sz w:val="20"/>
        </w:rPr>
      </w:pPr>
      <w:r>
        <w:rPr>
          <w:sz w:val="20"/>
        </w:rPr>
        <w:t>Simple flow sheet of the filling process with appropriate net content control</w:t>
      </w:r>
      <w:r>
        <w:rPr>
          <w:spacing w:val="-11"/>
          <w:sz w:val="20"/>
        </w:rPr>
        <w:t> </w:t>
      </w:r>
      <w:r>
        <w:rPr>
          <w:sz w:val="20"/>
        </w:rPr>
        <w:t>checkpoints.</w:t>
      </w:r>
    </w:p>
    <w:p>
      <w:pPr>
        <w:pStyle w:val="BodyText"/>
        <w:spacing w:before="10"/>
      </w:pPr>
    </w:p>
    <w:p>
      <w:pPr>
        <w:pStyle w:val="ListParagraph"/>
        <w:numPr>
          <w:ilvl w:val="0"/>
          <w:numId w:val="15"/>
        </w:numPr>
        <w:tabs>
          <w:tab w:pos="900" w:val="left" w:leader="none"/>
        </w:tabs>
        <w:spacing w:line="240" w:lineRule="auto" w:before="0" w:after="0"/>
        <w:ind w:left="899" w:right="0" w:hanging="360"/>
        <w:jc w:val="both"/>
        <w:rPr>
          <w:sz w:val="20"/>
        </w:rPr>
      </w:pPr>
      <w:r>
        <w:rPr>
          <w:sz w:val="20"/>
        </w:rPr>
        <w:t>Weighing or measuring device maintenance and calibration test</w:t>
      </w:r>
      <w:r>
        <w:rPr>
          <w:spacing w:val="1"/>
          <w:sz w:val="20"/>
        </w:rPr>
        <w:t> </w:t>
      </w:r>
      <w:r>
        <w:rPr>
          <w:sz w:val="20"/>
        </w:rPr>
        <w:t>records.</w:t>
      </w:r>
    </w:p>
    <w:p>
      <w:pPr>
        <w:pStyle w:val="BodyText"/>
        <w:spacing w:before="8"/>
      </w:pPr>
    </w:p>
    <w:p>
      <w:pPr>
        <w:pStyle w:val="ListParagraph"/>
        <w:numPr>
          <w:ilvl w:val="0"/>
          <w:numId w:val="15"/>
        </w:numPr>
        <w:tabs>
          <w:tab w:pos="900" w:val="left" w:leader="none"/>
        </w:tabs>
        <w:spacing w:line="240" w:lineRule="auto" w:before="0" w:after="0"/>
        <w:ind w:left="899" w:right="0" w:hanging="360"/>
        <w:jc w:val="both"/>
        <w:rPr>
          <w:sz w:val="20"/>
        </w:rPr>
      </w:pPr>
      <w:r>
        <w:rPr>
          <w:sz w:val="20"/>
        </w:rPr>
        <w:t>Type of quantity control tests and methods</w:t>
      </w:r>
      <w:r>
        <w:rPr>
          <w:spacing w:val="-3"/>
          <w:sz w:val="20"/>
        </w:rPr>
        <w:t> </w:t>
      </w:r>
      <w:r>
        <w:rPr>
          <w:sz w:val="20"/>
        </w:rPr>
        <w:t>used.</w:t>
      </w:r>
    </w:p>
    <w:p>
      <w:pPr>
        <w:pStyle w:val="BodyText"/>
        <w:spacing w:before="10"/>
      </w:pPr>
    </w:p>
    <w:p>
      <w:pPr>
        <w:pStyle w:val="ListParagraph"/>
        <w:numPr>
          <w:ilvl w:val="0"/>
          <w:numId w:val="15"/>
        </w:numPr>
        <w:tabs>
          <w:tab w:pos="899" w:val="left" w:leader="none"/>
          <w:tab w:pos="900" w:val="left" w:leader="none"/>
        </w:tabs>
        <w:spacing w:line="240" w:lineRule="auto" w:before="0" w:after="0"/>
        <w:ind w:left="899" w:right="418" w:hanging="360"/>
        <w:jc w:val="left"/>
        <w:rPr>
          <w:sz w:val="20"/>
        </w:rPr>
      </w:pPr>
      <w:r>
        <w:rPr>
          <w:sz w:val="20"/>
        </w:rPr>
        <w:t>Net content control charts for any lot, shipment, or delivery in question or lots which have previously been cited.</w:t>
      </w:r>
    </w:p>
    <w:p>
      <w:pPr>
        <w:pStyle w:val="BodyText"/>
        <w:spacing w:before="11"/>
      </w:pPr>
    </w:p>
    <w:p>
      <w:pPr>
        <w:pStyle w:val="ListParagraph"/>
        <w:numPr>
          <w:ilvl w:val="0"/>
          <w:numId w:val="15"/>
        </w:numPr>
        <w:tabs>
          <w:tab w:pos="899" w:val="left" w:leader="none"/>
          <w:tab w:pos="900" w:val="left" w:leader="none"/>
        </w:tabs>
        <w:spacing w:line="240" w:lineRule="auto" w:before="0" w:after="0"/>
        <w:ind w:left="899" w:right="0" w:hanging="360"/>
        <w:jc w:val="left"/>
        <w:rPr>
          <w:sz w:val="20"/>
        </w:rPr>
      </w:pPr>
      <w:r>
        <w:rPr>
          <w:sz w:val="20"/>
        </w:rPr>
        <w:t>Method of date coding the product to include code</w:t>
      </w:r>
      <w:r>
        <w:rPr>
          <w:spacing w:val="-5"/>
          <w:sz w:val="20"/>
        </w:rPr>
        <w:t> </w:t>
      </w:r>
      <w:r>
        <w:rPr>
          <w:sz w:val="20"/>
        </w:rPr>
        <w:t>interpretation.</w:t>
      </w:r>
    </w:p>
    <w:p>
      <w:pPr>
        <w:pStyle w:val="BodyText"/>
        <w:spacing w:before="10"/>
      </w:pPr>
    </w:p>
    <w:p>
      <w:pPr>
        <w:pStyle w:val="ListParagraph"/>
        <w:numPr>
          <w:ilvl w:val="0"/>
          <w:numId w:val="15"/>
        </w:numPr>
        <w:tabs>
          <w:tab w:pos="899" w:val="left" w:leader="none"/>
          <w:tab w:pos="900" w:val="left" w:leader="none"/>
        </w:tabs>
        <w:spacing w:line="240" w:lineRule="auto" w:before="0" w:after="0"/>
        <w:ind w:left="899" w:right="418" w:hanging="360"/>
        <w:jc w:val="left"/>
        <w:rPr>
          <w:sz w:val="20"/>
        </w:rPr>
      </w:pPr>
      <w:r>
        <w:rPr>
          <w:sz w:val="20"/>
        </w:rPr>
        <w:t>Laboratory reports showing the moisture analysis of the products which are in question or have been previ- ously</w:t>
      </w:r>
      <w:r>
        <w:rPr>
          <w:spacing w:val="-5"/>
          <w:sz w:val="20"/>
        </w:rPr>
        <w:t> </w:t>
      </w:r>
      <w:r>
        <w:rPr>
          <w:sz w:val="20"/>
        </w:rPr>
        <w:t>cited.</w:t>
      </w:r>
    </w:p>
    <w:p>
      <w:pPr>
        <w:pStyle w:val="BodyText"/>
        <w:spacing w:before="9"/>
      </w:pPr>
    </w:p>
    <w:p>
      <w:pPr>
        <w:pStyle w:val="ListParagraph"/>
        <w:numPr>
          <w:ilvl w:val="0"/>
          <w:numId w:val="15"/>
        </w:numPr>
        <w:tabs>
          <w:tab w:pos="900" w:val="left" w:leader="none"/>
        </w:tabs>
        <w:spacing w:line="240" w:lineRule="auto" w:before="0" w:after="0"/>
        <w:ind w:left="899" w:right="0" w:hanging="360"/>
        <w:jc w:val="both"/>
        <w:rPr>
          <w:sz w:val="20"/>
        </w:rPr>
      </w:pPr>
      <w:r>
        <w:rPr>
          <w:sz w:val="20"/>
        </w:rPr>
        <w:t>Product volume of lot sizes or related</w:t>
      </w:r>
      <w:r>
        <w:rPr>
          <w:spacing w:val="-3"/>
          <w:sz w:val="20"/>
        </w:rPr>
        <w:t> </w:t>
      </w:r>
      <w:r>
        <w:rPr>
          <w:sz w:val="20"/>
        </w:rPr>
        <w:t>information.</w:t>
      </w:r>
    </w:p>
    <w:p>
      <w:pPr>
        <w:pStyle w:val="BodyText"/>
        <w:spacing w:before="10"/>
      </w:pPr>
    </w:p>
    <w:p>
      <w:pPr>
        <w:pStyle w:val="ListParagraph"/>
        <w:numPr>
          <w:ilvl w:val="0"/>
          <w:numId w:val="15"/>
        </w:numPr>
        <w:tabs>
          <w:tab w:pos="900" w:val="left" w:leader="none"/>
        </w:tabs>
        <w:spacing w:line="240" w:lineRule="auto" w:before="0" w:after="0"/>
        <w:ind w:left="899" w:right="0" w:hanging="360"/>
        <w:jc w:val="both"/>
        <w:rPr>
          <w:sz w:val="20"/>
        </w:rPr>
      </w:pPr>
      <w:bookmarkStart w:name="_bookmark27" w:id="49"/>
      <w:bookmarkEnd w:id="49"/>
      <w:r>
        <w:rPr/>
      </w:r>
      <w:bookmarkStart w:name="_bookmark27" w:id="50"/>
      <w:bookmarkEnd w:id="50"/>
      <w:r>
        <w:rPr>
          <w:sz w:val="20"/>
        </w:rPr>
        <w:t>D</w:t>
      </w:r>
      <w:r>
        <w:rPr>
          <w:sz w:val="20"/>
        </w:rPr>
        <w:t>istribution records related to a problem lots including names of</w:t>
      </w:r>
      <w:r>
        <w:rPr>
          <w:spacing w:val="-14"/>
          <w:sz w:val="20"/>
        </w:rPr>
        <w:t> </w:t>
      </w:r>
      <w:r>
        <w:rPr>
          <w:sz w:val="20"/>
        </w:rPr>
        <w:t>customers.</w:t>
      </w:r>
    </w:p>
    <w:p>
      <w:pPr>
        <w:pStyle w:val="BodyText"/>
        <w:spacing w:before="4"/>
        <w:rPr>
          <w:sz w:val="31"/>
        </w:rPr>
      </w:pPr>
    </w:p>
    <w:p>
      <w:pPr>
        <w:pStyle w:val="Heading1"/>
        <w:numPr>
          <w:ilvl w:val="2"/>
          <w:numId w:val="12"/>
        </w:numPr>
        <w:tabs>
          <w:tab w:pos="833" w:val="left" w:leader="none"/>
        </w:tabs>
        <w:spacing w:line="240" w:lineRule="auto" w:before="0" w:after="0"/>
        <w:ind w:left="832" w:right="0" w:hanging="653"/>
        <w:jc w:val="left"/>
      </w:pPr>
      <w:r>
        <w:rPr/>
        <w:t>Guideline for Verifying the Labeled Basis Weight of Communication and Other</w:t>
      </w:r>
      <w:r>
        <w:rPr>
          <w:spacing w:val="-6"/>
        </w:rPr>
        <w:t> </w:t>
      </w:r>
      <w:r>
        <w:rPr/>
        <w:t>Paper.</w:t>
      </w:r>
    </w:p>
    <w:p>
      <w:pPr>
        <w:pStyle w:val="BodyText"/>
        <w:spacing w:before="1"/>
        <w:ind w:left="179"/>
      </w:pPr>
      <w:r>
        <w:rPr/>
        <w:t>(L&amp;R, 1998, p. 27)</w:t>
      </w:r>
    </w:p>
    <w:p>
      <w:pPr>
        <w:pStyle w:val="BodyText"/>
        <w:spacing w:before="7"/>
      </w:pPr>
    </w:p>
    <w:p>
      <w:pPr>
        <w:pStyle w:val="ListParagraph"/>
        <w:numPr>
          <w:ilvl w:val="3"/>
          <w:numId w:val="16"/>
        </w:numPr>
        <w:tabs>
          <w:tab w:pos="1299" w:val="left" w:leader="none"/>
        </w:tabs>
        <w:spacing w:line="240" w:lineRule="auto" w:before="1" w:after="0"/>
        <w:ind w:left="539" w:right="421" w:firstLine="0"/>
        <w:jc w:val="left"/>
        <w:rPr>
          <w:sz w:val="20"/>
        </w:rPr>
      </w:pPr>
      <w:r>
        <w:rPr>
          <w:b/>
          <w:sz w:val="20"/>
        </w:rPr>
        <w:t>Equipment. </w:t>
      </w:r>
      <w:r>
        <w:rPr>
          <w:sz w:val="20"/>
        </w:rPr>
        <w:t>– Linear measure recommended in Section 5.3.1. Equipment in the third edition of NIST Handbook 133 “Checking the Net Contents of Packaged</w:t>
      </w:r>
      <w:r>
        <w:rPr>
          <w:spacing w:val="-2"/>
          <w:sz w:val="20"/>
        </w:rPr>
        <w:t> </w:t>
      </w:r>
      <w:r>
        <w:rPr>
          <w:sz w:val="20"/>
        </w:rPr>
        <w:t>Goods.”</w:t>
      </w:r>
    </w:p>
    <w:p>
      <w:pPr>
        <w:pStyle w:val="BodyText"/>
        <w:spacing w:before="10"/>
      </w:pPr>
    </w:p>
    <w:p>
      <w:pPr>
        <w:pStyle w:val="ListParagraph"/>
        <w:numPr>
          <w:ilvl w:val="4"/>
          <w:numId w:val="16"/>
        </w:numPr>
        <w:tabs>
          <w:tab w:pos="1259" w:val="left" w:leader="none"/>
          <w:tab w:pos="1260" w:val="left" w:leader="none"/>
        </w:tabs>
        <w:spacing w:line="240" w:lineRule="auto" w:before="0" w:after="0"/>
        <w:ind w:left="1259" w:right="0" w:hanging="360"/>
        <w:jc w:val="left"/>
        <w:rPr>
          <w:sz w:val="20"/>
        </w:rPr>
      </w:pPr>
      <w:r>
        <w:rPr>
          <w:sz w:val="20"/>
        </w:rPr>
        <w:t>Scale with a minimum division of 0.5 g (0.001 lb) or</w:t>
      </w:r>
      <w:r>
        <w:rPr>
          <w:spacing w:val="-3"/>
          <w:sz w:val="20"/>
        </w:rPr>
        <w:t> </w:t>
      </w:r>
      <w:r>
        <w:rPr>
          <w:sz w:val="20"/>
        </w:rPr>
        <w:t>less.</w:t>
      </w:r>
    </w:p>
    <w:p>
      <w:pPr>
        <w:pStyle w:val="BodyText"/>
        <w:spacing w:before="11"/>
      </w:pPr>
    </w:p>
    <w:p>
      <w:pPr>
        <w:pStyle w:val="ListParagraph"/>
        <w:numPr>
          <w:ilvl w:val="4"/>
          <w:numId w:val="16"/>
        </w:numPr>
        <w:tabs>
          <w:tab w:pos="1259" w:val="left" w:leader="none"/>
          <w:tab w:pos="1260" w:val="left" w:leader="none"/>
        </w:tabs>
        <w:spacing w:line="240" w:lineRule="auto" w:before="0" w:after="0"/>
        <w:ind w:left="1259" w:right="0" w:hanging="360"/>
        <w:jc w:val="left"/>
        <w:rPr>
          <w:sz w:val="20"/>
        </w:rPr>
      </w:pPr>
      <w:r>
        <w:rPr>
          <w:sz w:val="20"/>
        </w:rPr>
        <w:t>Scientific calculator with a sample standard deviation</w:t>
      </w:r>
      <w:r>
        <w:rPr>
          <w:spacing w:val="-2"/>
          <w:sz w:val="20"/>
        </w:rPr>
        <w:t> </w:t>
      </w:r>
      <w:r>
        <w:rPr>
          <w:sz w:val="20"/>
        </w:rPr>
        <w:t>function.</w:t>
      </w:r>
    </w:p>
    <w:p>
      <w:pPr>
        <w:pStyle w:val="BodyText"/>
        <w:spacing w:before="10"/>
      </w:pPr>
    </w:p>
    <w:p>
      <w:pPr>
        <w:pStyle w:val="ListParagraph"/>
        <w:numPr>
          <w:ilvl w:val="3"/>
          <w:numId w:val="16"/>
        </w:numPr>
        <w:tabs>
          <w:tab w:pos="1423" w:val="left" w:leader="none"/>
        </w:tabs>
        <w:spacing w:line="240" w:lineRule="auto" w:before="0" w:after="0"/>
        <w:ind w:left="539" w:right="417" w:firstLine="0"/>
        <w:jc w:val="both"/>
        <w:rPr>
          <w:sz w:val="20"/>
        </w:rPr>
      </w:pPr>
      <w:r>
        <w:rPr>
          <w:b/>
          <w:sz w:val="20"/>
        </w:rPr>
        <w:t>Scope and Recommended Enforcement Approach. </w:t>
      </w:r>
      <w:r>
        <w:rPr>
          <w:sz w:val="20"/>
        </w:rPr>
        <w:t>– Paper is manufactured in various “basis weights” for use in different applications (e.g., copy paper can have a basis weight of 18 or 20 lb). Basis weight is part of the product identity and not a declaration of net contents. This procedure is used to audit the basis weight declared on package labels. If the tested packages in a sample do not have an average basis weight equal to or greater than the labeled basis weight, the inspection lot may be in violation. A potentially violative lot should be placed “off-sale” until the owner provides documentation to confirm that the labeled basis weight cor- responds</w:t>
      </w:r>
      <w:r>
        <w:rPr>
          <w:spacing w:val="-7"/>
          <w:sz w:val="20"/>
        </w:rPr>
        <w:t> </w:t>
      </w:r>
      <w:r>
        <w:rPr>
          <w:sz w:val="20"/>
        </w:rPr>
        <w:t>to</w:t>
      </w:r>
      <w:r>
        <w:rPr>
          <w:spacing w:val="-5"/>
          <w:sz w:val="20"/>
        </w:rPr>
        <w:t> </w:t>
      </w:r>
      <w:r>
        <w:rPr>
          <w:sz w:val="20"/>
        </w:rPr>
        <w:t>the</w:t>
      </w:r>
      <w:r>
        <w:rPr>
          <w:spacing w:val="-6"/>
          <w:sz w:val="20"/>
        </w:rPr>
        <w:t> </w:t>
      </w:r>
      <w:r>
        <w:rPr>
          <w:sz w:val="20"/>
        </w:rPr>
        <w:t>basis</w:t>
      </w:r>
      <w:r>
        <w:rPr>
          <w:spacing w:val="-6"/>
          <w:sz w:val="20"/>
        </w:rPr>
        <w:t> </w:t>
      </w:r>
      <w:r>
        <w:rPr>
          <w:sz w:val="20"/>
        </w:rPr>
        <w:t>weight</w:t>
      </w:r>
      <w:r>
        <w:rPr>
          <w:spacing w:val="-7"/>
          <w:sz w:val="20"/>
        </w:rPr>
        <w:t> </w:t>
      </w:r>
      <w:r>
        <w:rPr>
          <w:sz w:val="20"/>
        </w:rPr>
        <w:t>declared</w:t>
      </w:r>
      <w:r>
        <w:rPr>
          <w:spacing w:val="-5"/>
          <w:sz w:val="20"/>
        </w:rPr>
        <w:t> </w:t>
      </w:r>
      <w:r>
        <w:rPr>
          <w:sz w:val="20"/>
        </w:rPr>
        <w:t>by</w:t>
      </w:r>
      <w:r>
        <w:rPr>
          <w:spacing w:val="-9"/>
          <w:sz w:val="20"/>
        </w:rPr>
        <w:t> </w:t>
      </w:r>
      <w:r>
        <w:rPr>
          <w:sz w:val="20"/>
        </w:rPr>
        <w:t>the</w:t>
      </w:r>
      <w:r>
        <w:rPr>
          <w:spacing w:val="-6"/>
          <w:sz w:val="20"/>
        </w:rPr>
        <w:t> </w:t>
      </w:r>
      <w:r>
        <w:rPr>
          <w:sz w:val="20"/>
        </w:rPr>
        <w:t>original</w:t>
      </w:r>
      <w:r>
        <w:rPr>
          <w:spacing w:val="-4"/>
          <w:sz w:val="20"/>
        </w:rPr>
        <w:t> </w:t>
      </w:r>
      <w:r>
        <w:rPr>
          <w:sz w:val="20"/>
        </w:rPr>
        <w:t>manufacturer.</w:t>
      </w:r>
      <w:r>
        <w:rPr>
          <w:spacing w:val="39"/>
          <w:sz w:val="20"/>
        </w:rPr>
        <w:t> </w:t>
      </w:r>
      <w:r>
        <w:rPr>
          <w:sz w:val="20"/>
        </w:rPr>
        <w:t>If</w:t>
      </w:r>
      <w:r>
        <w:rPr>
          <w:spacing w:val="-8"/>
          <w:sz w:val="20"/>
        </w:rPr>
        <w:t> </w:t>
      </w:r>
      <w:r>
        <w:rPr>
          <w:sz w:val="20"/>
        </w:rPr>
        <w:t>documentation</w:t>
      </w:r>
      <w:r>
        <w:rPr>
          <w:spacing w:val="-7"/>
          <w:sz w:val="20"/>
        </w:rPr>
        <w:t> </w:t>
      </w:r>
      <w:r>
        <w:rPr>
          <w:sz w:val="20"/>
        </w:rPr>
        <w:t>is</w:t>
      </w:r>
      <w:r>
        <w:rPr>
          <w:spacing w:val="-7"/>
          <w:sz w:val="20"/>
        </w:rPr>
        <w:t> </w:t>
      </w:r>
      <w:r>
        <w:rPr>
          <w:sz w:val="20"/>
        </w:rPr>
        <w:t>not</w:t>
      </w:r>
      <w:r>
        <w:rPr>
          <w:spacing w:val="-7"/>
          <w:sz w:val="20"/>
        </w:rPr>
        <w:t> </w:t>
      </w:r>
      <w:r>
        <w:rPr>
          <w:sz w:val="20"/>
        </w:rPr>
        <w:t>provided,</w:t>
      </w:r>
      <w:r>
        <w:rPr>
          <w:spacing w:val="-7"/>
          <w:sz w:val="20"/>
        </w:rPr>
        <w:t> </w:t>
      </w:r>
      <w:r>
        <w:rPr>
          <w:sz w:val="20"/>
        </w:rPr>
        <w:t>the</w:t>
      </w:r>
      <w:r>
        <w:rPr>
          <w:spacing w:val="-6"/>
          <w:sz w:val="20"/>
        </w:rPr>
        <w:t> </w:t>
      </w:r>
      <w:r>
        <w:rPr>
          <w:sz w:val="20"/>
        </w:rPr>
        <w:t>inspec- tion lot should remain “off-sale” until the basis weight declaration is</w:t>
      </w:r>
      <w:r>
        <w:rPr>
          <w:spacing w:val="-6"/>
          <w:sz w:val="20"/>
        </w:rPr>
        <w:t> </w:t>
      </w:r>
      <w:r>
        <w:rPr>
          <w:sz w:val="20"/>
        </w:rPr>
        <w:t>corrected.</w:t>
      </w:r>
    </w:p>
    <w:p>
      <w:pPr>
        <w:pStyle w:val="BodyText"/>
        <w:spacing w:before="9"/>
      </w:pPr>
    </w:p>
    <w:p>
      <w:pPr>
        <w:pStyle w:val="ListParagraph"/>
        <w:numPr>
          <w:ilvl w:val="3"/>
          <w:numId w:val="16"/>
        </w:numPr>
        <w:tabs>
          <w:tab w:pos="1384" w:val="left" w:leader="none"/>
        </w:tabs>
        <w:spacing w:line="240" w:lineRule="auto" w:before="0" w:after="0"/>
        <w:ind w:left="538" w:right="417" w:firstLine="1"/>
        <w:jc w:val="both"/>
        <w:rPr>
          <w:sz w:val="20"/>
        </w:rPr>
      </w:pPr>
      <w:r>
        <w:rPr>
          <w:b/>
          <w:sz w:val="20"/>
        </w:rPr>
        <w:t>Determine Target Net Weight for Common Types of Paper</w:t>
      </w:r>
      <w:r>
        <w:rPr>
          <w:sz w:val="20"/>
        </w:rPr>
        <w:t>. – The basis weight of paper is the designated weight (measured in grams or pounds per specified area) of one ream in basic sheet size for the type of paper being tested. This procedure permits the confirmation of basis weight by linear measurement and grav- imetric testing. This procedure is designed to test the various types, size, count, and basis weights of packaged paper currently in the marketplace. Table 1 lists the “area of basic sheet size” for common types of paper. A “ream” equals 500 sheets of basic sheet size for all types of paper other than tissue paper. A “ream” of tissue paper equals 480 sheets. Each of the standard categories of paper products shown in Table 1 has a different standard basic sheet size. Although there are basic sheet sizes, paper is packaged and marketed in various sizes and counts. The net weight of packaged paper can be determined from the label information using the General Formula for Sheet Paper. For roll paper, use one (1) for the sheet</w:t>
      </w:r>
      <w:r>
        <w:rPr>
          <w:spacing w:val="-1"/>
          <w:sz w:val="20"/>
        </w:rPr>
        <w:t> </w:t>
      </w:r>
      <w:r>
        <w:rPr>
          <w:sz w:val="20"/>
        </w:rPr>
        <w:t>count.</w:t>
      </w:r>
    </w:p>
    <w:p>
      <w:pPr>
        <w:spacing w:after="0" w:line="240" w:lineRule="auto"/>
        <w:jc w:val="both"/>
        <w:rPr>
          <w:sz w:val="20"/>
        </w:rPr>
        <w:sectPr>
          <w:pgSz w:w="12240" w:h="15840"/>
          <w:pgMar w:header="730" w:footer="741" w:top="1340" w:bottom="940" w:left="1260" w:right="1020"/>
        </w:sectPr>
      </w:pPr>
    </w:p>
    <w:p>
      <w:pPr>
        <w:pStyle w:val="BodyText"/>
        <w:spacing w:before="1"/>
        <w:rPr>
          <w:sz w:val="17"/>
        </w:rPr>
      </w:pPr>
    </w:p>
    <w:p>
      <w:pPr>
        <w:pStyle w:val="Heading1"/>
        <w:spacing w:before="91"/>
        <w:ind w:left="539"/>
      </w:pPr>
      <w:r>
        <w:rPr/>
        <w:t>General Formula for Sheet Paper</w:t>
      </w:r>
    </w:p>
    <w:p>
      <w:pPr>
        <w:pStyle w:val="BodyText"/>
        <w:spacing w:before="4"/>
        <w:rPr>
          <w:b/>
          <w:sz w:val="12"/>
        </w:rPr>
      </w:pPr>
    </w:p>
    <w:p>
      <w:pPr>
        <w:spacing w:after="0"/>
        <w:rPr>
          <w:sz w:val="12"/>
        </w:rPr>
        <w:sectPr>
          <w:pgSz w:w="12240" w:h="15840"/>
          <w:pgMar w:header="730" w:footer="740" w:top="1340" w:bottom="940" w:left="1260" w:right="1020"/>
        </w:sectPr>
      </w:pPr>
    </w:p>
    <w:p>
      <w:pPr>
        <w:spacing w:line="283" w:lineRule="auto" w:before="91"/>
        <w:ind w:left="844" w:right="0" w:hanging="235"/>
        <w:jc w:val="left"/>
        <w:rPr>
          <w:i/>
          <w:sz w:val="20"/>
        </w:rPr>
      </w:pPr>
      <w:r>
        <w:rPr/>
        <w:pict>
          <v:group style="position:absolute;margin-left:97.919998pt;margin-top:4.525952pt;width:41.65pt;height:26.2pt;mso-position-horizontal-relative:page;mso-position-vertical-relative:paragraph;z-index:-98728" coordorigin="1958,91" coordsize="833,524">
            <v:shape style="position:absolute;left:2004;top:361;width:668;height:252" type="#_x0000_t75" stroked="false">
              <v:imagedata r:id="rId36" o:title=""/>
            </v:shape>
            <v:shape style="position:absolute;left:1958;top:90;width:833;height:233" type="#_x0000_t75" stroked="false">
              <v:imagedata r:id="rId37" o:title=""/>
            </v:shape>
            <w10:wrap type="none"/>
          </v:group>
        </w:pict>
      </w:r>
      <w:r>
        <w:rPr>
          <w:i/>
          <w:w w:val="99"/>
          <w:sz w:val="20"/>
          <w:u w:val="single"/>
        </w:rPr>
        <w:t> </w:t>
      </w:r>
      <w:r>
        <w:rPr>
          <w:i/>
          <w:sz w:val="20"/>
          <w:u w:val="single"/>
        </w:rPr>
        <w:t> PA × BW</w:t>
      </w:r>
      <w:r>
        <w:rPr>
          <w:i/>
          <w:sz w:val="20"/>
        </w:rPr>
        <w:t> </w:t>
      </w:r>
      <w:r>
        <w:rPr>
          <w:i/>
          <w:sz w:val="20"/>
        </w:rPr>
        <w:t>BSS</w:t>
      </w:r>
    </w:p>
    <w:p>
      <w:pPr>
        <w:pStyle w:val="BodyText"/>
        <w:spacing w:before="156"/>
        <w:ind w:left="539"/>
      </w:pPr>
      <w:r>
        <w:rPr/>
        <w:t>Where:</w:t>
      </w:r>
    </w:p>
    <w:p>
      <w:pPr>
        <w:pStyle w:val="BodyText"/>
        <w:spacing w:line="168" w:lineRule="auto" w:before="146"/>
        <w:ind w:left="402"/>
        <w:rPr>
          <w:rFonts w:ascii="Symbol" w:hAnsi="Symbol"/>
        </w:rPr>
      </w:pPr>
      <w:r>
        <w:rPr/>
        <w:br w:type="column"/>
      </w:r>
      <w:r>
        <w:rPr>
          <w:w w:val="99"/>
          <w:u w:val="single"/>
        </w:rPr>
        <w:t> </w:t>
      </w:r>
      <w:r>
        <w:rPr>
          <w:u w:val="single"/>
        </w:rPr>
        <w:t> </w:t>
      </w:r>
      <w:r>
        <w:rPr>
          <w:rFonts w:ascii="Cambria Math" w:hAnsi="Cambria Math"/>
          <w:w w:val="80"/>
          <w:u w:val="single"/>
        </w:rPr>
        <w:t>𝑆𝑆𝑆𝑆</w:t>
      </w:r>
      <w:r>
        <w:rPr>
          <w:rFonts w:ascii="Cambria Math" w:hAnsi="Cambria Math"/>
          <w:w w:val="80"/>
        </w:rPr>
        <w:t> </w:t>
      </w:r>
      <w:r>
        <w:rPr>
          <w:rFonts w:ascii="Symbol" w:hAnsi="Symbol"/>
          <w:w w:val="85"/>
          <w:position w:val="-8"/>
        </w:rPr>
        <w:t></w:t>
      </w:r>
    </w:p>
    <w:p>
      <w:pPr>
        <w:spacing w:line="191" w:lineRule="exact" w:before="0"/>
        <w:ind w:left="403" w:right="0" w:firstLine="0"/>
        <w:jc w:val="left"/>
        <w:rPr>
          <w:i/>
          <w:sz w:val="20"/>
        </w:rPr>
      </w:pPr>
      <w:r>
        <w:rPr/>
        <w:drawing>
          <wp:anchor distT="0" distB="0" distL="0" distR="0" allowOverlap="1" layoutInCell="1" locked="0" behindDoc="0" simplePos="0" relativeHeight="1528">
            <wp:simplePos x="0" y="0"/>
            <wp:positionH relativeFrom="page">
              <wp:posOffset>1859279</wp:posOffset>
            </wp:positionH>
            <wp:positionV relativeFrom="paragraph">
              <wp:posOffset>-90869</wp:posOffset>
            </wp:positionV>
            <wp:extent cx="91439" cy="155447"/>
            <wp:effectExtent l="0" t="0" r="0" b="0"/>
            <wp:wrapNone/>
            <wp:docPr id="7" name="image14.png" descr=""/>
            <wp:cNvGraphicFramePr>
              <a:graphicFrameLocks noChangeAspect="1"/>
            </wp:cNvGraphicFramePr>
            <a:graphic>
              <a:graphicData uri="http://schemas.openxmlformats.org/drawingml/2006/picture">
                <pic:pic>
                  <pic:nvPicPr>
                    <pic:cNvPr id="8" name="image14.png"/>
                    <pic:cNvPicPr/>
                  </pic:nvPicPr>
                  <pic:blipFill>
                    <a:blip r:embed="rId38" cstate="print"/>
                    <a:stretch>
                      <a:fillRect/>
                    </a:stretch>
                  </pic:blipFill>
                  <pic:spPr>
                    <a:xfrm>
                      <a:off x="0" y="0"/>
                      <a:ext cx="91439" cy="155447"/>
                    </a:xfrm>
                    <a:prstGeom prst="rect">
                      <a:avLst/>
                    </a:prstGeom>
                  </pic:spPr>
                </pic:pic>
              </a:graphicData>
            </a:graphic>
          </wp:anchor>
        </w:drawing>
      </w:r>
      <w:r>
        <w:rPr/>
        <w:pict>
          <v:group style="position:absolute;margin-left:193.799988pt;margin-top:-8.115044pt;width:27.75pt;height:13.2pt;mso-position-horizontal-relative:page;mso-position-vertical-relative:paragraph;z-index:1576" coordorigin="3876,-162" coordsize="555,264">
            <v:shape style="position:absolute;left:3876;top:-163;width:555;height:264" type="#_x0000_t75" stroked="false">
              <v:imagedata r:id="rId39" o:title=""/>
            </v:shape>
            <v:shape style="position:absolute;left:3876;top:-163;width:555;height:264" type="#_x0000_t202" filled="false" stroked="false">
              <v:textbox inset="0,0,0,0">
                <w:txbxContent>
                  <w:p>
                    <w:pPr>
                      <w:spacing w:before="0"/>
                      <w:ind w:left="0" w:right="0" w:firstLine="0"/>
                      <w:jc w:val="left"/>
                      <w:rPr>
                        <w:i/>
                        <w:sz w:val="20"/>
                      </w:rPr>
                    </w:pPr>
                    <w:r>
                      <w:rPr>
                        <w:i/>
                        <w:sz w:val="20"/>
                      </w:rPr>
                      <w:t>TNW</w:t>
                    </w:r>
                  </w:p>
                </w:txbxContent>
              </v:textbox>
              <w10:wrap type="none"/>
            </v:shape>
            <w10:wrap type="none"/>
          </v:group>
        </w:pict>
      </w:r>
      <w:r>
        <w:rPr/>
        <w:drawing>
          <wp:anchor distT="0" distB="0" distL="0" distR="0" allowOverlap="1" layoutInCell="1" locked="0" behindDoc="1" simplePos="0" relativeHeight="268336751">
            <wp:simplePos x="0" y="0"/>
            <wp:positionH relativeFrom="page">
              <wp:posOffset>2086355</wp:posOffset>
            </wp:positionH>
            <wp:positionV relativeFrom="paragraph">
              <wp:posOffset>-180784</wp:posOffset>
            </wp:positionV>
            <wp:extent cx="149351" cy="132587"/>
            <wp:effectExtent l="0" t="0" r="0" b="0"/>
            <wp:wrapNone/>
            <wp:docPr id="9" name="image16.png" descr=""/>
            <wp:cNvGraphicFramePr>
              <a:graphicFrameLocks noChangeAspect="1"/>
            </wp:cNvGraphicFramePr>
            <a:graphic>
              <a:graphicData uri="http://schemas.openxmlformats.org/drawingml/2006/picture">
                <pic:pic>
                  <pic:nvPicPr>
                    <pic:cNvPr id="10" name="image16.png"/>
                    <pic:cNvPicPr/>
                  </pic:nvPicPr>
                  <pic:blipFill>
                    <a:blip r:embed="rId40" cstate="print"/>
                    <a:stretch>
                      <a:fillRect/>
                    </a:stretch>
                  </pic:blipFill>
                  <pic:spPr>
                    <a:xfrm>
                      <a:off x="0" y="0"/>
                      <a:ext cx="149351" cy="132587"/>
                    </a:xfrm>
                    <a:prstGeom prst="rect">
                      <a:avLst/>
                    </a:prstGeom>
                  </pic:spPr>
                </pic:pic>
              </a:graphicData>
            </a:graphic>
          </wp:anchor>
        </w:drawing>
      </w:r>
      <w:r>
        <w:rPr/>
        <w:drawing>
          <wp:anchor distT="0" distB="0" distL="0" distR="0" allowOverlap="1" layoutInCell="1" locked="0" behindDoc="1" simplePos="0" relativeHeight="268336775">
            <wp:simplePos x="0" y="0"/>
            <wp:positionH relativeFrom="page">
              <wp:posOffset>2342388</wp:posOffset>
            </wp:positionH>
            <wp:positionV relativeFrom="paragraph">
              <wp:posOffset>-128969</wp:posOffset>
            </wp:positionV>
            <wp:extent cx="70103" cy="155447"/>
            <wp:effectExtent l="0" t="0" r="0" b="0"/>
            <wp:wrapNone/>
            <wp:docPr id="11" name="image17.png" descr=""/>
            <wp:cNvGraphicFramePr>
              <a:graphicFrameLocks noChangeAspect="1"/>
            </wp:cNvGraphicFramePr>
            <a:graphic>
              <a:graphicData uri="http://schemas.openxmlformats.org/drawingml/2006/picture">
                <pic:pic>
                  <pic:nvPicPr>
                    <pic:cNvPr id="12" name="image17.png"/>
                    <pic:cNvPicPr/>
                  </pic:nvPicPr>
                  <pic:blipFill>
                    <a:blip r:embed="rId41" cstate="print"/>
                    <a:stretch>
                      <a:fillRect/>
                    </a:stretch>
                  </pic:blipFill>
                  <pic:spPr>
                    <a:xfrm>
                      <a:off x="0" y="0"/>
                      <a:ext cx="70103" cy="155447"/>
                    </a:xfrm>
                    <a:prstGeom prst="rect">
                      <a:avLst/>
                    </a:prstGeom>
                  </pic:spPr>
                </pic:pic>
              </a:graphicData>
            </a:graphic>
          </wp:anchor>
        </w:drawing>
      </w:r>
      <w:r>
        <w:rPr/>
        <w:pict>
          <v:shape style="position:absolute;margin-left:146.399994pt;margin-top:-6.670535pt;width:6.75pt;height:11.05pt;mso-position-horizontal-relative:page;mso-position-vertical-relative:paragraph;z-index:1672" type="#_x0000_t202" filled="false" stroked="false">
            <v:textbox inset="0,0,0,0">
              <w:txbxContent>
                <w:p>
                  <w:pPr>
                    <w:spacing w:line="221" w:lineRule="exact" w:before="0"/>
                    <w:ind w:left="0" w:right="0" w:firstLine="0"/>
                    <w:jc w:val="left"/>
                    <w:rPr>
                      <w:i/>
                      <w:sz w:val="20"/>
                    </w:rPr>
                  </w:pPr>
                  <w:r>
                    <w:rPr>
                      <w:i/>
                      <w:w w:val="99"/>
                      <w:sz w:val="20"/>
                    </w:rPr>
                    <w:t>×</w:t>
                  </w:r>
                </w:p>
              </w:txbxContent>
            </v:textbox>
            <w10:wrap type="none"/>
          </v:shape>
        </w:pict>
      </w:r>
      <w:r>
        <w:rPr>
          <w:i/>
          <w:sz w:val="20"/>
        </w:rPr>
        <w:t>500</w:t>
      </w:r>
    </w:p>
    <w:p>
      <w:pPr>
        <w:spacing w:after="0" w:line="191" w:lineRule="exact"/>
        <w:jc w:val="left"/>
        <w:rPr>
          <w:sz w:val="20"/>
        </w:rPr>
        <w:sectPr>
          <w:type w:val="continuous"/>
          <w:pgSz w:w="12240" w:h="15840"/>
          <w:pgMar w:top="1340" w:bottom="940" w:left="1260" w:right="1020"/>
          <w:cols w:num="2" w:equalWidth="0">
            <w:col w:w="1498" w:space="40"/>
            <w:col w:w="8422"/>
          </w:cols>
        </w:sectPr>
      </w:pPr>
    </w:p>
    <w:p>
      <w:pPr>
        <w:pStyle w:val="BodyText"/>
        <w:spacing w:before="6"/>
        <w:rPr>
          <w:i/>
          <w:sz w:val="21"/>
        </w:rPr>
      </w:pPr>
    </w:p>
    <w:tbl>
      <w:tblPr>
        <w:tblW w:w="0" w:type="auto"/>
        <w:jc w:val="left"/>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8"/>
        <w:gridCol w:w="547"/>
        <w:gridCol w:w="3280"/>
      </w:tblGrid>
      <w:tr>
        <w:trPr>
          <w:trHeight w:val="225" w:hRule="atLeast"/>
        </w:trPr>
        <w:tc>
          <w:tcPr>
            <w:tcW w:w="638" w:type="dxa"/>
          </w:tcPr>
          <w:p>
            <w:pPr>
              <w:pStyle w:val="TableParagraph"/>
              <w:spacing w:line="206" w:lineRule="exact" w:before="0"/>
              <w:ind w:left="30" w:right="308"/>
              <w:jc w:val="center"/>
              <w:rPr>
                <w:sz w:val="20"/>
              </w:rPr>
            </w:pPr>
            <w:r>
              <w:rPr>
                <w:sz w:val="20"/>
              </w:rPr>
              <w:t>PA</w:t>
            </w:r>
          </w:p>
        </w:tc>
        <w:tc>
          <w:tcPr>
            <w:tcW w:w="547" w:type="dxa"/>
          </w:tcPr>
          <w:p>
            <w:pPr>
              <w:pStyle w:val="TableParagraph"/>
              <w:spacing w:line="206" w:lineRule="exact" w:before="0"/>
              <w:ind w:left="132"/>
              <w:rPr>
                <w:sz w:val="20"/>
              </w:rPr>
            </w:pPr>
            <w:r>
              <w:rPr>
                <w:w w:val="99"/>
                <w:sz w:val="20"/>
              </w:rPr>
              <w:t>=</w:t>
            </w:r>
          </w:p>
        </w:tc>
        <w:tc>
          <w:tcPr>
            <w:tcW w:w="3280" w:type="dxa"/>
          </w:tcPr>
          <w:p>
            <w:pPr>
              <w:pStyle w:val="TableParagraph"/>
              <w:spacing w:line="206" w:lineRule="exact" w:before="0"/>
              <w:ind w:left="305"/>
              <w:rPr>
                <w:sz w:val="20"/>
              </w:rPr>
            </w:pPr>
            <w:r>
              <w:rPr>
                <w:sz w:val="20"/>
              </w:rPr>
              <w:t>measured area of one sheet of paper</w:t>
            </w:r>
          </w:p>
        </w:tc>
      </w:tr>
      <w:tr>
        <w:trPr>
          <w:trHeight w:val="230" w:hRule="atLeast"/>
        </w:trPr>
        <w:tc>
          <w:tcPr>
            <w:tcW w:w="638" w:type="dxa"/>
          </w:tcPr>
          <w:p>
            <w:pPr>
              <w:pStyle w:val="TableParagraph"/>
              <w:spacing w:line="210" w:lineRule="exact" w:before="0"/>
              <w:ind w:right="211"/>
              <w:jc w:val="center"/>
              <w:rPr>
                <w:sz w:val="20"/>
              </w:rPr>
            </w:pPr>
            <w:r>
              <w:rPr>
                <w:sz w:val="20"/>
              </w:rPr>
              <w:t>BW</w:t>
            </w:r>
          </w:p>
        </w:tc>
        <w:tc>
          <w:tcPr>
            <w:tcW w:w="547" w:type="dxa"/>
          </w:tcPr>
          <w:p>
            <w:pPr>
              <w:pStyle w:val="TableParagraph"/>
              <w:spacing w:line="210" w:lineRule="exact" w:before="0"/>
              <w:ind w:left="132"/>
              <w:rPr>
                <w:sz w:val="20"/>
              </w:rPr>
            </w:pPr>
            <w:r>
              <w:rPr>
                <w:w w:val="99"/>
                <w:sz w:val="20"/>
              </w:rPr>
              <w:t>=</w:t>
            </w:r>
          </w:p>
        </w:tc>
        <w:tc>
          <w:tcPr>
            <w:tcW w:w="3280" w:type="dxa"/>
          </w:tcPr>
          <w:p>
            <w:pPr>
              <w:pStyle w:val="TableParagraph"/>
              <w:spacing w:line="210" w:lineRule="exact" w:before="0"/>
              <w:ind w:left="305"/>
              <w:rPr>
                <w:sz w:val="20"/>
              </w:rPr>
            </w:pPr>
            <w:r>
              <w:rPr>
                <w:sz w:val="20"/>
              </w:rPr>
              <w:t>labeled basis weight</w:t>
            </w:r>
          </w:p>
        </w:tc>
      </w:tr>
      <w:tr>
        <w:trPr>
          <w:trHeight w:val="230" w:hRule="atLeast"/>
        </w:trPr>
        <w:tc>
          <w:tcPr>
            <w:tcW w:w="638" w:type="dxa"/>
          </w:tcPr>
          <w:p>
            <w:pPr>
              <w:pStyle w:val="TableParagraph"/>
              <w:spacing w:line="210" w:lineRule="exact" w:before="0"/>
              <w:ind w:left="30" w:right="210"/>
              <w:jc w:val="center"/>
              <w:rPr>
                <w:sz w:val="20"/>
              </w:rPr>
            </w:pPr>
            <w:r>
              <w:rPr>
                <w:sz w:val="20"/>
              </w:rPr>
              <w:t>BSS</w:t>
            </w:r>
          </w:p>
        </w:tc>
        <w:tc>
          <w:tcPr>
            <w:tcW w:w="547" w:type="dxa"/>
          </w:tcPr>
          <w:p>
            <w:pPr>
              <w:pStyle w:val="TableParagraph"/>
              <w:spacing w:line="210" w:lineRule="exact" w:before="0"/>
              <w:ind w:left="132"/>
              <w:rPr>
                <w:sz w:val="20"/>
              </w:rPr>
            </w:pPr>
            <w:r>
              <w:rPr>
                <w:w w:val="99"/>
                <w:sz w:val="20"/>
              </w:rPr>
              <w:t>=</w:t>
            </w:r>
          </w:p>
        </w:tc>
        <w:tc>
          <w:tcPr>
            <w:tcW w:w="3280" w:type="dxa"/>
          </w:tcPr>
          <w:p>
            <w:pPr>
              <w:pStyle w:val="TableParagraph"/>
              <w:spacing w:line="210" w:lineRule="exact" w:before="0"/>
              <w:ind w:left="305"/>
              <w:rPr>
                <w:sz w:val="20"/>
              </w:rPr>
            </w:pPr>
            <w:r>
              <w:rPr>
                <w:sz w:val="20"/>
              </w:rPr>
              <w:t>area of basic sheet size from Table 1</w:t>
            </w:r>
          </w:p>
        </w:tc>
      </w:tr>
      <w:tr>
        <w:trPr>
          <w:trHeight w:val="230" w:hRule="atLeast"/>
        </w:trPr>
        <w:tc>
          <w:tcPr>
            <w:tcW w:w="638" w:type="dxa"/>
          </w:tcPr>
          <w:p>
            <w:pPr>
              <w:pStyle w:val="TableParagraph"/>
              <w:spacing w:line="210" w:lineRule="exact" w:before="0"/>
              <w:ind w:left="18" w:right="310"/>
              <w:jc w:val="center"/>
              <w:rPr>
                <w:sz w:val="20"/>
              </w:rPr>
            </w:pPr>
            <w:r>
              <w:rPr>
                <w:sz w:val="20"/>
              </w:rPr>
              <w:t>SC</w:t>
            </w:r>
          </w:p>
        </w:tc>
        <w:tc>
          <w:tcPr>
            <w:tcW w:w="547" w:type="dxa"/>
          </w:tcPr>
          <w:p>
            <w:pPr>
              <w:pStyle w:val="TableParagraph"/>
              <w:spacing w:line="210" w:lineRule="exact" w:before="0"/>
              <w:ind w:left="132"/>
              <w:rPr>
                <w:sz w:val="20"/>
              </w:rPr>
            </w:pPr>
            <w:r>
              <w:rPr>
                <w:w w:val="99"/>
                <w:sz w:val="20"/>
              </w:rPr>
              <w:t>=</w:t>
            </w:r>
          </w:p>
        </w:tc>
        <w:tc>
          <w:tcPr>
            <w:tcW w:w="3280" w:type="dxa"/>
          </w:tcPr>
          <w:p>
            <w:pPr>
              <w:pStyle w:val="TableParagraph"/>
              <w:spacing w:line="210" w:lineRule="exact" w:before="0"/>
              <w:ind w:left="305"/>
              <w:rPr>
                <w:sz w:val="20"/>
              </w:rPr>
            </w:pPr>
            <w:r>
              <w:rPr>
                <w:sz w:val="20"/>
              </w:rPr>
              <w:t>labeled package sheet count</w:t>
            </w:r>
          </w:p>
        </w:tc>
      </w:tr>
      <w:tr>
        <w:trPr>
          <w:trHeight w:val="225" w:hRule="atLeast"/>
        </w:trPr>
        <w:tc>
          <w:tcPr>
            <w:tcW w:w="638" w:type="dxa"/>
          </w:tcPr>
          <w:p>
            <w:pPr>
              <w:pStyle w:val="TableParagraph"/>
              <w:spacing w:line="206" w:lineRule="exact" w:before="0"/>
              <w:ind w:left="30" w:right="108"/>
              <w:jc w:val="center"/>
              <w:rPr>
                <w:sz w:val="20"/>
              </w:rPr>
            </w:pPr>
            <w:r>
              <w:rPr>
                <w:sz w:val="20"/>
              </w:rPr>
              <w:t>TNW</w:t>
            </w:r>
          </w:p>
        </w:tc>
        <w:tc>
          <w:tcPr>
            <w:tcW w:w="547" w:type="dxa"/>
          </w:tcPr>
          <w:p>
            <w:pPr>
              <w:pStyle w:val="TableParagraph"/>
              <w:spacing w:line="206" w:lineRule="exact" w:before="0"/>
              <w:ind w:left="131"/>
              <w:rPr>
                <w:sz w:val="20"/>
              </w:rPr>
            </w:pPr>
            <w:r>
              <w:rPr>
                <w:w w:val="99"/>
                <w:sz w:val="20"/>
              </w:rPr>
              <w:t>=</w:t>
            </w:r>
          </w:p>
        </w:tc>
        <w:tc>
          <w:tcPr>
            <w:tcW w:w="3280" w:type="dxa"/>
          </w:tcPr>
          <w:p>
            <w:pPr>
              <w:pStyle w:val="TableParagraph"/>
              <w:spacing w:line="206" w:lineRule="exact" w:before="0"/>
              <w:ind w:left="304"/>
              <w:rPr>
                <w:sz w:val="20"/>
              </w:rPr>
            </w:pPr>
            <w:r>
              <w:rPr>
                <w:sz w:val="20"/>
              </w:rPr>
              <w:t>target net weight of paper</w:t>
            </w:r>
          </w:p>
        </w:tc>
      </w:tr>
    </w:tbl>
    <w:p>
      <w:pPr>
        <w:pStyle w:val="BodyText"/>
        <w:spacing w:before="9"/>
        <w:rPr>
          <w:i/>
          <w:sz w:val="12"/>
        </w:rPr>
      </w:pPr>
    </w:p>
    <w:p>
      <w:pPr>
        <w:pStyle w:val="ListParagraph"/>
        <w:numPr>
          <w:ilvl w:val="3"/>
          <w:numId w:val="16"/>
        </w:numPr>
        <w:tabs>
          <w:tab w:pos="1375" w:val="left" w:leader="none"/>
        </w:tabs>
        <w:spacing w:line="240" w:lineRule="auto" w:before="91" w:after="0"/>
        <w:ind w:left="538" w:right="421" w:firstLine="1"/>
        <w:jc w:val="both"/>
        <w:rPr>
          <w:sz w:val="20"/>
        </w:rPr>
      </w:pPr>
      <w:r>
        <w:rPr>
          <w:b/>
          <w:sz w:val="20"/>
        </w:rPr>
        <w:t>Test Procedure. </w:t>
      </w:r>
      <w:r>
        <w:rPr>
          <w:sz w:val="20"/>
        </w:rPr>
        <w:t>– The following gravimetric, measuring, and counting procedures shall be used to determine if packages are accurately labeled. Procedures are also provided for verifying net quantity of content declarations for count and dimensions (e.g., length and width.)</w:t>
      </w:r>
    </w:p>
    <w:p>
      <w:pPr>
        <w:pStyle w:val="BodyText"/>
        <w:spacing w:before="11"/>
      </w:pPr>
    </w:p>
    <w:p>
      <w:pPr>
        <w:pStyle w:val="ListParagraph"/>
        <w:numPr>
          <w:ilvl w:val="4"/>
          <w:numId w:val="17"/>
        </w:numPr>
        <w:tabs>
          <w:tab w:pos="1814" w:val="left" w:leader="none"/>
        </w:tabs>
        <w:spacing w:line="240" w:lineRule="auto" w:before="0" w:after="0"/>
        <w:ind w:left="898" w:right="419" w:firstLine="1"/>
        <w:jc w:val="both"/>
        <w:rPr>
          <w:sz w:val="20"/>
        </w:rPr>
      </w:pPr>
      <w:r>
        <w:rPr>
          <w:b/>
          <w:sz w:val="20"/>
        </w:rPr>
        <w:t>Sample Selection. </w:t>
      </w:r>
      <w:r>
        <w:rPr>
          <w:sz w:val="20"/>
        </w:rPr>
        <w:t>– Select a sample from an inspection lot using Table 2-1 Sampling Plans of Category A (page A-2) in the fourth edition of NIST Handbook 133, “Checking the Net Contents of Pack- aged Goods.” Determine an average tare weight in accordance with Section 2 of the fourth edition of NIST Handbook</w:t>
      </w:r>
      <w:r>
        <w:rPr>
          <w:spacing w:val="-1"/>
          <w:sz w:val="20"/>
        </w:rPr>
        <w:t> </w:t>
      </w:r>
      <w:r>
        <w:rPr>
          <w:sz w:val="20"/>
        </w:rPr>
        <w:t>133.</w:t>
      </w:r>
    </w:p>
    <w:p>
      <w:pPr>
        <w:pStyle w:val="BodyText"/>
        <w:spacing w:before="9"/>
      </w:pPr>
    </w:p>
    <w:p>
      <w:pPr>
        <w:pStyle w:val="Heading1"/>
        <w:numPr>
          <w:ilvl w:val="4"/>
          <w:numId w:val="17"/>
        </w:numPr>
        <w:tabs>
          <w:tab w:pos="1881" w:val="left" w:leader="none"/>
        </w:tabs>
        <w:spacing w:line="240" w:lineRule="auto" w:before="1" w:after="0"/>
        <w:ind w:left="898" w:right="422" w:firstLine="1"/>
        <w:jc w:val="both"/>
        <w:rPr>
          <w:b w:val="0"/>
        </w:rPr>
      </w:pPr>
      <w:r>
        <w:rPr/>
        <w:t>Determine Target Net Weight of Common Types of Paper Packaged in Various Sizes or Counts</w:t>
      </w:r>
      <w:r>
        <w:rPr>
          <w:b w:val="0"/>
        </w:rPr>
        <w:t>.</w:t>
      </w:r>
    </w:p>
    <w:p>
      <w:pPr>
        <w:pStyle w:val="BodyText"/>
        <w:spacing w:before="10"/>
      </w:pPr>
    </w:p>
    <w:p>
      <w:pPr>
        <w:pStyle w:val="BodyText"/>
        <w:ind w:left="898"/>
      </w:pPr>
      <w:r>
        <w:rPr/>
        <w:t>Verify the basis weight declared on a package using the following gravimetric procedure:</w:t>
      </w:r>
    </w:p>
    <w:p>
      <w:pPr>
        <w:pStyle w:val="BodyText"/>
        <w:spacing w:before="11"/>
      </w:pPr>
    </w:p>
    <w:p>
      <w:pPr>
        <w:pStyle w:val="ListParagraph"/>
        <w:numPr>
          <w:ilvl w:val="5"/>
          <w:numId w:val="17"/>
        </w:numPr>
        <w:tabs>
          <w:tab w:pos="1619" w:val="left" w:leader="none"/>
        </w:tabs>
        <w:spacing w:line="240" w:lineRule="auto" w:before="0" w:after="0"/>
        <w:ind w:left="1618" w:right="421" w:hanging="360"/>
        <w:jc w:val="both"/>
        <w:rPr>
          <w:sz w:val="20"/>
        </w:rPr>
      </w:pPr>
      <w:r>
        <w:rPr>
          <w:sz w:val="20"/>
        </w:rPr>
        <w:t>Record</w:t>
      </w:r>
      <w:r>
        <w:rPr>
          <w:spacing w:val="-14"/>
          <w:sz w:val="20"/>
        </w:rPr>
        <w:t> </w:t>
      </w:r>
      <w:r>
        <w:rPr>
          <w:sz w:val="20"/>
        </w:rPr>
        <w:t>the</w:t>
      </w:r>
      <w:r>
        <w:rPr>
          <w:spacing w:val="-11"/>
          <w:sz w:val="20"/>
        </w:rPr>
        <w:t> </w:t>
      </w:r>
      <w:r>
        <w:rPr>
          <w:sz w:val="20"/>
        </w:rPr>
        <w:t>following</w:t>
      </w:r>
      <w:r>
        <w:rPr>
          <w:spacing w:val="-15"/>
          <w:sz w:val="20"/>
        </w:rPr>
        <w:t> </w:t>
      </w:r>
      <w:r>
        <w:rPr>
          <w:sz w:val="20"/>
        </w:rPr>
        <w:t>information</w:t>
      </w:r>
      <w:r>
        <w:rPr>
          <w:spacing w:val="-16"/>
          <w:sz w:val="20"/>
        </w:rPr>
        <w:t> </w:t>
      </w:r>
      <w:r>
        <w:rPr>
          <w:sz w:val="20"/>
        </w:rPr>
        <w:t>from</w:t>
      </w:r>
      <w:r>
        <w:rPr>
          <w:spacing w:val="-15"/>
          <w:sz w:val="20"/>
        </w:rPr>
        <w:t> </w:t>
      </w:r>
      <w:r>
        <w:rPr>
          <w:sz w:val="20"/>
        </w:rPr>
        <w:t>the</w:t>
      </w:r>
      <w:r>
        <w:rPr>
          <w:spacing w:val="-14"/>
          <w:sz w:val="20"/>
        </w:rPr>
        <w:t> </w:t>
      </w:r>
      <w:r>
        <w:rPr>
          <w:sz w:val="20"/>
        </w:rPr>
        <w:t>package</w:t>
      </w:r>
      <w:r>
        <w:rPr>
          <w:spacing w:val="-14"/>
          <w:sz w:val="20"/>
        </w:rPr>
        <w:t> </w:t>
      </w:r>
      <w:r>
        <w:rPr>
          <w:sz w:val="20"/>
        </w:rPr>
        <w:t>label</w:t>
      </w:r>
      <w:r>
        <w:rPr>
          <w:spacing w:val="-14"/>
          <w:sz w:val="20"/>
        </w:rPr>
        <w:t> </w:t>
      </w:r>
      <w:r>
        <w:rPr>
          <w:sz w:val="20"/>
        </w:rPr>
        <w:t>on</w:t>
      </w:r>
      <w:r>
        <w:rPr>
          <w:spacing w:val="-16"/>
          <w:sz w:val="20"/>
        </w:rPr>
        <w:t> </w:t>
      </w:r>
      <w:r>
        <w:rPr>
          <w:sz w:val="20"/>
        </w:rPr>
        <w:t>a</w:t>
      </w:r>
      <w:r>
        <w:rPr>
          <w:spacing w:val="-9"/>
          <w:sz w:val="20"/>
        </w:rPr>
        <w:t> </w:t>
      </w:r>
      <w:r>
        <w:rPr>
          <w:sz w:val="20"/>
        </w:rPr>
        <w:t>worksheet.</w:t>
      </w:r>
      <w:r>
        <w:rPr>
          <w:spacing w:val="22"/>
          <w:sz w:val="20"/>
        </w:rPr>
        <w:t> </w:t>
      </w:r>
      <w:r>
        <w:rPr>
          <w:sz w:val="20"/>
        </w:rPr>
        <w:t>(See</w:t>
      </w:r>
      <w:r>
        <w:rPr>
          <w:spacing w:val="-11"/>
          <w:sz w:val="20"/>
        </w:rPr>
        <w:t> </w:t>
      </w:r>
      <w:r>
        <w:rPr>
          <w:sz w:val="20"/>
        </w:rPr>
        <w:t>Figure</w:t>
      </w:r>
      <w:r>
        <w:rPr>
          <w:spacing w:val="-3"/>
          <w:sz w:val="20"/>
        </w:rPr>
        <w:t> </w:t>
      </w:r>
      <w:r>
        <w:rPr>
          <w:sz w:val="20"/>
        </w:rPr>
        <w:t>1</w:t>
      </w:r>
      <w:r>
        <w:rPr>
          <w:spacing w:val="-13"/>
          <w:sz w:val="20"/>
        </w:rPr>
        <w:t> </w:t>
      </w:r>
      <w:r>
        <w:rPr>
          <w:sz w:val="20"/>
        </w:rPr>
        <w:t>for</w:t>
      </w:r>
      <w:r>
        <w:rPr>
          <w:spacing w:val="-14"/>
          <w:sz w:val="20"/>
        </w:rPr>
        <w:t> </w:t>
      </w:r>
      <w:r>
        <w:rPr>
          <w:sz w:val="20"/>
        </w:rPr>
        <w:t>a</w:t>
      </w:r>
      <w:r>
        <w:rPr>
          <w:spacing w:val="-11"/>
          <w:sz w:val="20"/>
        </w:rPr>
        <w:t> </w:t>
      </w:r>
      <w:r>
        <w:rPr>
          <w:sz w:val="20"/>
        </w:rPr>
        <w:t>sample label.)</w:t>
      </w:r>
    </w:p>
    <w:p>
      <w:pPr>
        <w:pStyle w:val="BodyText"/>
        <w:spacing w:before="8"/>
      </w:pPr>
    </w:p>
    <w:p>
      <w:pPr>
        <w:pStyle w:val="ListParagraph"/>
        <w:numPr>
          <w:ilvl w:val="6"/>
          <w:numId w:val="17"/>
        </w:numPr>
        <w:tabs>
          <w:tab w:pos="1978" w:val="left" w:leader="none"/>
          <w:tab w:pos="1979" w:val="left" w:leader="none"/>
        </w:tabs>
        <w:spacing w:line="240" w:lineRule="auto" w:before="0" w:after="0"/>
        <w:ind w:left="1978" w:right="0" w:hanging="360"/>
        <w:jc w:val="left"/>
        <w:rPr>
          <w:sz w:val="20"/>
        </w:rPr>
      </w:pPr>
      <w:r>
        <w:rPr>
          <w:sz w:val="20"/>
        </w:rPr>
        <w:t>Type of Paper</w:t>
      </w:r>
      <w:r>
        <w:rPr>
          <w:spacing w:val="-2"/>
          <w:sz w:val="20"/>
        </w:rPr>
        <w:t> </w:t>
      </w:r>
      <w:r>
        <w:rPr>
          <w:sz w:val="20"/>
        </w:rPr>
        <w:t>(TP)</w:t>
      </w:r>
    </w:p>
    <w:p>
      <w:pPr>
        <w:pStyle w:val="ListParagraph"/>
        <w:numPr>
          <w:ilvl w:val="6"/>
          <w:numId w:val="17"/>
        </w:numPr>
        <w:tabs>
          <w:tab w:pos="1978" w:val="left" w:leader="none"/>
          <w:tab w:pos="1979" w:val="left" w:leader="none"/>
        </w:tabs>
        <w:spacing w:line="240" w:lineRule="auto" w:before="1" w:after="0"/>
        <w:ind w:left="1978" w:right="0" w:hanging="360"/>
        <w:jc w:val="left"/>
        <w:rPr>
          <w:sz w:val="20"/>
        </w:rPr>
      </w:pPr>
      <w:r>
        <w:rPr>
          <w:sz w:val="20"/>
        </w:rPr>
        <w:t>Length</w:t>
      </w:r>
      <w:r>
        <w:rPr>
          <w:spacing w:val="-6"/>
          <w:sz w:val="20"/>
        </w:rPr>
        <w:t> </w:t>
      </w:r>
      <w:r>
        <w:rPr>
          <w:sz w:val="20"/>
        </w:rPr>
        <w:t>(L)</w:t>
      </w:r>
    </w:p>
    <w:p>
      <w:pPr>
        <w:pStyle w:val="ListParagraph"/>
        <w:numPr>
          <w:ilvl w:val="6"/>
          <w:numId w:val="17"/>
        </w:numPr>
        <w:tabs>
          <w:tab w:pos="1978" w:val="left" w:leader="none"/>
          <w:tab w:pos="1979" w:val="left" w:leader="none"/>
        </w:tabs>
        <w:spacing w:line="240" w:lineRule="auto" w:before="0" w:after="0"/>
        <w:ind w:left="1978" w:right="0" w:hanging="360"/>
        <w:jc w:val="left"/>
        <w:rPr>
          <w:sz w:val="20"/>
        </w:rPr>
      </w:pPr>
      <w:r>
        <w:rPr>
          <w:sz w:val="20"/>
        </w:rPr>
        <w:t>Width</w:t>
      </w:r>
      <w:r>
        <w:rPr>
          <w:spacing w:val="-4"/>
          <w:sz w:val="20"/>
        </w:rPr>
        <w:t> </w:t>
      </w:r>
      <w:r>
        <w:rPr>
          <w:sz w:val="20"/>
        </w:rPr>
        <w:t>(W)</w:t>
      </w:r>
    </w:p>
    <w:p>
      <w:pPr>
        <w:pStyle w:val="ListParagraph"/>
        <w:numPr>
          <w:ilvl w:val="6"/>
          <w:numId w:val="17"/>
        </w:numPr>
        <w:tabs>
          <w:tab w:pos="1978" w:val="left" w:leader="none"/>
          <w:tab w:pos="1979" w:val="left" w:leader="none"/>
        </w:tabs>
        <w:spacing w:line="240" w:lineRule="auto" w:before="1" w:after="0"/>
        <w:ind w:left="1978" w:right="0" w:hanging="360"/>
        <w:jc w:val="left"/>
        <w:rPr>
          <w:sz w:val="20"/>
        </w:rPr>
      </w:pPr>
      <w:r>
        <w:rPr>
          <w:sz w:val="20"/>
        </w:rPr>
        <w:t>Package Sheet Count</w:t>
      </w:r>
      <w:r>
        <w:rPr>
          <w:spacing w:val="-1"/>
          <w:sz w:val="20"/>
        </w:rPr>
        <w:t> </w:t>
      </w:r>
      <w:r>
        <w:rPr>
          <w:sz w:val="20"/>
        </w:rPr>
        <w:t>(PSC)</w:t>
      </w:r>
    </w:p>
    <w:p>
      <w:pPr>
        <w:pStyle w:val="ListParagraph"/>
        <w:numPr>
          <w:ilvl w:val="6"/>
          <w:numId w:val="17"/>
        </w:numPr>
        <w:tabs>
          <w:tab w:pos="1978" w:val="left" w:leader="none"/>
          <w:tab w:pos="1979" w:val="left" w:leader="none"/>
        </w:tabs>
        <w:spacing w:line="240" w:lineRule="auto" w:before="0" w:after="0"/>
        <w:ind w:left="1978" w:right="0" w:hanging="360"/>
        <w:jc w:val="left"/>
        <w:rPr>
          <w:sz w:val="20"/>
        </w:rPr>
      </w:pPr>
      <w:r>
        <w:rPr>
          <w:sz w:val="20"/>
        </w:rPr>
        <w:t>Basis Weight</w:t>
      </w:r>
      <w:r>
        <w:rPr>
          <w:spacing w:val="-2"/>
          <w:sz w:val="20"/>
        </w:rPr>
        <w:t> </w:t>
      </w:r>
      <w:r>
        <w:rPr>
          <w:sz w:val="20"/>
        </w:rPr>
        <w:t>(BW)</w:t>
      </w:r>
    </w:p>
    <w:p>
      <w:pPr>
        <w:pStyle w:val="ListParagraph"/>
        <w:numPr>
          <w:ilvl w:val="6"/>
          <w:numId w:val="17"/>
        </w:numPr>
        <w:tabs>
          <w:tab w:pos="1978" w:val="left" w:leader="none"/>
          <w:tab w:pos="1979" w:val="left" w:leader="none"/>
        </w:tabs>
        <w:spacing w:line="240" w:lineRule="auto" w:before="1" w:after="0"/>
        <w:ind w:left="1978" w:right="0" w:hanging="360"/>
        <w:jc w:val="left"/>
        <w:rPr>
          <w:sz w:val="20"/>
        </w:rPr>
      </w:pPr>
      <w:r>
        <w:rPr>
          <w:sz w:val="20"/>
        </w:rPr>
        <w:t>Basic Size Sheet</w:t>
      </w:r>
      <w:r>
        <w:rPr>
          <w:spacing w:val="-1"/>
          <w:sz w:val="20"/>
        </w:rPr>
        <w:t> </w:t>
      </w:r>
      <w:r>
        <w:rPr>
          <w:sz w:val="20"/>
        </w:rPr>
        <w:t>(BSS)</w:t>
      </w:r>
    </w:p>
    <w:p>
      <w:pPr>
        <w:pStyle w:val="BodyText"/>
        <w:spacing w:before="7"/>
      </w:pPr>
    </w:p>
    <w:p>
      <w:pPr>
        <w:pStyle w:val="ListParagraph"/>
        <w:numPr>
          <w:ilvl w:val="5"/>
          <w:numId w:val="17"/>
        </w:numPr>
        <w:tabs>
          <w:tab w:pos="1619" w:val="left" w:leader="none"/>
        </w:tabs>
        <w:spacing w:line="240" w:lineRule="auto" w:before="1" w:after="0"/>
        <w:ind w:left="1618" w:right="420" w:hanging="360"/>
        <w:jc w:val="both"/>
        <w:rPr>
          <w:sz w:val="20"/>
        </w:rPr>
      </w:pPr>
      <w:r>
        <w:rPr>
          <w:sz w:val="20"/>
        </w:rPr>
        <w:t>Compute the Target Net Weight (TNW) for the sample packages using the General Formula for Sheet Paper. TNW is what the paper should weigh if the labeled properties of the packaged paper are</w:t>
      </w:r>
      <w:r>
        <w:rPr>
          <w:spacing w:val="-1"/>
          <w:sz w:val="20"/>
        </w:rPr>
        <w:t> </w:t>
      </w:r>
      <w:r>
        <w:rPr>
          <w:sz w:val="20"/>
        </w:rPr>
        <w:t>accurate.)</w:t>
      </w:r>
    </w:p>
    <w:p>
      <w:pPr>
        <w:pStyle w:val="BodyText"/>
        <w:spacing w:before="11"/>
      </w:pPr>
    </w:p>
    <w:p>
      <w:pPr>
        <w:pStyle w:val="ListParagraph"/>
        <w:numPr>
          <w:ilvl w:val="5"/>
          <w:numId w:val="17"/>
        </w:numPr>
        <w:tabs>
          <w:tab w:pos="1619" w:val="left" w:leader="none"/>
        </w:tabs>
        <w:spacing w:line="240" w:lineRule="auto" w:before="0" w:after="0"/>
        <w:ind w:left="1618" w:right="417" w:hanging="360"/>
        <w:jc w:val="both"/>
        <w:rPr>
          <w:sz w:val="20"/>
        </w:rPr>
      </w:pPr>
      <w:r>
        <w:rPr>
          <w:sz w:val="20"/>
        </w:rPr>
        <w:t>Determine the average net weight of the sample packages. (Do not use sample error limit calcula- tions.) If the average net weight is not equal to or more than the Target Net Weight, go to  Sec- tion 2.6.14.3. to determine if the labeled basis weight (BW) is correct. If the average net weight is equal to or more than the labeled basis weight, the sample</w:t>
      </w:r>
      <w:r>
        <w:rPr>
          <w:spacing w:val="1"/>
          <w:sz w:val="20"/>
        </w:rPr>
        <w:t> </w:t>
      </w:r>
      <w:r>
        <w:rPr>
          <w:sz w:val="20"/>
        </w:rPr>
        <w:t>passes.</w:t>
      </w:r>
    </w:p>
    <w:p>
      <w:pPr>
        <w:spacing w:after="0" w:line="240" w:lineRule="auto"/>
        <w:jc w:val="both"/>
        <w:rPr>
          <w:sz w:val="20"/>
        </w:rPr>
        <w:sectPr>
          <w:type w:val="continuous"/>
          <w:pgSz w:w="12240" w:h="15840"/>
          <w:pgMar w:top="1340" w:bottom="940" w:left="1260" w:right="1020"/>
        </w:sectPr>
      </w:pPr>
    </w:p>
    <w:p>
      <w:pPr>
        <w:spacing w:before="88"/>
        <w:ind w:left="3948" w:right="0" w:firstLine="0"/>
        <w:jc w:val="left"/>
        <w:rPr>
          <w:sz w:val="20"/>
        </w:rPr>
      </w:pPr>
      <w:r>
        <w:rPr>
          <w:b/>
          <w:sz w:val="20"/>
        </w:rPr>
        <w:t>Basis Weight Worksheet </w:t>
      </w:r>
      <w:r>
        <w:rPr>
          <w:sz w:val="20"/>
        </w:rPr>
        <w:t>(see Figure 1)</w:t>
      </w:r>
    </w:p>
    <w:p>
      <w:pPr>
        <w:pStyle w:val="BodyText"/>
        <w:spacing w:before="10"/>
      </w:pPr>
    </w:p>
    <w:p>
      <w:pPr>
        <w:pStyle w:val="BodyText"/>
        <w:tabs>
          <w:tab w:pos="3887" w:val="left" w:leader="none"/>
        </w:tabs>
        <w:spacing w:line="229" w:lineRule="exact" w:before="1"/>
        <w:ind w:left="1039"/>
      </w:pPr>
      <w:r>
        <w:rPr/>
        <w:pict>
          <v:group style="position:absolute;margin-left:380.485992pt;margin-top:7.705933pt;width:175.9pt;height:115.7pt;mso-position-horizontal-relative:page;mso-position-vertical-relative:paragraph;z-index:1768" coordorigin="7610,154" coordsize="3518,2314">
            <v:shape style="position:absolute;left:7675;top:540;width:3279;height:1836" type="#_x0000_t75" stroked="false">
              <v:imagedata r:id="rId42" o:title=""/>
            </v:shape>
            <v:shape style="position:absolute;left:7619;top:164;width:3498;height:2294" type="#_x0000_t202" filled="false" stroked="true" strokeweight="1pt" strokecolor="#000000">
              <v:textbox inset="0,0,0,0">
                <w:txbxContent>
                  <w:p>
                    <w:pPr>
                      <w:spacing w:line="240" w:lineRule="auto" w:before="0"/>
                      <w:rPr>
                        <w:sz w:val="20"/>
                      </w:rPr>
                    </w:pPr>
                  </w:p>
                  <w:p>
                    <w:pPr>
                      <w:spacing w:line="237" w:lineRule="auto" w:before="138"/>
                      <w:ind w:left="907" w:right="995" w:firstLine="439"/>
                      <w:jc w:val="left"/>
                      <w:rPr>
                        <w:b/>
                        <w:sz w:val="18"/>
                      </w:rPr>
                    </w:pPr>
                    <w:r>
                      <w:rPr>
                        <w:b/>
                        <w:sz w:val="18"/>
                      </w:rPr>
                      <w:t>Example White Copy Paper 75 g/m</w:t>
                    </w:r>
                    <w:r>
                      <w:rPr>
                        <w:b/>
                        <w:position w:val="6"/>
                        <w:sz w:val="12"/>
                      </w:rPr>
                      <w:t>2 </w:t>
                    </w:r>
                    <w:r>
                      <w:rPr>
                        <w:b/>
                        <w:sz w:val="18"/>
                      </w:rPr>
                      <w:t>(20 lb) Bond</w:t>
                    </w:r>
                  </w:p>
                  <w:p>
                    <w:pPr>
                      <w:spacing w:line="240" w:lineRule="auto" w:before="0"/>
                      <w:rPr>
                        <w:sz w:val="18"/>
                      </w:rPr>
                    </w:pPr>
                  </w:p>
                  <w:p>
                    <w:pPr>
                      <w:spacing w:line="484" w:lineRule="auto" w:before="0"/>
                      <w:ind w:left="177" w:right="0" w:firstLine="0"/>
                      <w:jc w:val="left"/>
                      <w:rPr>
                        <w:sz w:val="18"/>
                      </w:rPr>
                    </w:pPr>
                    <w:r>
                      <w:rPr>
                        <w:sz w:val="18"/>
                      </w:rPr>
                      <w:t>Size: 216 mm × 279 mm (8½ in × 11 in) Count: 500 Sheets</w:t>
                    </w:r>
                  </w:p>
                </w:txbxContent>
              </v:textbox>
              <v:stroke linestyle="thinThin" dashstyle="solid"/>
              <w10:wrap type="none"/>
            </v:shape>
            <w10:wrap type="none"/>
          </v:group>
        </w:pict>
      </w:r>
      <w:r>
        <w:rPr/>
        <w:t>Type of</w:t>
      </w:r>
      <w:r>
        <w:rPr>
          <w:spacing w:val="-3"/>
        </w:rPr>
        <w:t> </w:t>
      </w:r>
      <w:r>
        <w:rPr/>
        <w:t>Paper (TP):</w:t>
        <w:tab/>
        <w:t>Copy</w:t>
      </w:r>
      <w:r>
        <w:rPr>
          <w:spacing w:val="-4"/>
        </w:rPr>
        <w:t> </w:t>
      </w:r>
      <w:r>
        <w:rPr/>
        <w:t>Paper</w:t>
      </w:r>
    </w:p>
    <w:p>
      <w:pPr>
        <w:pStyle w:val="BodyText"/>
        <w:tabs>
          <w:tab w:pos="3887" w:val="left" w:leader="none"/>
        </w:tabs>
        <w:spacing w:line="229" w:lineRule="exact"/>
        <w:ind w:left="1039"/>
      </w:pPr>
      <w:r>
        <w:rPr/>
        <w:t>Length</w:t>
      </w:r>
      <w:r>
        <w:rPr>
          <w:spacing w:val="-3"/>
        </w:rPr>
        <w:t> </w:t>
      </w:r>
      <w:r>
        <w:rPr/>
        <w:t>(L):</w:t>
        <w:tab/>
        <w:t>11</w:t>
      </w:r>
      <w:r>
        <w:rPr>
          <w:spacing w:val="1"/>
        </w:rPr>
        <w:t> </w:t>
      </w:r>
      <w:r>
        <w:rPr/>
        <w:t>in</w:t>
      </w:r>
    </w:p>
    <w:p>
      <w:pPr>
        <w:pStyle w:val="BodyText"/>
        <w:tabs>
          <w:tab w:pos="3887" w:val="left" w:leader="none"/>
        </w:tabs>
        <w:spacing w:line="228" w:lineRule="exact"/>
        <w:ind w:left="1039"/>
      </w:pPr>
      <w:r>
        <w:rPr/>
        <w:t>Width</w:t>
      </w:r>
      <w:r>
        <w:rPr>
          <w:spacing w:val="-2"/>
        </w:rPr>
        <w:t> </w:t>
      </w:r>
      <w:r>
        <w:rPr/>
        <w:t>(W):</w:t>
        <w:tab/>
        <w:t>8½</w:t>
      </w:r>
      <w:r>
        <w:rPr>
          <w:spacing w:val="-1"/>
        </w:rPr>
        <w:t> </w:t>
      </w:r>
      <w:r>
        <w:rPr/>
        <w:t>in</w:t>
      </w:r>
    </w:p>
    <w:p>
      <w:pPr>
        <w:pStyle w:val="BodyText"/>
        <w:tabs>
          <w:tab w:pos="3887" w:val="left" w:leader="none"/>
          <w:tab w:pos="4190" w:val="right" w:leader="none"/>
        </w:tabs>
        <w:ind w:left="1039" w:right="5448"/>
      </w:pPr>
      <w:r>
        <w:rPr/>
        <w:t>Area (PA) of</w:t>
      </w:r>
      <w:r>
        <w:rPr>
          <w:spacing w:val="-6"/>
        </w:rPr>
        <w:t> </w:t>
      </w:r>
      <w:r>
        <w:rPr/>
        <w:t>Sheet</w:t>
      </w:r>
      <w:r>
        <w:rPr>
          <w:spacing w:val="-1"/>
        </w:rPr>
        <w:t> </w:t>
      </w:r>
      <w:r>
        <w:rPr/>
        <w:t>(L×W):</w:t>
        <w:tab/>
        <w:t>93.5 </w:t>
      </w:r>
      <w:r>
        <w:rPr>
          <w:spacing w:val="-8"/>
        </w:rPr>
        <w:t>in</w:t>
      </w:r>
      <w:r>
        <w:rPr>
          <w:spacing w:val="-8"/>
          <w:position w:val="7"/>
          <w:sz w:val="13"/>
        </w:rPr>
        <w:t>2 </w:t>
      </w:r>
      <w:r>
        <w:rPr/>
        <w:t>Package Sheet</w:t>
      </w:r>
      <w:r>
        <w:rPr>
          <w:spacing w:val="-5"/>
        </w:rPr>
        <w:t> </w:t>
      </w:r>
      <w:r>
        <w:rPr/>
        <w:t>Count</w:t>
      </w:r>
      <w:r>
        <w:rPr>
          <w:spacing w:val="-3"/>
        </w:rPr>
        <w:t> </w:t>
      </w:r>
      <w:r>
        <w:rPr/>
        <w:t>(PSC):</w:t>
        <w:tab/>
        <w:tab/>
        <w:t>500</w:t>
      </w:r>
    </w:p>
    <w:p>
      <w:pPr>
        <w:pStyle w:val="BodyText"/>
        <w:tabs>
          <w:tab w:pos="3887" w:val="left" w:leader="none"/>
        </w:tabs>
        <w:ind w:left="1039"/>
      </w:pPr>
      <w:r>
        <w:rPr/>
        <w:t>Basis</w:t>
      </w:r>
      <w:r>
        <w:rPr>
          <w:spacing w:val="-3"/>
        </w:rPr>
        <w:t> </w:t>
      </w:r>
      <w:r>
        <w:rPr/>
        <w:t>Weight</w:t>
      </w:r>
      <w:r>
        <w:rPr>
          <w:spacing w:val="-1"/>
        </w:rPr>
        <w:t> </w:t>
      </w:r>
      <w:r>
        <w:rPr/>
        <w:t>(BW):</w:t>
        <w:tab/>
        <w:t>20</w:t>
      </w:r>
      <w:r>
        <w:rPr>
          <w:spacing w:val="1"/>
        </w:rPr>
        <w:t> </w:t>
      </w:r>
      <w:r>
        <w:rPr/>
        <w:t>lb</w:t>
      </w:r>
    </w:p>
    <w:p>
      <w:pPr>
        <w:pStyle w:val="BodyText"/>
        <w:tabs>
          <w:tab w:pos="3887" w:val="left" w:leader="none"/>
        </w:tabs>
        <w:spacing w:line="232" w:lineRule="auto" w:before="5"/>
        <w:ind w:left="1038" w:right="5044"/>
        <w:rPr>
          <w:sz w:val="13"/>
        </w:rPr>
      </w:pPr>
      <w:r>
        <w:rPr/>
        <w:t>Basic Sheet</w:t>
      </w:r>
      <w:r>
        <w:rPr>
          <w:spacing w:val="-6"/>
        </w:rPr>
        <w:t> </w:t>
      </w:r>
      <w:r>
        <w:rPr/>
        <w:t>Size</w:t>
      </w:r>
      <w:r>
        <w:rPr>
          <w:spacing w:val="-3"/>
        </w:rPr>
        <w:t> </w:t>
      </w:r>
      <w:r>
        <w:rPr/>
        <w:t>(BSS):</w:t>
        <w:tab/>
        <w:t>17 in × 22 </w:t>
      </w:r>
      <w:r>
        <w:rPr>
          <w:spacing w:val="-11"/>
        </w:rPr>
        <w:t>in </w:t>
      </w:r>
      <w:r>
        <w:rPr/>
        <w:t>Area of BSS from Table</w:t>
      </w:r>
      <w:r>
        <w:rPr>
          <w:spacing w:val="-9"/>
        </w:rPr>
        <w:t> </w:t>
      </w:r>
      <w:r>
        <w:rPr/>
        <w:t>1 or</w:t>
        <w:tab/>
        <w:t>374 in</w:t>
      </w:r>
      <w:r>
        <w:rPr>
          <w:position w:val="7"/>
          <w:sz w:val="13"/>
        </w:rPr>
        <w:t>2</w:t>
      </w:r>
    </w:p>
    <w:p>
      <w:pPr>
        <w:pStyle w:val="BodyText"/>
        <w:spacing w:before="2"/>
        <w:ind w:left="1300"/>
      </w:pPr>
      <w:r>
        <w:rPr/>
        <w:t>by calculation:</w:t>
      </w:r>
    </w:p>
    <w:p>
      <w:pPr>
        <w:pStyle w:val="BodyText"/>
        <w:spacing w:before="11"/>
        <w:rPr>
          <w:sz w:val="12"/>
        </w:rPr>
      </w:pPr>
    </w:p>
    <w:p>
      <w:pPr>
        <w:spacing w:after="0"/>
        <w:rPr>
          <w:sz w:val="12"/>
        </w:rPr>
        <w:sectPr>
          <w:pgSz w:w="12240" w:h="15840"/>
          <w:pgMar w:header="730" w:footer="741" w:top="1340" w:bottom="940" w:left="1260" w:right="1020"/>
        </w:sectPr>
      </w:pPr>
    </w:p>
    <w:p>
      <w:pPr>
        <w:pStyle w:val="BodyText"/>
        <w:spacing w:before="91"/>
        <w:ind w:left="1547" w:right="22"/>
      </w:pPr>
      <w:r>
        <w:rPr/>
        <w:t>Use the General Formula to compute Target Net Weight (TNW):</w:t>
      </w:r>
    </w:p>
    <w:p>
      <w:pPr>
        <w:pStyle w:val="BodyText"/>
        <w:spacing w:before="11"/>
      </w:pPr>
    </w:p>
    <w:p>
      <w:pPr>
        <w:pStyle w:val="BodyText"/>
        <w:ind w:left="1547"/>
      </w:pPr>
      <w:r>
        <w:rPr/>
        <w:t>Target Net Weight (TNW) = 5 lb</w:t>
      </w:r>
    </w:p>
    <w:p>
      <w:pPr>
        <w:pStyle w:val="BodyText"/>
        <w:rPr>
          <w:sz w:val="22"/>
        </w:rPr>
      </w:pPr>
      <w:r>
        <w:rPr/>
        <w:br w:type="column"/>
      </w:r>
      <w:r>
        <w:rPr>
          <w:sz w:val="22"/>
        </w:rPr>
      </w:r>
    </w:p>
    <w:p>
      <w:pPr>
        <w:pStyle w:val="Heading1"/>
        <w:spacing w:before="169"/>
        <w:ind w:left="1547"/>
      </w:pPr>
      <w:r>
        <w:rPr/>
        <w:t>Figure 1. Sample Label</w:t>
      </w:r>
    </w:p>
    <w:p>
      <w:pPr>
        <w:spacing w:after="0"/>
        <w:sectPr>
          <w:type w:val="continuous"/>
          <w:pgSz w:w="12240" w:h="15840"/>
          <w:pgMar w:top="1340" w:bottom="940" w:left="1260" w:right="1020"/>
          <w:cols w:num="2" w:equalWidth="0">
            <w:col w:w="5122" w:space="417"/>
            <w:col w:w="4421"/>
          </w:cols>
        </w:sectPr>
      </w:pPr>
    </w:p>
    <w:p>
      <w:pPr>
        <w:pStyle w:val="BodyText"/>
        <w:rPr>
          <w:b/>
          <w:sz w:val="13"/>
        </w:rPr>
      </w:pPr>
    </w:p>
    <w:p>
      <w:pPr>
        <w:pStyle w:val="BodyText"/>
        <w:spacing w:before="91"/>
        <w:ind w:left="1859" w:right="1429" w:hanging="240"/>
      </w:pPr>
      <w:r>
        <w:rPr>
          <w:b/>
        </w:rPr>
        <w:t>NOTE</w:t>
      </w:r>
      <w:r>
        <w:rPr/>
        <w:t>: Three factors will cause actual sample weights to differ from the TNW: Actual sheet count in package</w:t>
      </w:r>
    </w:p>
    <w:p>
      <w:pPr>
        <w:pStyle w:val="BodyText"/>
        <w:ind w:left="2339" w:right="4090"/>
      </w:pPr>
      <w:r>
        <w:rPr/>
        <w:t>Actual basis weight of paper being tested Actual dimensions of the paper being tested</w:t>
      </w:r>
    </w:p>
    <w:p>
      <w:pPr>
        <w:pStyle w:val="BodyText"/>
        <w:spacing w:before="9"/>
        <w:rPr>
          <w:sz w:val="11"/>
        </w:rPr>
      </w:pPr>
    </w:p>
    <w:p>
      <w:pPr>
        <w:pStyle w:val="BodyText"/>
        <w:tabs>
          <w:tab w:pos="2481" w:val="left" w:leader="none"/>
        </w:tabs>
        <w:spacing w:line="188" w:lineRule="exact" w:before="93"/>
        <w:ind w:left="726"/>
        <w:jc w:val="center"/>
        <w:rPr>
          <w:rFonts w:ascii="Cambria Math" w:hAnsi="Cambria Math" w:eastAsia="Cambria Math"/>
        </w:rPr>
      </w:pPr>
      <w:r>
        <w:rPr>
          <w:rFonts w:ascii="Cambria Math" w:hAnsi="Cambria Math" w:eastAsia="Cambria Math"/>
        </w:rPr>
        <w:t>93.5 𝑖𝑖𝑖𝑖</w:t>
      </w:r>
      <w:r>
        <w:rPr>
          <w:rFonts w:ascii="Cambria Math" w:hAnsi="Cambria Math" w:eastAsia="Cambria Math"/>
          <w:vertAlign w:val="superscript"/>
        </w:rPr>
        <w:t>2</w:t>
      </w:r>
      <w:r>
        <w:rPr>
          <w:rFonts w:ascii="Cambria Math" w:hAnsi="Cambria Math" w:eastAsia="Cambria Math"/>
          <w:vertAlign w:val="baseline"/>
        </w:rPr>
        <w:t> ×</w:t>
      </w:r>
      <w:r>
        <w:rPr>
          <w:rFonts w:ascii="Cambria Math" w:hAnsi="Cambria Math" w:eastAsia="Cambria Math"/>
          <w:spacing w:val="-11"/>
          <w:vertAlign w:val="baseline"/>
        </w:rPr>
        <w:t> </w:t>
      </w:r>
      <w:r>
        <w:rPr>
          <w:rFonts w:ascii="Cambria Math" w:hAnsi="Cambria Math" w:eastAsia="Cambria Math"/>
          <w:vertAlign w:val="baseline"/>
        </w:rPr>
        <w:t>20</w:t>
      </w:r>
      <w:r>
        <w:rPr>
          <w:rFonts w:ascii="Cambria Math" w:hAnsi="Cambria Math" w:eastAsia="Cambria Math"/>
          <w:spacing w:val="-19"/>
          <w:vertAlign w:val="baseline"/>
        </w:rPr>
        <w:t> </w:t>
      </w:r>
      <w:r>
        <w:rPr>
          <w:rFonts w:ascii="Cambria Math" w:hAnsi="Cambria Math" w:eastAsia="Cambria Math"/>
          <w:vertAlign w:val="baseline"/>
        </w:rPr>
        <w:t>𝑙𝑙𝑙𝑙</w:t>
        <w:tab/>
        <w:t>500</w:t>
      </w:r>
    </w:p>
    <w:p>
      <w:pPr>
        <w:pStyle w:val="BodyText"/>
        <w:tabs>
          <w:tab w:pos="5824" w:val="left" w:leader="none"/>
        </w:tabs>
        <w:spacing w:line="334" w:lineRule="exact"/>
        <w:ind w:left="4701"/>
        <w:rPr>
          <w:rFonts w:ascii="Cambria Math" w:hAnsi="Cambria Math" w:eastAsia="Cambria Math"/>
        </w:rPr>
      </w:pPr>
      <w:r>
        <w:rPr/>
        <w:pict>
          <v:line style="position:absolute;mso-position-horizontal-relative:page;mso-position-vertical-relative:paragraph;z-index:-98632" from="278.040009pt,4.960901pt" to="352.080009pt,4.960901pt" stroked="true" strokeweight=".6pt" strokecolor="#000000">
            <v:stroke dashstyle="solid"/>
            <w10:wrap type="none"/>
          </v:line>
        </w:pict>
      </w:r>
      <w:r>
        <w:rPr/>
        <w:pict>
          <v:line style="position:absolute;mso-position-horizontal-relative:page;mso-position-vertical-relative:paragraph;z-index:-98608" from="365.76001pt,4.960901pt" to="382.32001pt,4.960901pt" stroked="true" strokeweight=".6pt" strokecolor="#000000">
            <v:stroke dashstyle="solid"/>
            <w10:wrap type="none"/>
          </v:line>
        </w:pict>
      </w:r>
      <w:r>
        <w:rPr>
          <w:rFonts w:ascii="Cambria Math" w:hAnsi="Cambria Math" w:eastAsia="Cambria Math"/>
        </w:rPr>
        <w:t>374</w:t>
      </w:r>
      <w:r>
        <w:rPr>
          <w:rFonts w:ascii="Cambria Math" w:hAnsi="Cambria Math" w:eastAsia="Cambria Math"/>
          <w:spacing w:val="-14"/>
        </w:rPr>
        <w:t> </w:t>
      </w:r>
      <w:r>
        <w:rPr>
          <w:rFonts w:ascii="Cambria Math" w:hAnsi="Cambria Math" w:eastAsia="Cambria Math"/>
        </w:rPr>
        <w:t>𝑖𝑖𝑖𝑖</w:t>
      </w:r>
      <w:r>
        <w:rPr>
          <w:rFonts w:ascii="Cambria Math" w:hAnsi="Cambria Math" w:eastAsia="Cambria Math"/>
          <w:position w:val="6"/>
          <w:sz w:val="14"/>
        </w:rPr>
        <w:t>2</w:t>
        <w:tab/>
      </w:r>
      <w:r>
        <w:rPr>
          <w:rFonts w:ascii="Cambria Math" w:hAnsi="Cambria Math" w:eastAsia="Cambria Math"/>
          <w:position w:val="13"/>
        </w:rPr>
        <w:t>× </w:t>
      </w:r>
      <w:r>
        <w:rPr>
          <w:rFonts w:ascii="Cambria Math" w:hAnsi="Cambria Math" w:eastAsia="Cambria Math"/>
        </w:rPr>
        <w:t>500 </w:t>
      </w:r>
      <w:r>
        <w:rPr>
          <w:rFonts w:ascii="Cambria Math" w:hAnsi="Cambria Math" w:eastAsia="Cambria Math"/>
          <w:position w:val="13"/>
        </w:rPr>
        <w:t>= 5</w:t>
      </w:r>
      <w:r>
        <w:rPr>
          <w:rFonts w:ascii="Cambria Math" w:hAnsi="Cambria Math" w:eastAsia="Cambria Math"/>
          <w:spacing w:val="17"/>
          <w:position w:val="13"/>
        </w:rPr>
        <w:t> </w:t>
      </w:r>
      <w:r>
        <w:rPr>
          <w:rFonts w:ascii="Cambria Math" w:hAnsi="Cambria Math" w:eastAsia="Cambria Math"/>
          <w:position w:val="13"/>
        </w:rPr>
        <w:t>𝑙𝑙𝑙𝑙</w:t>
      </w:r>
    </w:p>
    <w:p>
      <w:pPr>
        <w:pStyle w:val="BodyText"/>
        <w:spacing w:before="2"/>
        <w:rPr>
          <w:rFonts w:ascii="Cambria Math"/>
          <w:sz w:val="19"/>
        </w:rPr>
      </w:pPr>
    </w:p>
    <w:p>
      <w:pPr>
        <w:pStyle w:val="Heading1"/>
        <w:numPr>
          <w:ilvl w:val="4"/>
          <w:numId w:val="17"/>
        </w:numPr>
        <w:tabs>
          <w:tab w:pos="1853" w:val="left" w:leader="none"/>
        </w:tabs>
        <w:spacing w:line="240" w:lineRule="auto" w:before="91" w:after="0"/>
        <w:ind w:left="1852" w:right="0" w:hanging="952"/>
        <w:jc w:val="left"/>
      </w:pPr>
      <w:r>
        <w:rPr/>
        <w:t>Determine Basis</w:t>
      </w:r>
      <w:r>
        <w:rPr>
          <w:spacing w:val="1"/>
        </w:rPr>
        <w:t> </w:t>
      </w:r>
      <w:r>
        <w:rPr/>
        <w:t>Weight.</w:t>
      </w:r>
    </w:p>
    <w:p>
      <w:pPr>
        <w:pStyle w:val="BodyText"/>
        <w:spacing w:before="4"/>
        <w:rPr>
          <w:b/>
          <w:sz w:val="31"/>
        </w:rPr>
      </w:pPr>
    </w:p>
    <w:p>
      <w:pPr>
        <w:pStyle w:val="BodyText"/>
        <w:ind w:left="899" w:right="416"/>
        <w:jc w:val="both"/>
      </w:pPr>
      <w:r>
        <w:rPr/>
        <w:t>This procedure is used to identify potentially violative packages. If the Average Basis Weight (ABW) for the sample determined by this procedure is not equal to or greater than the labeled basis weight, other steps must</w:t>
      </w:r>
      <w:r>
        <w:rPr>
          <w:spacing w:val="-13"/>
        </w:rPr>
        <w:t> </w:t>
      </w:r>
      <w:r>
        <w:rPr/>
        <w:t>be</w:t>
      </w:r>
      <w:r>
        <w:rPr>
          <w:spacing w:val="-12"/>
        </w:rPr>
        <w:t> </w:t>
      </w:r>
      <w:r>
        <w:rPr/>
        <w:t>taken.</w:t>
      </w:r>
      <w:r>
        <w:rPr>
          <w:spacing w:val="26"/>
        </w:rPr>
        <w:t> </w:t>
      </w:r>
      <w:r>
        <w:rPr/>
        <w:t>Moisture</w:t>
      </w:r>
      <w:r>
        <w:rPr>
          <w:spacing w:val="-12"/>
        </w:rPr>
        <w:t> </w:t>
      </w:r>
      <w:r>
        <w:rPr/>
        <w:t>affects</w:t>
      </w:r>
      <w:r>
        <w:rPr>
          <w:spacing w:val="-12"/>
        </w:rPr>
        <w:t> </w:t>
      </w:r>
      <w:r>
        <w:rPr/>
        <w:t>the</w:t>
      </w:r>
      <w:r>
        <w:rPr>
          <w:spacing w:val="-10"/>
        </w:rPr>
        <w:t> </w:t>
      </w:r>
      <w:r>
        <w:rPr/>
        <w:t>weight</w:t>
      </w:r>
      <w:r>
        <w:rPr>
          <w:spacing w:val="-13"/>
        </w:rPr>
        <w:t> </w:t>
      </w:r>
      <w:r>
        <w:rPr/>
        <w:t>of</w:t>
      </w:r>
      <w:r>
        <w:rPr>
          <w:spacing w:val="-14"/>
        </w:rPr>
        <w:t> </w:t>
      </w:r>
      <w:r>
        <w:rPr/>
        <w:t>paper,</w:t>
      </w:r>
      <w:r>
        <w:rPr>
          <w:spacing w:val="-12"/>
        </w:rPr>
        <w:t> </w:t>
      </w:r>
      <w:r>
        <w:rPr/>
        <w:t>but</w:t>
      </w:r>
      <w:r>
        <w:rPr>
          <w:spacing w:val="-13"/>
        </w:rPr>
        <w:t> </w:t>
      </w:r>
      <w:r>
        <w:rPr/>
        <w:t>the</w:t>
      </w:r>
      <w:r>
        <w:rPr>
          <w:spacing w:val="-14"/>
        </w:rPr>
        <w:t> </w:t>
      </w:r>
      <w:r>
        <w:rPr/>
        <w:t>moisture</w:t>
      </w:r>
      <w:r>
        <w:rPr>
          <w:spacing w:val="-12"/>
        </w:rPr>
        <w:t> </w:t>
      </w:r>
      <w:r>
        <w:rPr/>
        <w:t>content</w:t>
      </w:r>
      <w:r>
        <w:rPr>
          <w:spacing w:val="-13"/>
        </w:rPr>
        <w:t> </w:t>
      </w:r>
      <w:r>
        <w:rPr/>
        <w:t>of</w:t>
      </w:r>
      <w:r>
        <w:rPr>
          <w:spacing w:val="-14"/>
        </w:rPr>
        <w:t> </w:t>
      </w:r>
      <w:r>
        <w:rPr/>
        <w:t>paper</w:t>
      </w:r>
      <w:r>
        <w:rPr>
          <w:spacing w:val="-11"/>
        </w:rPr>
        <w:t> </w:t>
      </w:r>
      <w:r>
        <w:rPr/>
        <w:t>can</w:t>
      </w:r>
      <w:r>
        <w:rPr>
          <w:spacing w:val="-14"/>
        </w:rPr>
        <w:t> </w:t>
      </w:r>
      <w:r>
        <w:rPr/>
        <w:t>only</w:t>
      </w:r>
      <w:r>
        <w:rPr>
          <w:spacing w:val="-16"/>
        </w:rPr>
        <w:t> </w:t>
      </w:r>
      <w:r>
        <w:rPr/>
        <w:t>be</w:t>
      </w:r>
      <w:r>
        <w:rPr>
          <w:spacing w:val="-12"/>
        </w:rPr>
        <w:t> </w:t>
      </w:r>
      <w:r>
        <w:rPr/>
        <w:t>determined in</w:t>
      </w:r>
      <w:r>
        <w:rPr>
          <w:spacing w:val="-7"/>
        </w:rPr>
        <w:t> </w:t>
      </w:r>
      <w:r>
        <w:rPr/>
        <w:t>a</w:t>
      </w:r>
      <w:r>
        <w:rPr>
          <w:spacing w:val="-3"/>
        </w:rPr>
        <w:t> </w:t>
      </w:r>
      <w:r>
        <w:rPr/>
        <w:t>measurement</w:t>
      </w:r>
      <w:r>
        <w:rPr>
          <w:spacing w:val="-6"/>
        </w:rPr>
        <w:t> </w:t>
      </w:r>
      <w:r>
        <w:rPr/>
        <w:t>laboratory</w:t>
      </w:r>
      <w:r>
        <w:rPr>
          <w:spacing w:val="-9"/>
        </w:rPr>
        <w:t> </w:t>
      </w:r>
      <w:r>
        <w:rPr/>
        <w:t>according</w:t>
      </w:r>
      <w:r>
        <w:rPr>
          <w:spacing w:val="-6"/>
        </w:rPr>
        <w:t> </w:t>
      </w:r>
      <w:r>
        <w:rPr/>
        <w:t>to</w:t>
      </w:r>
      <w:r>
        <w:rPr>
          <w:spacing w:val="-4"/>
        </w:rPr>
        <w:t> </w:t>
      </w:r>
      <w:r>
        <w:rPr/>
        <w:t>the</w:t>
      </w:r>
      <w:r>
        <w:rPr>
          <w:spacing w:val="-5"/>
        </w:rPr>
        <w:t> </w:t>
      </w:r>
      <w:r>
        <w:rPr/>
        <w:t>Technical</w:t>
      </w:r>
      <w:r>
        <w:rPr>
          <w:spacing w:val="-3"/>
        </w:rPr>
        <w:t> </w:t>
      </w:r>
      <w:r>
        <w:rPr/>
        <w:t>Association</w:t>
      </w:r>
      <w:r>
        <w:rPr>
          <w:spacing w:val="-7"/>
        </w:rPr>
        <w:t> </w:t>
      </w:r>
      <w:r>
        <w:rPr/>
        <w:t>of</w:t>
      </w:r>
      <w:r>
        <w:rPr>
          <w:spacing w:val="-6"/>
        </w:rPr>
        <w:t> </w:t>
      </w:r>
      <w:r>
        <w:rPr/>
        <w:t>the</w:t>
      </w:r>
      <w:r>
        <w:rPr>
          <w:spacing w:val="-5"/>
        </w:rPr>
        <w:t> </w:t>
      </w:r>
      <w:r>
        <w:rPr/>
        <w:t>Pulp</w:t>
      </w:r>
      <w:r>
        <w:rPr>
          <w:spacing w:val="-4"/>
        </w:rPr>
        <w:t> </w:t>
      </w:r>
      <w:r>
        <w:rPr/>
        <w:t>and</w:t>
      </w:r>
      <w:r>
        <w:rPr>
          <w:spacing w:val="-4"/>
        </w:rPr>
        <w:t> </w:t>
      </w:r>
      <w:r>
        <w:rPr/>
        <w:t>Paper</w:t>
      </w:r>
      <w:r>
        <w:rPr>
          <w:spacing w:val="-7"/>
        </w:rPr>
        <w:t> </w:t>
      </w:r>
      <w:r>
        <w:rPr/>
        <w:t>Industry</w:t>
      </w:r>
      <w:r>
        <w:rPr>
          <w:spacing w:val="-8"/>
        </w:rPr>
        <w:t> </w:t>
      </w:r>
      <w:r>
        <w:rPr/>
        <w:t>(TAPPI) (</w:t>
      </w:r>
      <w:hyperlink r:id="rId43">
        <w:r>
          <w:rPr>
            <w:b/>
          </w:rPr>
          <w:t>www.tappi.org/</w:t>
        </w:r>
      </w:hyperlink>
      <w:r>
        <w:rPr/>
        <w:t>) TAPPI – T410 om-08, “Grammage of Paper and Paperboard (Weight per Unit</w:t>
      </w:r>
      <w:r>
        <w:rPr>
          <w:spacing w:val="-28"/>
        </w:rPr>
        <w:t> </w:t>
      </w:r>
      <w:r>
        <w:rPr/>
        <w:t>Area).”</w:t>
      </w:r>
    </w:p>
    <w:p>
      <w:pPr>
        <w:pStyle w:val="BodyText"/>
        <w:spacing w:before="10"/>
      </w:pPr>
    </w:p>
    <w:p>
      <w:pPr>
        <w:pStyle w:val="ListParagraph"/>
        <w:numPr>
          <w:ilvl w:val="5"/>
          <w:numId w:val="17"/>
        </w:numPr>
        <w:tabs>
          <w:tab w:pos="1619" w:val="left" w:leader="none"/>
          <w:tab w:pos="1620" w:val="left" w:leader="none"/>
        </w:tabs>
        <w:spacing w:line="240" w:lineRule="auto" w:before="0" w:after="0"/>
        <w:ind w:left="1619" w:right="0" w:hanging="360"/>
        <w:jc w:val="left"/>
        <w:rPr>
          <w:sz w:val="20"/>
        </w:rPr>
      </w:pPr>
      <w:r>
        <w:rPr>
          <w:sz w:val="20"/>
        </w:rPr>
        <w:t>Verify the basis weight for each package according to the following</w:t>
      </w:r>
      <w:r>
        <w:rPr>
          <w:spacing w:val="-5"/>
          <w:sz w:val="20"/>
        </w:rPr>
        <w:t> </w:t>
      </w:r>
      <w:r>
        <w:rPr>
          <w:sz w:val="20"/>
        </w:rPr>
        <w:t>steps:</w:t>
      </w:r>
    </w:p>
    <w:p>
      <w:pPr>
        <w:pStyle w:val="BodyText"/>
        <w:spacing w:before="10"/>
      </w:pPr>
    </w:p>
    <w:p>
      <w:pPr>
        <w:pStyle w:val="ListParagraph"/>
        <w:numPr>
          <w:ilvl w:val="0"/>
          <w:numId w:val="18"/>
        </w:numPr>
        <w:tabs>
          <w:tab w:pos="1979" w:val="left" w:leader="none"/>
          <w:tab w:pos="1980" w:val="left" w:leader="none"/>
        </w:tabs>
        <w:spacing w:line="240" w:lineRule="auto" w:before="0" w:after="0"/>
        <w:ind w:left="1979" w:right="414" w:hanging="374"/>
        <w:jc w:val="left"/>
        <w:rPr>
          <w:sz w:val="20"/>
        </w:rPr>
      </w:pPr>
      <w:r>
        <w:rPr>
          <w:sz w:val="20"/>
        </w:rPr>
        <w:t>Identify the paper type from Column 1 in Table 1 and record the area for the paper type from Column</w:t>
      </w:r>
      <w:r>
        <w:rPr>
          <w:spacing w:val="-2"/>
          <w:sz w:val="20"/>
        </w:rPr>
        <w:t> </w:t>
      </w:r>
      <w:r>
        <w:rPr>
          <w:sz w:val="20"/>
        </w:rPr>
        <w:t>2.</w:t>
      </w:r>
    </w:p>
    <w:p>
      <w:pPr>
        <w:pStyle w:val="BodyText"/>
        <w:spacing w:before="8"/>
      </w:pPr>
    </w:p>
    <w:p>
      <w:pPr>
        <w:pStyle w:val="ListParagraph"/>
        <w:numPr>
          <w:ilvl w:val="0"/>
          <w:numId w:val="18"/>
        </w:numPr>
        <w:tabs>
          <w:tab w:pos="1979" w:val="left" w:leader="none"/>
          <w:tab w:pos="1980" w:val="left" w:leader="none"/>
        </w:tabs>
        <w:spacing w:line="240" w:lineRule="auto" w:before="1" w:after="0"/>
        <w:ind w:left="1979" w:right="420" w:hanging="432"/>
        <w:jc w:val="left"/>
        <w:rPr>
          <w:sz w:val="20"/>
        </w:rPr>
      </w:pPr>
      <w:r>
        <w:rPr>
          <w:sz w:val="20"/>
        </w:rPr>
        <w:t>Select a sample of paper from each of the tare sample packages. Use a sample of exact count to eliminate the possibility that the packages are short</w:t>
      </w:r>
      <w:r>
        <w:rPr>
          <w:spacing w:val="-6"/>
          <w:sz w:val="20"/>
        </w:rPr>
        <w:t> </w:t>
      </w:r>
      <w:r>
        <w:rPr>
          <w:sz w:val="20"/>
        </w:rPr>
        <w:t>count.</w:t>
      </w:r>
    </w:p>
    <w:p>
      <w:pPr>
        <w:pStyle w:val="BodyText"/>
        <w:spacing w:before="10"/>
      </w:pPr>
    </w:p>
    <w:p>
      <w:pPr>
        <w:pStyle w:val="ListParagraph"/>
        <w:numPr>
          <w:ilvl w:val="1"/>
          <w:numId w:val="18"/>
        </w:numPr>
        <w:tabs>
          <w:tab w:pos="2339" w:val="left" w:leader="none"/>
          <w:tab w:pos="2340" w:val="left" w:leader="none"/>
        </w:tabs>
        <w:spacing w:line="240" w:lineRule="auto" w:before="1" w:after="0"/>
        <w:ind w:left="2339" w:right="0" w:hanging="360"/>
        <w:jc w:val="left"/>
        <w:rPr>
          <w:sz w:val="20"/>
        </w:rPr>
      </w:pPr>
      <w:r>
        <w:rPr>
          <w:sz w:val="20"/>
        </w:rPr>
        <w:t>For packages with more than 100 sheets, use 100 sheets;</w:t>
      </w:r>
      <w:r>
        <w:rPr>
          <w:spacing w:val="3"/>
          <w:sz w:val="20"/>
        </w:rPr>
        <w:t> </w:t>
      </w:r>
      <w:r>
        <w:rPr>
          <w:sz w:val="20"/>
        </w:rPr>
        <w:t>or</w:t>
      </w:r>
    </w:p>
    <w:p>
      <w:pPr>
        <w:pStyle w:val="ListParagraph"/>
        <w:numPr>
          <w:ilvl w:val="1"/>
          <w:numId w:val="18"/>
        </w:numPr>
        <w:tabs>
          <w:tab w:pos="2339" w:val="left" w:leader="none"/>
          <w:tab w:pos="2340" w:val="left" w:leader="none"/>
        </w:tabs>
        <w:spacing w:line="240" w:lineRule="auto" w:before="0" w:after="0"/>
        <w:ind w:left="2339" w:right="0" w:hanging="360"/>
        <w:jc w:val="left"/>
        <w:rPr>
          <w:sz w:val="20"/>
        </w:rPr>
      </w:pPr>
      <w:r>
        <w:rPr>
          <w:sz w:val="20"/>
        </w:rPr>
        <w:t>For packages with 100 sheets or less, verify the sheet count and use all of the</w:t>
      </w:r>
      <w:r>
        <w:rPr>
          <w:spacing w:val="-14"/>
          <w:sz w:val="20"/>
        </w:rPr>
        <w:t> </w:t>
      </w:r>
      <w:r>
        <w:rPr>
          <w:sz w:val="20"/>
        </w:rPr>
        <w:t>sheets.</w:t>
      </w:r>
    </w:p>
    <w:p>
      <w:pPr>
        <w:spacing w:after="0" w:line="240" w:lineRule="auto"/>
        <w:jc w:val="left"/>
        <w:rPr>
          <w:sz w:val="20"/>
        </w:rPr>
        <w:sectPr>
          <w:type w:val="continuous"/>
          <w:pgSz w:w="12240" w:h="15840"/>
          <w:pgMar w:top="1340" w:bottom="940" w:left="1260" w:right="1020"/>
        </w:sectPr>
      </w:pPr>
    </w:p>
    <w:p>
      <w:pPr>
        <w:pStyle w:val="BodyText"/>
        <w:spacing w:before="1"/>
        <w:rPr>
          <w:sz w:val="17"/>
        </w:rPr>
      </w:pPr>
    </w:p>
    <w:p>
      <w:pPr>
        <w:pStyle w:val="ListParagraph"/>
        <w:numPr>
          <w:ilvl w:val="0"/>
          <w:numId w:val="18"/>
        </w:numPr>
        <w:tabs>
          <w:tab w:pos="1979" w:val="left" w:leader="none"/>
          <w:tab w:pos="1980" w:val="left" w:leader="none"/>
        </w:tabs>
        <w:spacing w:line="240" w:lineRule="auto" w:before="91" w:after="0"/>
        <w:ind w:left="1979" w:right="421" w:hanging="489"/>
        <w:jc w:val="left"/>
        <w:rPr>
          <w:sz w:val="20"/>
        </w:rPr>
      </w:pPr>
      <w:r>
        <w:rPr>
          <w:sz w:val="20"/>
        </w:rPr>
        <w:t>Use a basis weight work sheet and determine the number of basic size sheets the paper sample represents with the following</w:t>
      </w:r>
      <w:r>
        <w:rPr>
          <w:spacing w:val="3"/>
          <w:sz w:val="20"/>
        </w:rPr>
        <w:t> </w:t>
      </w:r>
      <w:r>
        <w:rPr>
          <w:sz w:val="20"/>
        </w:rPr>
        <w:t>formula:</w:t>
      </w:r>
    </w:p>
    <w:p>
      <w:pPr>
        <w:pStyle w:val="BodyText"/>
        <w:spacing w:before="1"/>
        <w:rPr>
          <w:sz w:val="23"/>
        </w:rPr>
      </w:pPr>
    </w:p>
    <w:p>
      <w:pPr>
        <w:spacing w:after="0"/>
        <w:rPr>
          <w:sz w:val="23"/>
        </w:rPr>
        <w:sectPr>
          <w:pgSz w:w="12240" w:h="15840"/>
          <w:pgMar w:header="730" w:footer="740" w:top="1340" w:bottom="940" w:left="1260" w:right="1020"/>
        </w:sectPr>
      </w:pPr>
    </w:p>
    <w:p>
      <w:pPr>
        <w:pStyle w:val="BodyText"/>
        <w:rPr>
          <w:sz w:val="22"/>
        </w:rPr>
      </w:pPr>
    </w:p>
    <w:p>
      <w:pPr>
        <w:pStyle w:val="BodyText"/>
        <w:rPr>
          <w:sz w:val="22"/>
        </w:rPr>
      </w:pPr>
    </w:p>
    <w:p>
      <w:pPr>
        <w:pStyle w:val="BodyText"/>
        <w:spacing w:before="2"/>
        <w:rPr>
          <w:sz w:val="24"/>
        </w:rPr>
      </w:pPr>
    </w:p>
    <w:p>
      <w:pPr>
        <w:pStyle w:val="BodyText"/>
        <w:ind w:right="38"/>
        <w:jc w:val="right"/>
      </w:pPr>
      <w:r>
        <w:rPr/>
        <w:t>Where:</w:t>
      </w:r>
    </w:p>
    <w:p>
      <w:pPr>
        <w:pStyle w:val="BodyText"/>
        <w:spacing w:before="65"/>
        <w:jc w:val="right"/>
        <w:rPr>
          <w:rFonts w:ascii="Cambria Math" w:eastAsia="Cambria Math"/>
        </w:rPr>
      </w:pPr>
      <w:r>
        <w:rPr/>
        <w:br w:type="column"/>
      </w:r>
      <w:r>
        <w:rPr>
          <w:rFonts w:ascii="Cambria Math" w:eastAsia="Cambria Math"/>
          <w:spacing w:val="-3"/>
          <w:w w:val="50"/>
        </w:rPr>
        <w:t>𝑃𝑃𝑃𝑃</w:t>
      </w:r>
    </w:p>
    <w:p>
      <w:pPr>
        <w:pStyle w:val="BodyText"/>
        <w:rPr>
          <w:rFonts w:ascii="Cambria Math"/>
          <w:sz w:val="4"/>
        </w:rPr>
      </w:pPr>
    </w:p>
    <w:p>
      <w:pPr>
        <w:pStyle w:val="BodyText"/>
        <w:spacing w:line="20" w:lineRule="exact"/>
        <w:ind w:left="1974" w:right="-72"/>
        <w:rPr>
          <w:rFonts w:ascii="Cambria Math"/>
          <w:sz w:val="2"/>
        </w:rPr>
      </w:pPr>
      <w:r>
        <w:rPr>
          <w:rFonts w:ascii="Cambria Math"/>
          <w:sz w:val="2"/>
        </w:rPr>
        <w:pict>
          <v:group style="width:12.6pt;height:.6pt;mso-position-horizontal-relative:char;mso-position-vertical-relative:line" coordorigin="0,0" coordsize="252,12">
            <v:line style="position:absolute" from="0,6" to="252,6" stroked="true" strokeweight=".599pt" strokecolor="#000000">
              <v:stroke dashstyle="solid"/>
            </v:line>
          </v:group>
        </w:pict>
      </w:r>
      <w:r>
        <w:rPr>
          <w:rFonts w:ascii="Cambria Math"/>
          <w:sz w:val="2"/>
        </w:rPr>
      </w:r>
    </w:p>
    <w:p>
      <w:pPr>
        <w:pStyle w:val="BodyText"/>
        <w:ind w:right="59"/>
        <w:jc w:val="right"/>
        <w:rPr>
          <w:rFonts w:ascii="Cambria Math" w:eastAsia="Cambria Math"/>
        </w:rPr>
      </w:pPr>
      <w:r>
        <w:rPr>
          <w:rFonts w:ascii="Cambria Math" w:eastAsia="Cambria Math"/>
          <w:w w:val="50"/>
        </w:rPr>
        <w:t>𝑃𝑃</w:t>
      </w:r>
    </w:p>
    <w:p>
      <w:pPr>
        <w:pStyle w:val="BodyText"/>
        <w:spacing w:before="8"/>
        <w:rPr>
          <w:rFonts w:ascii="Cambria Math"/>
          <w:sz w:val="18"/>
        </w:rPr>
      </w:pPr>
      <w:r>
        <w:rPr/>
        <w:br w:type="column"/>
      </w:r>
      <w:r>
        <w:rPr>
          <w:rFonts w:ascii="Cambria Math"/>
          <w:sz w:val="18"/>
        </w:rPr>
      </w:r>
    </w:p>
    <w:p>
      <w:pPr>
        <w:pStyle w:val="BodyText"/>
        <w:ind w:left="10"/>
        <w:rPr>
          <w:rFonts w:ascii="Cambria Math" w:hAnsi="Cambria Math" w:eastAsia="Cambria Math"/>
        </w:rPr>
      </w:pPr>
      <w:r>
        <w:rPr>
          <w:rFonts w:ascii="Cambria Math" w:hAnsi="Cambria Math" w:eastAsia="Cambria Math"/>
          <w:w w:val="85"/>
        </w:rPr>
        <w:t>× </w:t>
      </w:r>
      <w:r>
        <w:rPr>
          <w:rFonts w:ascii="Cambria Math" w:hAnsi="Cambria Math" w:eastAsia="Cambria Math"/>
          <w:w w:val="80"/>
        </w:rPr>
        <w:t>𝐸𝐸𝑆𝑆 </w:t>
      </w:r>
      <w:r>
        <w:rPr>
          <w:rFonts w:ascii="Cambria Math" w:hAnsi="Cambria Math" w:eastAsia="Cambria Math"/>
          <w:w w:val="85"/>
        </w:rPr>
        <w:t>= </w:t>
      </w:r>
      <w:r>
        <w:rPr>
          <w:rFonts w:ascii="Cambria Math" w:hAnsi="Cambria Math" w:eastAsia="Cambria Math"/>
          <w:w w:val="80"/>
        </w:rPr>
        <w:t>𝐸𝐸𝐸𝐸𝐸𝐸𝑆𝑆𝑆𝑆</w:t>
      </w:r>
    </w:p>
    <w:p>
      <w:pPr>
        <w:spacing w:after="0"/>
        <w:rPr>
          <w:rFonts w:ascii="Cambria Math" w:hAnsi="Cambria Math" w:eastAsia="Cambria Math"/>
        </w:rPr>
        <w:sectPr>
          <w:type w:val="continuous"/>
          <w:pgSz w:w="12240" w:h="15840"/>
          <w:pgMar w:top="1340" w:bottom="940" w:left="1260" w:right="1020"/>
          <w:cols w:num="3" w:equalWidth="0">
            <w:col w:w="2609" w:space="340"/>
            <w:col w:w="2228" w:space="40"/>
            <w:col w:w="4743"/>
          </w:cols>
        </w:sectPr>
      </w:pPr>
    </w:p>
    <w:p>
      <w:pPr>
        <w:pStyle w:val="BodyText"/>
        <w:tabs>
          <w:tab w:pos="3059" w:val="left" w:leader="none"/>
          <w:tab w:pos="3779" w:val="left" w:leader="none"/>
        </w:tabs>
        <w:spacing w:before="1"/>
        <w:ind w:left="1979" w:right="3251"/>
      </w:pPr>
      <w:r>
        <w:rPr/>
        <w:t>A</w:t>
        <w:tab/>
        <w:t>=</w:t>
        <w:tab/>
        <w:t>area of basic sheet size from Table 1 PA</w:t>
        <w:tab/>
        <w:t>=</w:t>
        <w:tab/>
        <w:t>area (l × </w:t>
      </w:r>
      <w:r>
        <w:rPr>
          <w:spacing w:val="-3"/>
        </w:rPr>
        <w:t>w) </w:t>
      </w:r>
      <w:r>
        <w:rPr/>
        <w:t>of one sheet of paper EC</w:t>
        <w:tab/>
        <w:t>=</w:t>
        <w:tab/>
        <w:t>exact sheet count of</w:t>
      </w:r>
      <w:r>
        <w:rPr>
          <w:spacing w:val="-5"/>
        </w:rPr>
        <w:t> </w:t>
      </w:r>
      <w:r>
        <w:rPr/>
        <w:t>sample</w:t>
      </w:r>
    </w:p>
    <w:p>
      <w:pPr>
        <w:pStyle w:val="BodyText"/>
        <w:tabs>
          <w:tab w:pos="3059" w:val="left" w:leader="none"/>
          <w:tab w:pos="3779" w:val="left" w:leader="none"/>
        </w:tabs>
        <w:spacing w:line="229" w:lineRule="exact"/>
        <w:ind w:left="1979"/>
      </w:pPr>
      <w:r>
        <w:rPr/>
        <w:t>ENBSS</w:t>
        <w:tab/>
        <w:t>=</w:t>
        <w:tab/>
        <w:t>equivalent number of basic size</w:t>
      </w:r>
      <w:r>
        <w:rPr>
          <w:spacing w:val="-1"/>
        </w:rPr>
        <w:t> </w:t>
      </w:r>
      <w:r>
        <w:rPr/>
        <w:t>sheets</w:t>
      </w:r>
    </w:p>
    <w:p>
      <w:pPr>
        <w:pStyle w:val="BodyText"/>
        <w:spacing w:before="10"/>
      </w:pPr>
    </w:p>
    <w:p>
      <w:pPr>
        <w:pStyle w:val="ListParagraph"/>
        <w:numPr>
          <w:ilvl w:val="0"/>
          <w:numId w:val="18"/>
        </w:numPr>
        <w:tabs>
          <w:tab w:pos="1979" w:val="left" w:leader="none"/>
          <w:tab w:pos="1980" w:val="left" w:leader="none"/>
        </w:tabs>
        <w:spacing w:line="240" w:lineRule="auto" w:before="0" w:after="0"/>
        <w:ind w:left="1979" w:right="0" w:hanging="475"/>
        <w:jc w:val="left"/>
        <w:rPr>
          <w:sz w:val="20"/>
        </w:rPr>
      </w:pPr>
      <w:r>
        <w:rPr>
          <w:sz w:val="20"/>
        </w:rPr>
        <w:t>Determine the average basis</w:t>
      </w:r>
      <w:r>
        <w:rPr>
          <w:spacing w:val="1"/>
          <w:sz w:val="20"/>
        </w:rPr>
        <w:t> </w:t>
      </w:r>
      <w:r>
        <w:rPr>
          <w:sz w:val="20"/>
        </w:rPr>
        <w:t>weight,</w:t>
      </w:r>
    </w:p>
    <w:p>
      <w:pPr>
        <w:pStyle w:val="BodyText"/>
        <w:spacing w:before="8"/>
        <w:rPr>
          <w:sz w:val="21"/>
        </w:rPr>
      </w:pPr>
    </w:p>
    <w:tbl>
      <w:tblPr>
        <w:tblW w:w="0" w:type="auto"/>
        <w:jc w:val="left"/>
        <w:tblInd w:w="1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1"/>
        <w:gridCol w:w="646"/>
        <w:gridCol w:w="4450"/>
      </w:tblGrid>
      <w:tr>
        <w:trPr>
          <w:trHeight w:val="225" w:hRule="atLeast"/>
        </w:trPr>
        <w:tc>
          <w:tcPr>
            <w:tcW w:w="901" w:type="dxa"/>
          </w:tcPr>
          <w:p>
            <w:pPr>
              <w:pStyle w:val="TableParagraph"/>
              <w:spacing w:line="206" w:lineRule="exact" w:before="0"/>
              <w:ind w:left="50"/>
              <w:rPr>
                <w:sz w:val="20"/>
              </w:rPr>
            </w:pPr>
            <w:r>
              <w:rPr>
                <w:sz w:val="20"/>
              </w:rPr>
              <w:t>Where:</w:t>
            </w:r>
          </w:p>
        </w:tc>
        <w:tc>
          <w:tcPr>
            <w:tcW w:w="5096" w:type="dxa"/>
            <w:gridSpan w:val="2"/>
          </w:tcPr>
          <w:p>
            <w:pPr>
              <w:pStyle w:val="TableParagraph"/>
              <w:spacing w:before="0"/>
              <w:rPr>
                <w:sz w:val="16"/>
              </w:rPr>
            </w:pPr>
          </w:p>
        </w:tc>
      </w:tr>
      <w:tr>
        <w:trPr>
          <w:trHeight w:val="230" w:hRule="atLeast"/>
        </w:trPr>
        <w:tc>
          <w:tcPr>
            <w:tcW w:w="901" w:type="dxa"/>
          </w:tcPr>
          <w:p>
            <w:pPr>
              <w:pStyle w:val="TableParagraph"/>
              <w:spacing w:line="210" w:lineRule="exact" w:before="0"/>
              <w:ind w:left="50"/>
              <w:rPr>
                <w:sz w:val="20"/>
              </w:rPr>
            </w:pPr>
            <w:r>
              <w:rPr>
                <w:sz w:val="20"/>
              </w:rPr>
              <w:t>BW</w:t>
            </w:r>
          </w:p>
        </w:tc>
        <w:tc>
          <w:tcPr>
            <w:tcW w:w="646" w:type="dxa"/>
          </w:tcPr>
          <w:p>
            <w:pPr>
              <w:pStyle w:val="TableParagraph"/>
              <w:spacing w:line="210" w:lineRule="exact" w:before="0"/>
              <w:ind w:left="229"/>
              <w:rPr>
                <w:sz w:val="20"/>
              </w:rPr>
            </w:pPr>
            <w:r>
              <w:rPr>
                <w:w w:val="99"/>
                <w:sz w:val="20"/>
              </w:rPr>
              <w:t>=</w:t>
            </w:r>
          </w:p>
        </w:tc>
        <w:tc>
          <w:tcPr>
            <w:tcW w:w="4450" w:type="dxa"/>
          </w:tcPr>
          <w:p>
            <w:pPr>
              <w:pStyle w:val="TableParagraph"/>
              <w:spacing w:line="210" w:lineRule="exact" w:before="0"/>
              <w:ind w:left="303"/>
              <w:rPr>
                <w:sz w:val="20"/>
              </w:rPr>
            </w:pPr>
            <w:r>
              <w:rPr>
                <w:sz w:val="20"/>
              </w:rPr>
              <w:t>basis weight for each package</w:t>
            </w:r>
          </w:p>
        </w:tc>
      </w:tr>
      <w:tr>
        <w:trPr>
          <w:trHeight w:val="229" w:hRule="atLeast"/>
        </w:trPr>
        <w:tc>
          <w:tcPr>
            <w:tcW w:w="901" w:type="dxa"/>
          </w:tcPr>
          <w:p>
            <w:pPr>
              <w:pStyle w:val="TableParagraph"/>
              <w:spacing w:line="209" w:lineRule="exact" w:before="0"/>
              <w:ind w:left="50"/>
              <w:rPr>
                <w:sz w:val="20"/>
              </w:rPr>
            </w:pPr>
            <w:r>
              <w:rPr>
                <w:sz w:val="20"/>
              </w:rPr>
              <w:t>ABW</w:t>
            </w:r>
          </w:p>
        </w:tc>
        <w:tc>
          <w:tcPr>
            <w:tcW w:w="646" w:type="dxa"/>
          </w:tcPr>
          <w:p>
            <w:pPr>
              <w:pStyle w:val="TableParagraph"/>
              <w:spacing w:line="209" w:lineRule="exact" w:before="0"/>
              <w:ind w:left="229"/>
              <w:rPr>
                <w:sz w:val="20"/>
              </w:rPr>
            </w:pPr>
            <w:r>
              <w:rPr>
                <w:w w:val="99"/>
                <w:sz w:val="20"/>
              </w:rPr>
              <w:t>=</w:t>
            </w:r>
          </w:p>
        </w:tc>
        <w:tc>
          <w:tcPr>
            <w:tcW w:w="4450" w:type="dxa"/>
          </w:tcPr>
          <w:p>
            <w:pPr>
              <w:pStyle w:val="TableParagraph"/>
              <w:spacing w:line="209" w:lineRule="exact" w:before="0"/>
              <w:ind w:left="303"/>
              <w:rPr>
                <w:sz w:val="20"/>
              </w:rPr>
            </w:pPr>
            <w:r>
              <w:rPr>
                <w:sz w:val="20"/>
              </w:rPr>
              <w:t>average basis weight</w:t>
            </w:r>
          </w:p>
        </w:tc>
      </w:tr>
      <w:tr>
        <w:trPr>
          <w:trHeight w:val="229" w:hRule="atLeast"/>
        </w:trPr>
        <w:tc>
          <w:tcPr>
            <w:tcW w:w="901" w:type="dxa"/>
          </w:tcPr>
          <w:p>
            <w:pPr>
              <w:pStyle w:val="TableParagraph"/>
              <w:spacing w:line="209" w:lineRule="exact" w:before="0"/>
              <w:ind w:left="50"/>
              <w:rPr>
                <w:sz w:val="20"/>
              </w:rPr>
            </w:pPr>
            <w:r>
              <w:rPr>
                <w:sz w:val="20"/>
              </w:rPr>
              <w:t>ENBSS</w:t>
            </w:r>
          </w:p>
        </w:tc>
        <w:tc>
          <w:tcPr>
            <w:tcW w:w="646" w:type="dxa"/>
          </w:tcPr>
          <w:p>
            <w:pPr>
              <w:pStyle w:val="TableParagraph"/>
              <w:spacing w:line="209" w:lineRule="exact" w:before="0"/>
              <w:ind w:left="229"/>
              <w:rPr>
                <w:sz w:val="20"/>
              </w:rPr>
            </w:pPr>
            <w:r>
              <w:rPr>
                <w:w w:val="99"/>
                <w:sz w:val="20"/>
              </w:rPr>
              <w:t>=</w:t>
            </w:r>
          </w:p>
        </w:tc>
        <w:tc>
          <w:tcPr>
            <w:tcW w:w="4450" w:type="dxa"/>
          </w:tcPr>
          <w:p>
            <w:pPr>
              <w:pStyle w:val="TableParagraph"/>
              <w:spacing w:line="209" w:lineRule="exact" w:before="0"/>
              <w:ind w:left="302"/>
              <w:rPr>
                <w:sz w:val="20"/>
              </w:rPr>
            </w:pPr>
            <w:r>
              <w:rPr>
                <w:sz w:val="20"/>
              </w:rPr>
              <w:t>equivalent number of basic size sheets from step iii</w:t>
            </w:r>
          </w:p>
        </w:tc>
      </w:tr>
      <w:tr>
        <w:trPr>
          <w:trHeight w:val="230" w:hRule="atLeast"/>
        </w:trPr>
        <w:tc>
          <w:tcPr>
            <w:tcW w:w="901" w:type="dxa"/>
          </w:tcPr>
          <w:p>
            <w:pPr>
              <w:pStyle w:val="TableParagraph"/>
              <w:spacing w:line="210" w:lineRule="exact" w:before="0"/>
              <w:ind w:left="50"/>
              <w:rPr>
                <w:sz w:val="20"/>
              </w:rPr>
            </w:pPr>
            <w:r>
              <w:rPr>
                <w:sz w:val="20"/>
              </w:rPr>
              <w:t>NW</w:t>
            </w:r>
          </w:p>
        </w:tc>
        <w:tc>
          <w:tcPr>
            <w:tcW w:w="646" w:type="dxa"/>
          </w:tcPr>
          <w:p>
            <w:pPr>
              <w:pStyle w:val="TableParagraph"/>
              <w:spacing w:line="210" w:lineRule="exact" w:before="0"/>
              <w:ind w:left="229"/>
              <w:rPr>
                <w:sz w:val="20"/>
              </w:rPr>
            </w:pPr>
            <w:r>
              <w:rPr>
                <w:w w:val="99"/>
                <w:sz w:val="20"/>
              </w:rPr>
              <w:t>=</w:t>
            </w:r>
          </w:p>
        </w:tc>
        <w:tc>
          <w:tcPr>
            <w:tcW w:w="4450" w:type="dxa"/>
          </w:tcPr>
          <w:p>
            <w:pPr>
              <w:pStyle w:val="TableParagraph"/>
              <w:spacing w:line="210" w:lineRule="exact" w:before="0"/>
              <w:ind w:left="302"/>
              <w:rPr>
                <w:sz w:val="20"/>
              </w:rPr>
            </w:pPr>
            <w:r>
              <w:rPr>
                <w:sz w:val="20"/>
              </w:rPr>
              <w:t>net weight of sample</w:t>
            </w:r>
          </w:p>
        </w:tc>
      </w:tr>
      <w:tr>
        <w:trPr>
          <w:trHeight w:val="225" w:hRule="atLeast"/>
        </w:trPr>
        <w:tc>
          <w:tcPr>
            <w:tcW w:w="901" w:type="dxa"/>
          </w:tcPr>
          <w:p>
            <w:pPr>
              <w:pStyle w:val="TableParagraph"/>
              <w:spacing w:line="206" w:lineRule="exact" w:before="0"/>
              <w:ind w:left="50"/>
              <w:rPr>
                <w:sz w:val="20"/>
              </w:rPr>
            </w:pPr>
            <w:r>
              <w:rPr>
                <w:sz w:val="20"/>
              </w:rPr>
              <w:t>RC</w:t>
            </w:r>
          </w:p>
        </w:tc>
        <w:tc>
          <w:tcPr>
            <w:tcW w:w="646" w:type="dxa"/>
          </w:tcPr>
          <w:p>
            <w:pPr>
              <w:pStyle w:val="TableParagraph"/>
              <w:spacing w:line="206" w:lineRule="exact" w:before="0"/>
              <w:ind w:left="228"/>
              <w:rPr>
                <w:sz w:val="20"/>
              </w:rPr>
            </w:pPr>
            <w:r>
              <w:rPr>
                <w:w w:val="99"/>
                <w:sz w:val="20"/>
              </w:rPr>
              <w:t>=</w:t>
            </w:r>
          </w:p>
        </w:tc>
        <w:tc>
          <w:tcPr>
            <w:tcW w:w="4450" w:type="dxa"/>
          </w:tcPr>
          <w:p>
            <w:pPr>
              <w:pStyle w:val="TableParagraph"/>
              <w:spacing w:line="206" w:lineRule="exact" w:before="0"/>
              <w:ind w:left="302"/>
              <w:rPr>
                <w:sz w:val="20"/>
              </w:rPr>
            </w:pPr>
            <w:r>
              <w:rPr>
                <w:sz w:val="20"/>
              </w:rPr>
              <w:t>Ream Count (500; for tissue paper, use 480)</w:t>
            </w:r>
          </w:p>
        </w:tc>
      </w:tr>
    </w:tbl>
    <w:p>
      <w:pPr>
        <w:pStyle w:val="BodyText"/>
        <w:spacing w:before="10"/>
      </w:pPr>
    </w:p>
    <w:p>
      <w:pPr>
        <w:pStyle w:val="ListParagraph"/>
        <w:numPr>
          <w:ilvl w:val="0"/>
          <w:numId w:val="18"/>
        </w:numPr>
        <w:tabs>
          <w:tab w:pos="1979" w:val="left" w:leader="none"/>
        </w:tabs>
        <w:spacing w:line="240" w:lineRule="auto" w:before="0" w:after="0"/>
        <w:ind w:left="1978" w:right="418" w:hanging="420"/>
        <w:jc w:val="both"/>
        <w:rPr>
          <w:sz w:val="20"/>
        </w:rPr>
      </w:pPr>
      <w:r>
        <w:rPr>
          <w:sz w:val="20"/>
        </w:rPr>
        <w:t>Repeat this step for each paper package from the tare sample and average the basis weights to obtain an Average Basis Weight (ABW). If the ABW is less than the labeled basis weight, or if</w:t>
      </w:r>
      <w:r>
        <w:rPr>
          <w:spacing w:val="-8"/>
          <w:sz w:val="20"/>
        </w:rPr>
        <w:t> </w:t>
      </w:r>
      <w:r>
        <w:rPr>
          <w:sz w:val="20"/>
        </w:rPr>
        <w:t>the</w:t>
      </w:r>
      <w:r>
        <w:rPr>
          <w:spacing w:val="-6"/>
          <w:sz w:val="20"/>
        </w:rPr>
        <w:t> </w:t>
      </w:r>
      <w:r>
        <w:rPr>
          <w:sz w:val="20"/>
        </w:rPr>
        <w:t>difference</w:t>
      </w:r>
      <w:r>
        <w:rPr>
          <w:spacing w:val="-6"/>
          <w:sz w:val="20"/>
        </w:rPr>
        <w:t> </w:t>
      </w:r>
      <w:r>
        <w:rPr>
          <w:sz w:val="20"/>
        </w:rPr>
        <w:t>between</w:t>
      </w:r>
      <w:r>
        <w:rPr>
          <w:spacing w:val="-8"/>
          <w:sz w:val="20"/>
        </w:rPr>
        <w:t> </w:t>
      </w:r>
      <w:r>
        <w:rPr>
          <w:sz w:val="20"/>
        </w:rPr>
        <w:t>the</w:t>
      </w:r>
      <w:r>
        <w:rPr>
          <w:spacing w:val="-6"/>
          <w:sz w:val="20"/>
        </w:rPr>
        <w:t> </w:t>
      </w:r>
      <w:r>
        <w:rPr>
          <w:sz w:val="20"/>
        </w:rPr>
        <w:t>basis</w:t>
      </w:r>
      <w:r>
        <w:rPr>
          <w:spacing w:val="-5"/>
          <w:sz w:val="20"/>
        </w:rPr>
        <w:t> </w:t>
      </w:r>
      <w:r>
        <w:rPr>
          <w:sz w:val="20"/>
        </w:rPr>
        <w:t>weight</w:t>
      </w:r>
      <w:r>
        <w:rPr>
          <w:spacing w:val="-7"/>
          <w:sz w:val="20"/>
        </w:rPr>
        <w:t> </w:t>
      </w:r>
      <w:r>
        <w:rPr>
          <w:sz w:val="20"/>
        </w:rPr>
        <w:t>of</w:t>
      </w:r>
      <w:r>
        <w:rPr>
          <w:spacing w:val="-8"/>
          <w:sz w:val="20"/>
        </w:rPr>
        <w:t> </w:t>
      </w:r>
      <w:r>
        <w:rPr>
          <w:sz w:val="20"/>
        </w:rPr>
        <w:t>the</w:t>
      </w:r>
      <w:r>
        <w:rPr>
          <w:spacing w:val="-4"/>
          <w:sz w:val="20"/>
        </w:rPr>
        <w:t> </w:t>
      </w:r>
      <w:r>
        <w:rPr>
          <w:sz w:val="20"/>
        </w:rPr>
        <w:t>sample</w:t>
      </w:r>
      <w:r>
        <w:rPr>
          <w:spacing w:val="-6"/>
          <w:sz w:val="20"/>
        </w:rPr>
        <w:t> </w:t>
      </w:r>
      <w:r>
        <w:rPr>
          <w:sz w:val="20"/>
        </w:rPr>
        <w:t>packages</w:t>
      </w:r>
      <w:r>
        <w:rPr>
          <w:spacing w:val="-8"/>
          <w:sz w:val="20"/>
        </w:rPr>
        <w:t> </w:t>
      </w:r>
      <w:r>
        <w:rPr>
          <w:sz w:val="20"/>
        </w:rPr>
        <w:t>is</w:t>
      </w:r>
      <w:r>
        <w:rPr>
          <w:spacing w:val="-5"/>
          <w:sz w:val="20"/>
        </w:rPr>
        <w:t> </w:t>
      </w:r>
      <w:r>
        <w:rPr>
          <w:sz w:val="20"/>
        </w:rPr>
        <w:t>more</w:t>
      </w:r>
      <w:r>
        <w:rPr>
          <w:spacing w:val="-6"/>
          <w:sz w:val="20"/>
        </w:rPr>
        <w:t> </w:t>
      </w:r>
      <w:r>
        <w:rPr>
          <w:sz w:val="20"/>
        </w:rPr>
        <w:t>than</w:t>
      </w:r>
      <w:r>
        <w:rPr>
          <w:spacing w:val="-8"/>
          <w:sz w:val="20"/>
        </w:rPr>
        <w:t> </w:t>
      </w:r>
      <w:r>
        <w:rPr>
          <w:sz w:val="20"/>
        </w:rPr>
        <w:t>1</w:t>
      </w:r>
      <w:r>
        <w:rPr>
          <w:spacing w:val="-1"/>
          <w:sz w:val="20"/>
        </w:rPr>
        <w:t> </w:t>
      </w:r>
      <w:r>
        <w:rPr>
          <w:sz w:val="20"/>
        </w:rPr>
        <w:t>scale</w:t>
      </w:r>
      <w:r>
        <w:rPr>
          <w:spacing w:val="-6"/>
          <w:sz w:val="20"/>
        </w:rPr>
        <w:t> </w:t>
      </w:r>
      <w:r>
        <w:rPr>
          <w:sz w:val="20"/>
        </w:rPr>
        <w:t>division, measure and compute the basis weight for each of the remaining</w:t>
      </w:r>
      <w:r>
        <w:rPr>
          <w:spacing w:val="-8"/>
          <w:sz w:val="20"/>
        </w:rPr>
        <w:t> </w:t>
      </w:r>
      <w:r>
        <w:rPr>
          <w:sz w:val="20"/>
        </w:rPr>
        <w:t>packages.</w:t>
      </w:r>
    </w:p>
    <w:p>
      <w:pPr>
        <w:pStyle w:val="BodyText"/>
        <w:spacing w:before="9"/>
      </w:pPr>
    </w:p>
    <w:p>
      <w:pPr>
        <w:pStyle w:val="ListParagraph"/>
        <w:numPr>
          <w:ilvl w:val="0"/>
          <w:numId w:val="18"/>
        </w:numPr>
        <w:tabs>
          <w:tab w:pos="1978" w:val="left" w:leader="none"/>
        </w:tabs>
        <w:spacing w:line="240" w:lineRule="auto" w:before="1" w:after="0"/>
        <w:ind w:left="1978" w:right="418" w:hanging="476"/>
        <w:jc w:val="both"/>
        <w:rPr>
          <w:sz w:val="20"/>
        </w:rPr>
      </w:pPr>
      <w:r>
        <w:rPr>
          <w:sz w:val="20"/>
        </w:rPr>
        <w:t>Weigh each sample. If the basis weight from step iv is less than the labeled basis weight, re- calculate the target net weight by using the general formula for sheet</w:t>
      </w:r>
      <w:r>
        <w:rPr>
          <w:spacing w:val="-3"/>
          <w:sz w:val="20"/>
        </w:rPr>
        <w:t> </w:t>
      </w:r>
      <w:r>
        <w:rPr>
          <w:sz w:val="20"/>
        </w:rPr>
        <w:t>paper.</w:t>
      </w:r>
    </w:p>
    <w:p>
      <w:pPr>
        <w:pStyle w:val="BodyText"/>
        <w:spacing w:before="1"/>
        <w:rPr>
          <w:sz w:val="22"/>
        </w:rPr>
      </w:pPr>
    </w:p>
    <w:tbl>
      <w:tblPr>
        <w:tblW w:w="0" w:type="auto"/>
        <w:jc w:val="left"/>
        <w:tblInd w:w="203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3298"/>
        <w:gridCol w:w="2393"/>
      </w:tblGrid>
      <w:tr>
        <w:trPr>
          <w:trHeight w:val="315" w:hRule="atLeast"/>
        </w:trPr>
        <w:tc>
          <w:tcPr>
            <w:tcW w:w="5691" w:type="dxa"/>
            <w:gridSpan w:val="2"/>
          </w:tcPr>
          <w:p>
            <w:pPr>
              <w:pStyle w:val="TableParagraph"/>
              <w:spacing w:before="45"/>
              <w:ind w:left="133"/>
              <w:rPr>
                <w:b/>
                <w:sz w:val="20"/>
              </w:rPr>
            </w:pPr>
            <w:r>
              <w:rPr>
                <w:b/>
                <w:sz w:val="20"/>
              </w:rPr>
              <w:t>Table 1. Common Types of Paper and Area of Basic Sheet Size</w:t>
            </w:r>
          </w:p>
        </w:tc>
      </w:tr>
      <w:tr>
        <w:trPr>
          <w:trHeight w:val="317" w:hRule="atLeast"/>
        </w:trPr>
        <w:tc>
          <w:tcPr>
            <w:tcW w:w="3298" w:type="dxa"/>
            <w:tcBorders>
              <w:bottom w:val="single" w:sz="6" w:space="0" w:color="000000"/>
              <w:right w:val="single" w:sz="6" w:space="0" w:color="000000"/>
            </w:tcBorders>
          </w:tcPr>
          <w:p>
            <w:pPr>
              <w:pStyle w:val="TableParagraph"/>
              <w:spacing w:before="45"/>
              <w:ind w:left="1116" w:right="1117"/>
              <w:jc w:val="center"/>
              <w:rPr>
                <w:b/>
                <w:sz w:val="20"/>
              </w:rPr>
            </w:pPr>
            <w:r>
              <w:rPr>
                <w:b/>
                <w:sz w:val="20"/>
              </w:rPr>
              <w:t>Paper Type</w:t>
            </w:r>
          </w:p>
        </w:tc>
        <w:tc>
          <w:tcPr>
            <w:tcW w:w="2393" w:type="dxa"/>
            <w:tcBorders>
              <w:left w:val="single" w:sz="6" w:space="0" w:color="000000"/>
              <w:bottom w:val="single" w:sz="6" w:space="0" w:color="000000"/>
            </w:tcBorders>
          </w:tcPr>
          <w:p>
            <w:pPr>
              <w:pStyle w:val="TableParagraph"/>
              <w:spacing w:before="45"/>
              <w:ind w:left="425" w:right="400"/>
              <w:jc w:val="center"/>
              <w:rPr>
                <w:b/>
                <w:sz w:val="20"/>
              </w:rPr>
            </w:pPr>
            <w:r>
              <w:rPr>
                <w:b/>
                <w:sz w:val="20"/>
              </w:rPr>
              <w:t>Area</w:t>
            </w:r>
          </w:p>
        </w:tc>
      </w:tr>
      <w:tr>
        <w:trPr>
          <w:trHeight w:val="546" w:hRule="atLeast"/>
        </w:trPr>
        <w:tc>
          <w:tcPr>
            <w:tcW w:w="3298" w:type="dxa"/>
            <w:tcBorders>
              <w:top w:val="single" w:sz="6" w:space="0" w:color="000000"/>
              <w:bottom w:val="single" w:sz="6" w:space="0" w:color="000000"/>
              <w:right w:val="single" w:sz="6" w:space="0" w:color="000000"/>
            </w:tcBorders>
          </w:tcPr>
          <w:p>
            <w:pPr>
              <w:pStyle w:val="TableParagraph"/>
              <w:ind w:left="104" w:right="455"/>
              <w:rPr>
                <w:sz w:val="20"/>
              </w:rPr>
            </w:pPr>
            <w:r>
              <w:rPr>
                <w:sz w:val="20"/>
              </w:rPr>
              <w:t>Bond, Ledger, Thin, Writing, and Track Feed Printer Paper</w:t>
            </w:r>
          </w:p>
        </w:tc>
        <w:tc>
          <w:tcPr>
            <w:tcW w:w="2393" w:type="dxa"/>
            <w:tcBorders>
              <w:top w:val="single" w:sz="6" w:space="0" w:color="000000"/>
              <w:left w:val="single" w:sz="6" w:space="0" w:color="000000"/>
              <w:bottom w:val="single" w:sz="6" w:space="0" w:color="000000"/>
            </w:tcBorders>
          </w:tcPr>
          <w:p>
            <w:pPr>
              <w:pStyle w:val="TableParagraph"/>
              <w:spacing w:before="154"/>
              <w:ind w:left="427" w:right="400"/>
              <w:jc w:val="center"/>
              <w:rPr>
                <w:sz w:val="20"/>
              </w:rPr>
            </w:pPr>
            <w:r>
              <w:rPr>
                <w:sz w:val="20"/>
              </w:rPr>
              <w:t>2412 cm</w:t>
            </w:r>
            <w:r>
              <w:rPr>
                <w:position w:val="7"/>
                <w:sz w:val="13"/>
              </w:rPr>
              <w:t>2 </w:t>
            </w:r>
            <w:r>
              <w:rPr>
                <w:sz w:val="20"/>
              </w:rPr>
              <w:t>(374 in</w:t>
            </w:r>
            <w:r>
              <w:rPr>
                <w:position w:val="7"/>
                <w:sz w:val="13"/>
              </w:rPr>
              <w:t>2</w:t>
            </w:r>
            <w:r>
              <w:rPr>
                <w:sz w:val="20"/>
              </w:rPr>
              <w:t>)</w:t>
            </w:r>
          </w:p>
        </w:tc>
      </w:tr>
      <w:tr>
        <w:trPr>
          <w:trHeight w:val="313" w:hRule="atLeast"/>
        </w:trPr>
        <w:tc>
          <w:tcPr>
            <w:tcW w:w="3298" w:type="dxa"/>
            <w:tcBorders>
              <w:top w:val="single" w:sz="6" w:space="0" w:color="000000"/>
              <w:bottom w:val="single" w:sz="6" w:space="0" w:color="000000"/>
              <w:right w:val="single" w:sz="6" w:space="0" w:color="000000"/>
            </w:tcBorders>
          </w:tcPr>
          <w:p>
            <w:pPr>
              <w:pStyle w:val="TableParagraph"/>
              <w:ind w:left="104"/>
              <w:rPr>
                <w:sz w:val="20"/>
              </w:rPr>
            </w:pPr>
            <w:r>
              <w:rPr>
                <w:sz w:val="20"/>
              </w:rPr>
              <w:t>Manuscript Cover</w:t>
            </w:r>
          </w:p>
        </w:tc>
        <w:tc>
          <w:tcPr>
            <w:tcW w:w="2393" w:type="dxa"/>
            <w:tcBorders>
              <w:top w:val="single" w:sz="6" w:space="0" w:color="000000"/>
              <w:left w:val="single" w:sz="6" w:space="0" w:color="000000"/>
              <w:bottom w:val="single" w:sz="6" w:space="0" w:color="000000"/>
            </w:tcBorders>
          </w:tcPr>
          <w:p>
            <w:pPr>
              <w:pStyle w:val="TableParagraph"/>
              <w:spacing w:before="38"/>
              <w:ind w:left="427" w:right="400"/>
              <w:jc w:val="center"/>
              <w:rPr>
                <w:sz w:val="20"/>
              </w:rPr>
            </w:pPr>
            <w:r>
              <w:rPr>
                <w:sz w:val="20"/>
              </w:rPr>
              <w:t>3599 cm</w:t>
            </w:r>
            <w:r>
              <w:rPr>
                <w:position w:val="7"/>
                <w:sz w:val="13"/>
              </w:rPr>
              <w:t>2 </w:t>
            </w:r>
            <w:r>
              <w:rPr>
                <w:sz w:val="20"/>
              </w:rPr>
              <w:t>(558 in</w:t>
            </w:r>
            <w:r>
              <w:rPr>
                <w:position w:val="7"/>
                <w:sz w:val="13"/>
              </w:rPr>
              <w:t>2</w:t>
            </w:r>
            <w:r>
              <w:rPr>
                <w:sz w:val="20"/>
              </w:rPr>
              <w:t>)</w:t>
            </w:r>
          </w:p>
        </w:tc>
      </w:tr>
      <w:tr>
        <w:trPr>
          <w:trHeight w:val="316" w:hRule="atLeast"/>
        </w:trPr>
        <w:tc>
          <w:tcPr>
            <w:tcW w:w="3298" w:type="dxa"/>
            <w:tcBorders>
              <w:top w:val="single" w:sz="6" w:space="0" w:color="000000"/>
              <w:bottom w:val="single" w:sz="6" w:space="0" w:color="000000"/>
              <w:right w:val="single" w:sz="6" w:space="0" w:color="000000"/>
            </w:tcBorders>
          </w:tcPr>
          <w:p>
            <w:pPr>
              <w:pStyle w:val="TableParagraph"/>
              <w:ind w:left="104"/>
              <w:rPr>
                <w:sz w:val="20"/>
              </w:rPr>
            </w:pPr>
            <w:r>
              <w:rPr>
                <w:sz w:val="20"/>
              </w:rPr>
              <w:t>Blotting</w:t>
            </w:r>
          </w:p>
        </w:tc>
        <w:tc>
          <w:tcPr>
            <w:tcW w:w="2393" w:type="dxa"/>
            <w:tcBorders>
              <w:top w:val="single" w:sz="6" w:space="0" w:color="000000"/>
              <w:left w:val="single" w:sz="6" w:space="0" w:color="000000"/>
              <w:bottom w:val="single" w:sz="6" w:space="0" w:color="000000"/>
            </w:tcBorders>
          </w:tcPr>
          <w:p>
            <w:pPr>
              <w:pStyle w:val="TableParagraph"/>
              <w:spacing w:before="38"/>
              <w:ind w:left="427" w:right="400"/>
              <w:jc w:val="center"/>
              <w:rPr>
                <w:sz w:val="20"/>
              </w:rPr>
            </w:pPr>
            <w:r>
              <w:rPr>
                <w:sz w:val="20"/>
              </w:rPr>
              <w:t>2941 cm</w:t>
            </w:r>
            <w:r>
              <w:rPr>
                <w:position w:val="7"/>
                <w:sz w:val="13"/>
              </w:rPr>
              <w:t>2 </w:t>
            </w:r>
            <w:r>
              <w:rPr>
                <w:sz w:val="20"/>
              </w:rPr>
              <w:t>(456 in</w:t>
            </w:r>
            <w:r>
              <w:rPr>
                <w:position w:val="7"/>
                <w:sz w:val="13"/>
              </w:rPr>
              <w:t>2</w:t>
            </w:r>
            <w:r>
              <w:rPr>
                <w:sz w:val="20"/>
              </w:rPr>
              <w:t>)</w:t>
            </w:r>
          </w:p>
        </w:tc>
      </w:tr>
      <w:tr>
        <w:trPr>
          <w:trHeight w:val="316" w:hRule="atLeast"/>
        </w:trPr>
        <w:tc>
          <w:tcPr>
            <w:tcW w:w="3298" w:type="dxa"/>
            <w:tcBorders>
              <w:top w:val="single" w:sz="6" w:space="0" w:color="000000"/>
              <w:bottom w:val="single" w:sz="6" w:space="0" w:color="000000"/>
              <w:right w:val="single" w:sz="6" w:space="0" w:color="000000"/>
            </w:tcBorders>
          </w:tcPr>
          <w:p>
            <w:pPr>
              <w:pStyle w:val="TableParagraph"/>
              <w:ind w:left="104"/>
              <w:rPr>
                <w:sz w:val="20"/>
              </w:rPr>
            </w:pPr>
            <w:r>
              <w:rPr>
                <w:sz w:val="20"/>
              </w:rPr>
              <w:t>Cover</w:t>
            </w:r>
          </w:p>
        </w:tc>
        <w:tc>
          <w:tcPr>
            <w:tcW w:w="2393" w:type="dxa"/>
            <w:tcBorders>
              <w:top w:val="single" w:sz="6" w:space="0" w:color="000000"/>
              <w:left w:val="single" w:sz="6" w:space="0" w:color="000000"/>
              <w:bottom w:val="single" w:sz="6" w:space="0" w:color="000000"/>
            </w:tcBorders>
          </w:tcPr>
          <w:p>
            <w:pPr>
              <w:pStyle w:val="TableParagraph"/>
              <w:spacing w:before="38"/>
              <w:ind w:left="427" w:right="400"/>
              <w:jc w:val="center"/>
              <w:rPr>
                <w:sz w:val="20"/>
              </w:rPr>
            </w:pPr>
            <w:r>
              <w:rPr>
                <w:sz w:val="20"/>
              </w:rPr>
              <w:t>3354 cm</w:t>
            </w:r>
            <w:r>
              <w:rPr>
                <w:position w:val="7"/>
                <w:sz w:val="13"/>
              </w:rPr>
              <w:t>2 </w:t>
            </w:r>
            <w:r>
              <w:rPr>
                <w:sz w:val="20"/>
              </w:rPr>
              <w:t>(520 in</w:t>
            </w:r>
            <w:r>
              <w:rPr>
                <w:position w:val="7"/>
                <w:sz w:val="13"/>
              </w:rPr>
              <w:t>2</w:t>
            </w:r>
            <w:r>
              <w:rPr>
                <w:sz w:val="20"/>
              </w:rPr>
              <w:t>)</w:t>
            </w:r>
          </w:p>
        </w:tc>
      </w:tr>
      <w:tr>
        <w:trPr>
          <w:trHeight w:val="316" w:hRule="atLeast"/>
        </w:trPr>
        <w:tc>
          <w:tcPr>
            <w:tcW w:w="3298" w:type="dxa"/>
            <w:tcBorders>
              <w:top w:val="single" w:sz="6" w:space="0" w:color="000000"/>
              <w:bottom w:val="single" w:sz="6" w:space="0" w:color="000000"/>
              <w:right w:val="single" w:sz="6" w:space="0" w:color="000000"/>
            </w:tcBorders>
          </w:tcPr>
          <w:p>
            <w:pPr>
              <w:pStyle w:val="TableParagraph"/>
              <w:ind w:left="104"/>
              <w:rPr>
                <w:sz w:val="20"/>
              </w:rPr>
            </w:pPr>
            <w:r>
              <w:rPr>
                <w:sz w:val="20"/>
              </w:rPr>
              <w:t>Blanks</w:t>
            </w:r>
          </w:p>
        </w:tc>
        <w:tc>
          <w:tcPr>
            <w:tcW w:w="2393" w:type="dxa"/>
            <w:tcBorders>
              <w:top w:val="single" w:sz="6" w:space="0" w:color="000000"/>
              <w:left w:val="single" w:sz="6" w:space="0" w:color="000000"/>
              <w:bottom w:val="single" w:sz="6" w:space="0" w:color="000000"/>
            </w:tcBorders>
          </w:tcPr>
          <w:p>
            <w:pPr>
              <w:pStyle w:val="TableParagraph"/>
              <w:spacing w:before="38"/>
              <w:ind w:left="427" w:right="400"/>
              <w:jc w:val="center"/>
              <w:rPr>
                <w:sz w:val="20"/>
              </w:rPr>
            </w:pPr>
            <w:r>
              <w:rPr>
                <w:sz w:val="20"/>
              </w:rPr>
              <w:t>3974 cm</w:t>
            </w:r>
            <w:r>
              <w:rPr>
                <w:position w:val="7"/>
                <w:sz w:val="13"/>
              </w:rPr>
              <w:t>2 </w:t>
            </w:r>
            <w:r>
              <w:rPr>
                <w:sz w:val="20"/>
              </w:rPr>
              <w:t>(616 in</w:t>
            </w:r>
            <w:r>
              <w:rPr>
                <w:position w:val="7"/>
                <w:sz w:val="13"/>
              </w:rPr>
              <w:t>2</w:t>
            </w:r>
            <w:r>
              <w:rPr>
                <w:sz w:val="20"/>
              </w:rPr>
              <w:t>)</w:t>
            </w:r>
          </w:p>
        </w:tc>
      </w:tr>
      <w:tr>
        <w:trPr>
          <w:trHeight w:val="316" w:hRule="atLeast"/>
        </w:trPr>
        <w:tc>
          <w:tcPr>
            <w:tcW w:w="3298" w:type="dxa"/>
            <w:tcBorders>
              <w:top w:val="single" w:sz="6" w:space="0" w:color="000000"/>
              <w:bottom w:val="single" w:sz="6" w:space="0" w:color="000000"/>
              <w:right w:val="single" w:sz="6" w:space="0" w:color="000000"/>
            </w:tcBorders>
          </w:tcPr>
          <w:p>
            <w:pPr>
              <w:pStyle w:val="TableParagraph"/>
              <w:ind w:left="104"/>
              <w:rPr>
                <w:sz w:val="20"/>
              </w:rPr>
            </w:pPr>
            <w:r>
              <w:rPr>
                <w:sz w:val="20"/>
              </w:rPr>
              <w:t>Printing Bristols</w:t>
            </w:r>
          </w:p>
        </w:tc>
        <w:tc>
          <w:tcPr>
            <w:tcW w:w="2393" w:type="dxa"/>
            <w:tcBorders>
              <w:top w:val="single" w:sz="6" w:space="0" w:color="000000"/>
              <w:left w:val="single" w:sz="6" w:space="0" w:color="000000"/>
              <w:bottom w:val="single" w:sz="6" w:space="0" w:color="000000"/>
            </w:tcBorders>
          </w:tcPr>
          <w:p>
            <w:pPr>
              <w:pStyle w:val="TableParagraph"/>
              <w:spacing w:before="38"/>
              <w:ind w:left="427" w:right="400"/>
              <w:jc w:val="center"/>
              <w:rPr>
                <w:sz w:val="20"/>
              </w:rPr>
            </w:pPr>
            <w:r>
              <w:rPr>
                <w:sz w:val="20"/>
              </w:rPr>
              <w:t>4135 cm</w:t>
            </w:r>
            <w:r>
              <w:rPr>
                <w:position w:val="7"/>
                <w:sz w:val="13"/>
              </w:rPr>
              <w:t>2 </w:t>
            </w:r>
            <w:r>
              <w:rPr>
                <w:sz w:val="20"/>
              </w:rPr>
              <w:t>(641 in</w:t>
            </w:r>
            <w:r>
              <w:rPr>
                <w:position w:val="7"/>
                <w:sz w:val="13"/>
              </w:rPr>
              <w:t>2</w:t>
            </w:r>
            <w:r>
              <w:rPr>
                <w:sz w:val="20"/>
              </w:rPr>
              <w:t>)</w:t>
            </w:r>
          </w:p>
        </w:tc>
      </w:tr>
      <w:tr>
        <w:trPr>
          <w:trHeight w:val="546" w:hRule="atLeast"/>
        </w:trPr>
        <w:tc>
          <w:tcPr>
            <w:tcW w:w="3298" w:type="dxa"/>
            <w:tcBorders>
              <w:top w:val="single" w:sz="6" w:space="0" w:color="000000"/>
              <w:bottom w:val="single" w:sz="6" w:space="0" w:color="000000"/>
              <w:right w:val="single" w:sz="6" w:space="0" w:color="000000"/>
            </w:tcBorders>
          </w:tcPr>
          <w:p>
            <w:pPr>
              <w:pStyle w:val="TableParagraph"/>
              <w:ind w:left="104"/>
              <w:rPr>
                <w:sz w:val="20"/>
              </w:rPr>
            </w:pPr>
            <w:r>
              <w:rPr>
                <w:sz w:val="20"/>
              </w:rPr>
              <w:t>Wrapping, Tissue, Waxed, Newsprint and Tag Stock</w:t>
            </w:r>
          </w:p>
        </w:tc>
        <w:tc>
          <w:tcPr>
            <w:tcW w:w="2393" w:type="dxa"/>
            <w:tcBorders>
              <w:top w:val="single" w:sz="6" w:space="0" w:color="000000"/>
              <w:left w:val="single" w:sz="6" w:space="0" w:color="000000"/>
              <w:bottom w:val="single" w:sz="6" w:space="0" w:color="000000"/>
            </w:tcBorders>
          </w:tcPr>
          <w:p>
            <w:pPr>
              <w:pStyle w:val="TableParagraph"/>
              <w:spacing w:before="154"/>
              <w:ind w:left="427" w:right="400"/>
              <w:jc w:val="center"/>
              <w:rPr>
                <w:sz w:val="20"/>
              </w:rPr>
            </w:pPr>
            <w:r>
              <w:rPr>
                <w:sz w:val="20"/>
              </w:rPr>
              <w:t>5574 cm</w:t>
            </w:r>
            <w:r>
              <w:rPr>
                <w:position w:val="7"/>
                <w:sz w:val="13"/>
              </w:rPr>
              <w:t>2 </w:t>
            </w:r>
            <w:r>
              <w:rPr>
                <w:sz w:val="20"/>
              </w:rPr>
              <w:t>(864 in</w:t>
            </w:r>
            <w:r>
              <w:rPr>
                <w:position w:val="7"/>
                <w:sz w:val="13"/>
              </w:rPr>
              <w:t>2</w:t>
            </w:r>
            <w:r>
              <w:rPr>
                <w:sz w:val="20"/>
              </w:rPr>
              <w:t>)</w:t>
            </w:r>
          </w:p>
        </w:tc>
      </w:tr>
      <w:tr>
        <w:trPr>
          <w:trHeight w:val="316" w:hRule="atLeast"/>
        </w:trPr>
        <w:tc>
          <w:tcPr>
            <w:tcW w:w="3298" w:type="dxa"/>
            <w:tcBorders>
              <w:top w:val="single" w:sz="6" w:space="0" w:color="000000"/>
              <w:bottom w:val="single" w:sz="6" w:space="0" w:color="000000"/>
              <w:right w:val="single" w:sz="6" w:space="0" w:color="000000"/>
            </w:tcBorders>
          </w:tcPr>
          <w:p>
            <w:pPr>
              <w:pStyle w:val="TableParagraph"/>
              <w:ind w:left="104"/>
              <w:rPr>
                <w:sz w:val="20"/>
              </w:rPr>
            </w:pPr>
            <w:r>
              <w:rPr>
                <w:sz w:val="20"/>
              </w:rPr>
              <w:t>Book, Offset, and Text</w:t>
            </w:r>
          </w:p>
        </w:tc>
        <w:tc>
          <w:tcPr>
            <w:tcW w:w="2393" w:type="dxa"/>
            <w:tcBorders>
              <w:top w:val="single" w:sz="6" w:space="0" w:color="000000"/>
              <w:left w:val="single" w:sz="6" w:space="0" w:color="000000"/>
              <w:bottom w:val="single" w:sz="6" w:space="0" w:color="000000"/>
            </w:tcBorders>
          </w:tcPr>
          <w:p>
            <w:pPr>
              <w:pStyle w:val="TableParagraph"/>
              <w:spacing w:before="38"/>
              <w:ind w:left="427" w:right="400"/>
              <w:jc w:val="center"/>
              <w:rPr>
                <w:sz w:val="20"/>
              </w:rPr>
            </w:pPr>
            <w:r>
              <w:rPr>
                <w:sz w:val="20"/>
              </w:rPr>
              <w:t>6129 cm</w:t>
            </w:r>
            <w:r>
              <w:rPr>
                <w:position w:val="7"/>
                <w:sz w:val="13"/>
              </w:rPr>
              <w:t>2 </w:t>
            </w:r>
            <w:r>
              <w:rPr>
                <w:sz w:val="20"/>
              </w:rPr>
              <w:t>(950 in</w:t>
            </w:r>
            <w:r>
              <w:rPr>
                <w:position w:val="7"/>
                <w:sz w:val="13"/>
              </w:rPr>
              <w:t>2</w:t>
            </w:r>
            <w:r>
              <w:rPr>
                <w:sz w:val="20"/>
              </w:rPr>
              <w:t>)</w:t>
            </w:r>
          </w:p>
        </w:tc>
      </w:tr>
      <w:tr>
        <w:trPr>
          <w:trHeight w:val="315" w:hRule="atLeast"/>
        </w:trPr>
        <w:tc>
          <w:tcPr>
            <w:tcW w:w="3298" w:type="dxa"/>
            <w:tcBorders>
              <w:top w:val="single" w:sz="6" w:space="0" w:color="000000"/>
              <w:right w:val="single" w:sz="6" w:space="0" w:color="000000"/>
            </w:tcBorders>
          </w:tcPr>
          <w:p>
            <w:pPr>
              <w:pStyle w:val="TableParagraph"/>
              <w:ind w:left="104"/>
              <w:rPr>
                <w:sz w:val="20"/>
              </w:rPr>
            </w:pPr>
            <w:r>
              <w:rPr>
                <w:sz w:val="20"/>
              </w:rPr>
              <w:t>Index Bristol</w:t>
            </w:r>
          </w:p>
        </w:tc>
        <w:tc>
          <w:tcPr>
            <w:tcW w:w="2393" w:type="dxa"/>
            <w:tcBorders>
              <w:top w:val="single" w:sz="6" w:space="0" w:color="000000"/>
              <w:left w:val="single" w:sz="6" w:space="0" w:color="000000"/>
            </w:tcBorders>
          </w:tcPr>
          <w:p>
            <w:pPr>
              <w:pStyle w:val="TableParagraph"/>
              <w:spacing w:before="38"/>
              <w:ind w:left="427" w:right="400"/>
              <w:jc w:val="center"/>
              <w:rPr>
                <w:sz w:val="20"/>
              </w:rPr>
            </w:pPr>
            <w:r>
              <w:rPr>
                <w:sz w:val="20"/>
              </w:rPr>
              <w:t>5019 cm</w:t>
            </w:r>
            <w:r>
              <w:rPr>
                <w:position w:val="7"/>
                <w:sz w:val="13"/>
              </w:rPr>
              <w:t>2 </w:t>
            </w:r>
            <w:r>
              <w:rPr>
                <w:sz w:val="20"/>
              </w:rPr>
              <w:t>(778 in</w:t>
            </w:r>
            <w:r>
              <w:rPr>
                <w:position w:val="7"/>
                <w:sz w:val="13"/>
              </w:rPr>
              <w:t>2</w:t>
            </w:r>
            <w:r>
              <w:rPr>
                <w:sz w:val="20"/>
              </w:rPr>
              <w:t>)</w:t>
            </w:r>
          </w:p>
        </w:tc>
      </w:tr>
    </w:tbl>
    <w:p>
      <w:pPr>
        <w:pStyle w:val="BodyText"/>
        <w:spacing w:before="1"/>
        <w:rPr>
          <w:sz w:val="22"/>
        </w:rPr>
      </w:pPr>
    </w:p>
    <w:p>
      <w:pPr>
        <w:pStyle w:val="ListParagraph"/>
        <w:numPr>
          <w:ilvl w:val="0"/>
          <w:numId w:val="18"/>
        </w:numPr>
        <w:tabs>
          <w:tab w:pos="1980" w:val="left" w:leader="none"/>
        </w:tabs>
        <w:spacing w:line="240" w:lineRule="auto" w:before="1" w:after="0"/>
        <w:ind w:left="1979" w:right="416" w:hanging="535"/>
        <w:jc w:val="both"/>
        <w:rPr>
          <w:sz w:val="20"/>
        </w:rPr>
      </w:pPr>
      <w:r>
        <w:rPr>
          <w:sz w:val="20"/>
        </w:rPr>
        <w:t>Use</w:t>
      </w:r>
      <w:r>
        <w:rPr>
          <w:spacing w:val="-7"/>
          <w:sz w:val="20"/>
        </w:rPr>
        <w:t> </w:t>
      </w:r>
      <w:r>
        <w:rPr>
          <w:sz w:val="20"/>
        </w:rPr>
        <w:t>the</w:t>
      </w:r>
      <w:r>
        <w:rPr>
          <w:spacing w:val="-7"/>
          <w:sz w:val="20"/>
        </w:rPr>
        <w:t> </w:t>
      </w:r>
      <w:r>
        <w:rPr>
          <w:sz w:val="20"/>
        </w:rPr>
        <w:t>target</w:t>
      </w:r>
      <w:r>
        <w:rPr>
          <w:spacing w:val="-6"/>
          <w:sz w:val="20"/>
        </w:rPr>
        <w:t> </w:t>
      </w:r>
      <w:r>
        <w:rPr>
          <w:sz w:val="20"/>
        </w:rPr>
        <w:t>net</w:t>
      </w:r>
      <w:r>
        <w:rPr>
          <w:spacing w:val="-3"/>
          <w:sz w:val="20"/>
        </w:rPr>
        <w:t> </w:t>
      </w:r>
      <w:r>
        <w:rPr>
          <w:sz w:val="20"/>
        </w:rPr>
        <w:t>weight</w:t>
      </w:r>
      <w:r>
        <w:rPr>
          <w:spacing w:val="-6"/>
          <w:sz w:val="20"/>
        </w:rPr>
        <w:t> </w:t>
      </w:r>
      <w:r>
        <w:rPr>
          <w:sz w:val="20"/>
        </w:rPr>
        <w:t>computed</w:t>
      </w:r>
      <w:r>
        <w:rPr>
          <w:spacing w:val="-6"/>
          <w:sz w:val="20"/>
        </w:rPr>
        <w:t> </w:t>
      </w:r>
      <w:r>
        <w:rPr>
          <w:sz w:val="20"/>
        </w:rPr>
        <w:t>in</w:t>
      </w:r>
      <w:r>
        <w:rPr>
          <w:spacing w:val="-7"/>
          <w:sz w:val="20"/>
        </w:rPr>
        <w:t> </w:t>
      </w:r>
      <w:r>
        <w:rPr>
          <w:sz w:val="20"/>
        </w:rPr>
        <w:t>step</w:t>
      </w:r>
      <w:r>
        <w:rPr>
          <w:spacing w:val="-2"/>
          <w:sz w:val="20"/>
        </w:rPr>
        <w:t> </w:t>
      </w:r>
      <w:r>
        <w:rPr>
          <w:sz w:val="20"/>
        </w:rPr>
        <w:t>vi</w:t>
      </w:r>
      <w:r>
        <w:rPr>
          <w:spacing w:val="-8"/>
          <w:sz w:val="20"/>
        </w:rPr>
        <w:t> </w:t>
      </w:r>
      <w:r>
        <w:rPr>
          <w:sz w:val="20"/>
        </w:rPr>
        <w:t>and</w:t>
      </w:r>
      <w:r>
        <w:rPr>
          <w:spacing w:val="-7"/>
          <w:sz w:val="20"/>
        </w:rPr>
        <w:t> </w:t>
      </w:r>
      <w:r>
        <w:rPr>
          <w:sz w:val="20"/>
        </w:rPr>
        <w:t>re-weigh</w:t>
      </w:r>
      <w:r>
        <w:rPr>
          <w:spacing w:val="-8"/>
          <w:sz w:val="20"/>
        </w:rPr>
        <w:t> </w:t>
      </w:r>
      <w:r>
        <w:rPr>
          <w:sz w:val="20"/>
        </w:rPr>
        <w:t>the</w:t>
      </w:r>
      <w:r>
        <w:rPr>
          <w:spacing w:val="-7"/>
          <w:sz w:val="20"/>
        </w:rPr>
        <w:t> </w:t>
      </w:r>
      <w:r>
        <w:rPr>
          <w:sz w:val="20"/>
        </w:rPr>
        <w:t>inspection</w:t>
      </w:r>
      <w:r>
        <w:rPr>
          <w:spacing w:val="-7"/>
          <w:sz w:val="20"/>
        </w:rPr>
        <w:t> </w:t>
      </w:r>
      <w:r>
        <w:rPr>
          <w:sz w:val="20"/>
        </w:rPr>
        <w:t>lot</w:t>
      </w:r>
      <w:r>
        <w:rPr>
          <w:spacing w:val="-8"/>
          <w:sz w:val="20"/>
        </w:rPr>
        <w:t> </w:t>
      </w:r>
      <w:r>
        <w:rPr>
          <w:sz w:val="20"/>
        </w:rPr>
        <w:t>samples</w:t>
      </w:r>
      <w:r>
        <w:rPr>
          <w:spacing w:val="-5"/>
          <w:sz w:val="20"/>
        </w:rPr>
        <w:t> </w:t>
      </w:r>
      <w:r>
        <w:rPr>
          <w:sz w:val="20"/>
        </w:rPr>
        <w:t>using</w:t>
      </w:r>
      <w:r>
        <w:rPr>
          <w:spacing w:val="-9"/>
          <w:sz w:val="20"/>
        </w:rPr>
        <w:t> </w:t>
      </w:r>
      <w:r>
        <w:rPr>
          <w:sz w:val="20"/>
        </w:rPr>
        <w:t>the Section 2. of the fourth edition of NIST Handbook 133. If inspection sample weights differ from the target net weight computed using the average basis weight determined in step vi, the label sheet count is probably</w:t>
      </w:r>
      <w:r>
        <w:rPr>
          <w:spacing w:val="-6"/>
          <w:sz w:val="20"/>
        </w:rPr>
        <w:t> </w:t>
      </w:r>
      <w:r>
        <w:rPr>
          <w:sz w:val="20"/>
        </w:rPr>
        <w:t>inaccurate.</w:t>
      </w:r>
    </w:p>
    <w:p>
      <w:pPr>
        <w:pStyle w:val="BodyText"/>
        <w:rPr>
          <w:sz w:val="21"/>
        </w:rPr>
      </w:pPr>
    </w:p>
    <w:p>
      <w:pPr>
        <w:pStyle w:val="ListParagraph"/>
        <w:numPr>
          <w:ilvl w:val="5"/>
          <w:numId w:val="17"/>
        </w:numPr>
        <w:tabs>
          <w:tab w:pos="1619" w:val="left" w:leader="none"/>
          <w:tab w:pos="1620" w:val="left" w:leader="none"/>
        </w:tabs>
        <w:spacing w:line="240" w:lineRule="auto" w:before="0" w:after="0"/>
        <w:ind w:left="1619" w:right="0" w:hanging="360"/>
        <w:jc w:val="left"/>
        <w:rPr>
          <w:sz w:val="20"/>
        </w:rPr>
      </w:pPr>
      <w:r>
        <w:rPr>
          <w:sz w:val="20"/>
        </w:rPr>
        <w:t>Verify the label sheet count by counting the number of sheets in each</w:t>
      </w:r>
      <w:r>
        <w:rPr>
          <w:spacing w:val="-13"/>
          <w:sz w:val="20"/>
        </w:rPr>
        <w:t> </w:t>
      </w:r>
      <w:r>
        <w:rPr>
          <w:sz w:val="20"/>
        </w:rPr>
        <w:t>package.</w:t>
      </w:r>
    </w:p>
    <w:p>
      <w:pPr>
        <w:spacing w:after="0" w:line="240" w:lineRule="auto"/>
        <w:jc w:val="left"/>
        <w:rPr>
          <w:sz w:val="20"/>
        </w:rPr>
        <w:sectPr>
          <w:type w:val="continuous"/>
          <w:pgSz w:w="12240" w:h="15840"/>
          <w:pgMar w:top="1340" w:bottom="940" w:left="1260" w:right="1020"/>
        </w:sectPr>
      </w:pPr>
    </w:p>
    <w:p>
      <w:pPr>
        <w:pStyle w:val="ListParagraph"/>
        <w:numPr>
          <w:ilvl w:val="5"/>
          <w:numId w:val="17"/>
        </w:numPr>
        <w:tabs>
          <w:tab w:pos="1619" w:val="left" w:leader="none"/>
          <w:tab w:pos="1620" w:val="left" w:leader="none"/>
        </w:tabs>
        <w:spacing w:line="240" w:lineRule="auto" w:before="88" w:after="0"/>
        <w:ind w:left="1619" w:right="0" w:hanging="359"/>
        <w:jc w:val="left"/>
        <w:rPr>
          <w:sz w:val="20"/>
        </w:rPr>
      </w:pPr>
      <w:r>
        <w:rPr>
          <w:sz w:val="20"/>
        </w:rPr>
        <w:t>Verify sheet dimensions (length × width) for each package of the</w:t>
      </w:r>
      <w:r>
        <w:rPr>
          <w:spacing w:val="-3"/>
          <w:sz w:val="20"/>
        </w:rPr>
        <w:t> </w:t>
      </w:r>
      <w:r>
        <w:rPr>
          <w:sz w:val="20"/>
        </w:rPr>
        <w:t>sample.</w:t>
      </w:r>
    </w:p>
    <w:p>
      <w:pPr>
        <w:pStyle w:val="BodyText"/>
        <w:spacing w:before="10"/>
        <w:rPr>
          <w:sz w:val="12"/>
        </w:rPr>
      </w:pPr>
    </w:p>
    <w:p>
      <w:pPr>
        <w:spacing w:after="0"/>
        <w:rPr>
          <w:sz w:val="12"/>
        </w:rPr>
        <w:sectPr>
          <w:footerReference w:type="even" r:id="rId44"/>
          <w:footerReference w:type="default" r:id="rId45"/>
          <w:pgSz w:w="12240" w:h="15840"/>
          <w:pgMar w:footer="741" w:header="730" w:top="1340" w:bottom="940" w:left="1260" w:right="1020"/>
        </w:sectPr>
      </w:pPr>
    </w:p>
    <w:p>
      <w:pPr>
        <w:pStyle w:val="BodyText"/>
        <w:spacing w:before="65"/>
        <w:jc w:val="right"/>
        <w:rPr>
          <w:rFonts w:ascii="Cambria Math" w:hAnsi="Cambria Math" w:eastAsia="Cambria Math"/>
        </w:rPr>
      </w:pPr>
      <w:r>
        <w:rPr>
          <w:rFonts w:ascii="Cambria Math" w:hAnsi="Cambria Math" w:eastAsia="Cambria Math"/>
          <w:w w:val="70"/>
        </w:rPr>
        <w:t>𝐸𝐸𝑁𝑁 × 𝑅𝑅𝑆𝑆</w:t>
      </w:r>
    </w:p>
    <w:p>
      <w:pPr>
        <w:pStyle w:val="BodyText"/>
        <w:rPr>
          <w:rFonts w:ascii="Cambria Math"/>
          <w:sz w:val="4"/>
        </w:rPr>
      </w:pPr>
    </w:p>
    <w:p>
      <w:pPr>
        <w:pStyle w:val="BodyText"/>
        <w:spacing w:line="20" w:lineRule="exact"/>
        <w:ind w:left="4842" w:right="-87"/>
        <w:rPr>
          <w:rFonts w:ascii="Cambria Math"/>
          <w:sz w:val="2"/>
        </w:rPr>
      </w:pPr>
      <w:r>
        <w:rPr>
          <w:rFonts w:ascii="Cambria Math"/>
          <w:sz w:val="2"/>
        </w:rPr>
        <w:pict>
          <v:group style="width:43.8pt;height:.6pt;mso-position-horizontal-relative:char;mso-position-vertical-relative:line" coordorigin="0,0" coordsize="876,12">
            <v:line style="position:absolute" from="0,6" to="876,6" stroked="true" strokeweight=".599pt" strokecolor="#000000">
              <v:stroke dashstyle="solid"/>
            </v:line>
          </v:group>
        </w:pict>
      </w:r>
      <w:r>
        <w:rPr>
          <w:rFonts w:ascii="Cambria Math"/>
          <w:sz w:val="2"/>
        </w:rPr>
      </w:r>
    </w:p>
    <w:p>
      <w:pPr>
        <w:pStyle w:val="BodyText"/>
        <w:ind w:right="124"/>
        <w:jc w:val="right"/>
        <w:rPr>
          <w:rFonts w:ascii="Cambria Math" w:eastAsia="Cambria Math"/>
        </w:rPr>
      </w:pPr>
      <w:r>
        <w:rPr>
          <w:rFonts w:ascii="Cambria Math" w:eastAsia="Cambria Math"/>
          <w:w w:val="50"/>
        </w:rPr>
        <w:t>𝐸𝐸𝐸𝐸𝐸𝐸𝑆𝑆𝑆𝑆</w:t>
      </w:r>
    </w:p>
    <w:p>
      <w:pPr>
        <w:pStyle w:val="BodyText"/>
        <w:spacing w:before="8"/>
        <w:rPr>
          <w:rFonts w:ascii="Cambria Math"/>
          <w:sz w:val="18"/>
        </w:rPr>
      </w:pPr>
      <w:r>
        <w:rPr/>
        <w:br w:type="column"/>
      </w:r>
      <w:r>
        <w:rPr>
          <w:rFonts w:ascii="Cambria Math"/>
          <w:sz w:val="18"/>
        </w:rPr>
      </w:r>
    </w:p>
    <w:p>
      <w:pPr>
        <w:pStyle w:val="BodyText"/>
        <w:ind w:left="25"/>
        <w:rPr>
          <w:rFonts w:ascii="Cambria Math" w:eastAsia="Cambria Math"/>
        </w:rPr>
      </w:pPr>
      <w:r>
        <w:rPr>
          <w:rFonts w:ascii="Cambria Math" w:eastAsia="Cambria Math"/>
          <w:w w:val="85"/>
        </w:rPr>
        <w:t>= 𝐸𝐸𝑁𝑁</w:t>
      </w:r>
    </w:p>
    <w:p>
      <w:pPr>
        <w:spacing w:after="0"/>
        <w:rPr>
          <w:rFonts w:ascii="Cambria Math" w:eastAsia="Cambria Math"/>
        </w:rPr>
        <w:sectPr>
          <w:type w:val="continuous"/>
          <w:pgSz w:w="12240" w:h="15840"/>
          <w:pgMar w:top="1340" w:bottom="940" w:left="1260" w:right="1020"/>
          <w:cols w:num="2" w:equalWidth="0">
            <w:col w:w="5714" w:space="40"/>
            <w:col w:w="4206"/>
          </w:cols>
        </w:sectPr>
      </w:pPr>
    </w:p>
    <w:p>
      <w:pPr>
        <w:pStyle w:val="BodyText"/>
        <w:spacing w:before="2"/>
        <w:rPr>
          <w:rFonts w:ascii="Cambria Math"/>
          <w:sz w:val="19"/>
        </w:rPr>
      </w:pPr>
    </w:p>
    <w:p>
      <w:pPr>
        <w:pStyle w:val="Heading1"/>
        <w:numPr>
          <w:ilvl w:val="5"/>
          <w:numId w:val="19"/>
        </w:numPr>
        <w:tabs>
          <w:tab w:pos="2362" w:val="left" w:leader="none"/>
        </w:tabs>
        <w:spacing w:line="240" w:lineRule="auto" w:before="91" w:after="0"/>
        <w:ind w:left="2361" w:right="0" w:hanging="1101"/>
        <w:jc w:val="left"/>
      </w:pPr>
      <w:r>
        <w:rPr/>
        <w:t>Other Types of Packaged</w:t>
      </w:r>
      <w:r>
        <w:rPr>
          <w:spacing w:val="-4"/>
        </w:rPr>
        <w:t> </w:t>
      </w:r>
      <w:r>
        <w:rPr/>
        <w:t>Paper.</w:t>
      </w:r>
    </w:p>
    <w:p>
      <w:pPr>
        <w:pStyle w:val="BodyText"/>
        <w:spacing w:before="1"/>
        <w:rPr>
          <w:b/>
          <w:sz w:val="31"/>
        </w:rPr>
      </w:pPr>
    </w:p>
    <w:p>
      <w:pPr>
        <w:pStyle w:val="ListParagraph"/>
        <w:numPr>
          <w:ilvl w:val="6"/>
          <w:numId w:val="19"/>
        </w:numPr>
        <w:tabs>
          <w:tab w:pos="1980" w:val="left" w:leader="none"/>
        </w:tabs>
        <w:spacing w:line="240" w:lineRule="auto" w:before="1" w:after="0"/>
        <w:ind w:left="1980" w:right="416" w:hanging="361"/>
        <w:jc w:val="both"/>
        <w:rPr>
          <w:sz w:val="20"/>
        </w:rPr>
      </w:pPr>
      <w:r>
        <w:rPr>
          <w:sz w:val="20"/>
        </w:rPr>
        <w:t>Roll</w:t>
      </w:r>
      <w:r>
        <w:rPr>
          <w:spacing w:val="-14"/>
          <w:sz w:val="20"/>
        </w:rPr>
        <w:t> </w:t>
      </w:r>
      <w:r>
        <w:rPr>
          <w:sz w:val="20"/>
        </w:rPr>
        <w:t>Paper.</w:t>
      </w:r>
      <w:r>
        <w:rPr>
          <w:spacing w:val="-13"/>
          <w:sz w:val="20"/>
        </w:rPr>
        <w:t> </w:t>
      </w:r>
      <w:r>
        <w:rPr>
          <w:sz w:val="20"/>
        </w:rPr>
        <w:t>–</w:t>
      </w:r>
      <w:r>
        <w:rPr>
          <w:spacing w:val="-12"/>
          <w:sz w:val="20"/>
        </w:rPr>
        <w:t> </w:t>
      </w:r>
      <w:r>
        <w:rPr>
          <w:sz w:val="20"/>
        </w:rPr>
        <w:t>When</w:t>
      </w:r>
      <w:r>
        <w:rPr>
          <w:spacing w:val="-14"/>
          <w:sz w:val="20"/>
        </w:rPr>
        <w:t> </w:t>
      </w:r>
      <w:r>
        <w:rPr>
          <w:sz w:val="20"/>
        </w:rPr>
        <w:t>testing</w:t>
      </w:r>
      <w:r>
        <w:rPr>
          <w:spacing w:val="-13"/>
          <w:sz w:val="20"/>
        </w:rPr>
        <w:t> </w:t>
      </w:r>
      <w:r>
        <w:rPr>
          <w:sz w:val="20"/>
        </w:rPr>
        <w:t>rolled</w:t>
      </w:r>
      <w:r>
        <w:rPr>
          <w:spacing w:val="-13"/>
          <w:sz w:val="20"/>
        </w:rPr>
        <w:t> </w:t>
      </w:r>
      <w:r>
        <w:rPr>
          <w:sz w:val="20"/>
        </w:rPr>
        <w:t>paper,</w:t>
      </w:r>
      <w:r>
        <w:rPr>
          <w:spacing w:val="-12"/>
          <w:sz w:val="20"/>
        </w:rPr>
        <w:t> </w:t>
      </w:r>
      <w:r>
        <w:rPr>
          <w:sz w:val="20"/>
        </w:rPr>
        <w:t>cut</w:t>
      </w:r>
      <w:r>
        <w:rPr>
          <w:spacing w:val="-14"/>
          <w:sz w:val="20"/>
        </w:rPr>
        <w:t> </w:t>
      </w:r>
      <w:r>
        <w:rPr>
          <w:sz w:val="20"/>
        </w:rPr>
        <w:t>a</w:t>
      </w:r>
      <w:r>
        <w:rPr>
          <w:spacing w:val="-13"/>
          <w:sz w:val="20"/>
        </w:rPr>
        <w:t> </w:t>
      </w:r>
      <w:r>
        <w:rPr>
          <w:sz w:val="20"/>
        </w:rPr>
        <w:t>length</w:t>
      </w:r>
      <w:r>
        <w:rPr>
          <w:spacing w:val="-15"/>
          <w:sz w:val="20"/>
        </w:rPr>
        <w:t> </w:t>
      </w:r>
      <w:r>
        <w:rPr>
          <w:sz w:val="20"/>
        </w:rPr>
        <w:t>of</w:t>
      </w:r>
      <w:r>
        <w:rPr>
          <w:spacing w:val="-15"/>
          <w:sz w:val="20"/>
        </w:rPr>
        <w:t> </w:t>
      </w:r>
      <w:r>
        <w:rPr>
          <w:sz w:val="20"/>
        </w:rPr>
        <w:t>paper</w:t>
      </w:r>
      <w:r>
        <w:rPr>
          <w:spacing w:val="-12"/>
          <w:sz w:val="20"/>
        </w:rPr>
        <w:t> </w:t>
      </w:r>
      <w:r>
        <w:rPr>
          <w:sz w:val="20"/>
        </w:rPr>
        <w:t>from</w:t>
      </w:r>
      <w:r>
        <w:rPr>
          <w:spacing w:val="-18"/>
          <w:sz w:val="20"/>
        </w:rPr>
        <w:t> </w:t>
      </w:r>
      <w:r>
        <w:rPr>
          <w:sz w:val="20"/>
        </w:rPr>
        <w:t>the</w:t>
      </w:r>
      <w:r>
        <w:rPr>
          <w:spacing w:val="-13"/>
          <w:sz w:val="20"/>
        </w:rPr>
        <w:t> </w:t>
      </w:r>
      <w:r>
        <w:rPr>
          <w:sz w:val="20"/>
        </w:rPr>
        <w:t>roll</w:t>
      </w:r>
      <w:r>
        <w:rPr>
          <w:spacing w:val="-14"/>
          <w:sz w:val="20"/>
        </w:rPr>
        <w:t> </w:t>
      </w:r>
      <w:r>
        <w:rPr>
          <w:sz w:val="20"/>
        </w:rPr>
        <w:t>equal</w:t>
      </w:r>
      <w:r>
        <w:rPr>
          <w:spacing w:val="-11"/>
          <w:sz w:val="20"/>
        </w:rPr>
        <w:t> </w:t>
      </w:r>
      <w:r>
        <w:rPr>
          <w:sz w:val="20"/>
        </w:rPr>
        <w:t>to</w:t>
      </w:r>
      <w:r>
        <w:rPr>
          <w:spacing w:val="-13"/>
          <w:sz w:val="20"/>
        </w:rPr>
        <w:t> </w:t>
      </w:r>
      <w:r>
        <w:rPr>
          <w:sz w:val="20"/>
        </w:rPr>
        <w:t>9350</w:t>
      </w:r>
      <w:r>
        <w:rPr>
          <w:spacing w:val="-12"/>
          <w:sz w:val="20"/>
        </w:rPr>
        <w:t> </w:t>
      </w:r>
      <w:r>
        <w:rPr>
          <w:sz w:val="20"/>
        </w:rPr>
        <w:t>divided by the width of the paper in inches. Make sure the ends of this length of paper are square. Proceed to Section 2.6.14.3. step a. Disregard the exact sheet count in step</w:t>
      </w:r>
      <w:r>
        <w:rPr>
          <w:spacing w:val="-10"/>
          <w:sz w:val="20"/>
        </w:rPr>
        <w:t> </w:t>
      </w:r>
      <w:r>
        <w:rPr>
          <w:sz w:val="20"/>
        </w:rPr>
        <w:t>iii.</w:t>
      </w:r>
    </w:p>
    <w:p>
      <w:pPr>
        <w:pStyle w:val="BodyText"/>
        <w:spacing w:before="11"/>
      </w:pPr>
    </w:p>
    <w:p>
      <w:pPr>
        <w:pStyle w:val="ListParagraph"/>
        <w:numPr>
          <w:ilvl w:val="6"/>
          <w:numId w:val="19"/>
        </w:numPr>
        <w:tabs>
          <w:tab w:pos="1979" w:val="left" w:leader="none"/>
          <w:tab w:pos="1980" w:val="left" w:leader="none"/>
        </w:tabs>
        <w:spacing w:line="240" w:lineRule="auto" w:before="0" w:after="0"/>
        <w:ind w:left="1979" w:right="0" w:hanging="360"/>
        <w:jc w:val="left"/>
        <w:rPr>
          <w:sz w:val="20"/>
        </w:rPr>
      </w:pPr>
      <w:r>
        <w:rPr>
          <w:sz w:val="20"/>
        </w:rPr>
        <w:t>Continuous Track Feed Printer</w:t>
      </w:r>
      <w:r>
        <w:rPr>
          <w:spacing w:val="-1"/>
          <w:sz w:val="20"/>
        </w:rPr>
        <w:t> </w:t>
      </w:r>
      <w:r>
        <w:rPr>
          <w:sz w:val="20"/>
        </w:rPr>
        <w:t>Paper:</w:t>
      </w:r>
    </w:p>
    <w:p>
      <w:pPr>
        <w:pStyle w:val="BodyText"/>
        <w:spacing w:before="10"/>
      </w:pPr>
    </w:p>
    <w:p>
      <w:pPr>
        <w:pStyle w:val="ListParagraph"/>
        <w:numPr>
          <w:ilvl w:val="7"/>
          <w:numId w:val="19"/>
        </w:numPr>
        <w:tabs>
          <w:tab w:pos="2339" w:val="left" w:leader="none"/>
          <w:tab w:pos="2340" w:val="left" w:leader="none"/>
        </w:tabs>
        <w:spacing w:line="240" w:lineRule="auto" w:before="0" w:after="0"/>
        <w:ind w:left="2339" w:right="0" w:hanging="374"/>
        <w:jc w:val="left"/>
        <w:rPr>
          <w:sz w:val="20"/>
        </w:rPr>
      </w:pPr>
      <w:r>
        <w:rPr>
          <w:sz w:val="20"/>
        </w:rPr>
        <w:t>Count out a sample of 100 sheets from each tare sample package of the inspection</w:t>
      </w:r>
      <w:r>
        <w:rPr>
          <w:spacing w:val="-24"/>
          <w:sz w:val="20"/>
        </w:rPr>
        <w:t> </w:t>
      </w:r>
      <w:r>
        <w:rPr>
          <w:sz w:val="20"/>
        </w:rPr>
        <w:t>lot.</w:t>
      </w:r>
    </w:p>
    <w:p>
      <w:pPr>
        <w:pStyle w:val="BodyText"/>
        <w:spacing w:before="10"/>
      </w:pPr>
    </w:p>
    <w:p>
      <w:pPr>
        <w:pStyle w:val="ListParagraph"/>
        <w:numPr>
          <w:ilvl w:val="7"/>
          <w:numId w:val="19"/>
        </w:numPr>
        <w:tabs>
          <w:tab w:pos="2339" w:val="left" w:leader="none"/>
          <w:tab w:pos="2340" w:val="left" w:leader="none"/>
        </w:tabs>
        <w:spacing w:line="240" w:lineRule="auto" w:before="1" w:after="0"/>
        <w:ind w:left="2339" w:right="0" w:hanging="431"/>
        <w:jc w:val="left"/>
        <w:rPr>
          <w:sz w:val="20"/>
        </w:rPr>
      </w:pPr>
      <w:r>
        <w:rPr>
          <w:sz w:val="20"/>
        </w:rPr>
        <w:t>Weigh each 100-sheet sample and record the</w:t>
      </w:r>
      <w:r>
        <w:rPr>
          <w:spacing w:val="5"/>
          <w:sz w:val="20"/>
        </w:rPr>
        <w:t> </w:t>
      </w:r>
      <w:r>
        <w:rPr>
          <w:sz w:val="20"/>
        </w:rPr>
        <w:t>weights.</w:t>
      </w:r>
    </w:p>
    <w:p>
      <w:pPr>
        <w:pStyle w:val="BodyText"/>
        <w:spacing w:before="10"/>
      </w:pPr>
    </w:p>
    <w:p>
      <w:pPr>
        <w:pStyle w:val="ListParagraph"/>
        <w:numPr>
          <w:ilvl w:val="7"/>
          <w:numId w:val="19"/>
        </w:numPr>
        <w:tabs>
          <w:tab w:pos="2339" w:val="left" w:leader="none"/>
          <w:tab w:pos="2340" w:val="left" w:leader="none"/>
        </w:tabs>
        <w:spacing w:line="240" w:lineRule="auto" w:before="0" w:after="0"/>
        <w:ind w:left="2339" w:right="0" w:hanging="487"/>
        <w:jc w:val="left"/>
        <w:rPr>
          <w:sz w:val="20"/>
        </w:rPr>
      </w:pPr>
      <w:r>
        <w:rPr>
          <w:sz w:val="20"/>
        </w:rPr>
        <w:t>Calculate an average</w:t>
      </w:r>
      <w:r>
        <w:rPr>
          <w:spacing w:val="1"/>
          <w:sz w:val="20"/>
        </w:rPr>
        <w:t> </w:t>
      </w:r>
      <w:r>
        <w:rPr>
          <w:sz w:val="20"/>
        </w:rPr>
        <w:t>weight.</w:t>
      </w:r>
    </w:p>
    <w:p>
      <w:pPr>
        <w:pStyle w:val="BodyText"/>
        <w:spacing w:before="8"/>
      </w:pPr>
    </w:p>
    <w:p>
      <w:pPr>
        <w:pStyle w:val="ListParagraph"/>
        <w:numPr>
          <w:ilvl w:val="7"/>
          <w:numId w:val="19"/>
        </w:numPr>
        <w:tabs>
          <w:tab w:pos="2339" w:val="left" w:leader="none"/>
          <w:tab w:pos="2340" w:val="left" w:leader="none"/>
        </w:tabs>
        <w:spacing w:line="240" w:lineRule="auto" w:before="0" w:after="0"/>
        <w:ind w:left="2339" w:right="0" w:hanging="475"/>
        <w:jc w:val="left"/>
        <w:rPr>
          <w:sz w:val="20"/>
        </w:rPr>
      </w:pPr>
      <w:r>
        <w:rPr>
          <w:sz w:val="20"/>
        </w:rPr>
        <w:t>Remove printer track feed strips from each</w:t>
      </w:r>
      <w:r>
        <w:rPr>
          <w:spacing w:val="-4"/>
          <w:sz w:val="20"/>
        </w:rPr>
        <w:t> </w:t>
      </w:r>
      <w:r>
        <w:rPr>
          <w:sz w:val="20"/>
        </w:rPr>
        <w:t>sample.</w:t>
      </w:r>
    </w:p>
    <w:p>
      <w:pPr>
        <w:pStyle w:val="BodyText"/>
        <w:spacing w:before="10"/>
      </w:pPr>
    </w:p>
    <w:p>
      <w:pPr>
        <w:pStyle w:val="ListParagraph"/>
        <w:numPr>
          <w:ilvl w:val="7"/>
          <w:numId w:val="19"/>
        </w:numPr>
        <w:tabs>
          <w:tab w:pos="2339" w:val="left" w:leader="none"/>
          <w:tab w:pos="2340" w:val="left" w:leader="none"/>
        </w:tabs>
        <w:spacing w:line="240" w:lineRule="auto" w:before="0" w:after="0"/>
        <w:ind w:left="2339" w:right="0" w:hanging="420"/>
        <w:jc w:val="left"/>
        <w:rPr>
          <w:sz w:val="20"/>
        </w:rPr>
      </w:pPr>
      <w:r>
        <w:rPr>
          <w:sz w:val="20"/>
        </w:rPr>
        <w:t>Re-weigh each sample after the tractor feed has been removed and record the</w:t>
      </w:r>
      <w:r>
        <w:rPr>
          <w:spacing w:val="-14"/>
          <w:sz w:val="20"/>
        </w:rPr>
        <w:t> </w:t>
      </w:r>
      <w:r>
        <w:rPr>
          <w:sz w:val="20"/>
        </w:rPr>
        <w:t>weights.</w:t>
      </w:r>
    </w:p>
    <w:p>
      <w:pPr>
        <w:pStyle w:val="BodyText"/>
        <w:spacing w:before="10"/>
      </w:pPr>
    </w:p>
    <w:p>
      <w:pPr>
        <w:pStyle w:val="ListParagraph"/>
        <w:numPr>
          <w:ilvl w:val="7"/>
          <w:numId w:val="19"/>
        </w:numPr>
        <w:tabs>
          <w:tab w:pos="2338" w:val="left" w:leader="none"/>
          <w:tab w:pos="2340" w:val="left" w:leader="none"/>
        </w:tabs>
        <w:spacing w:line="240" w:lineRule="auto" w:before="1" w:after="0"/>
        <w:ind w:left="2339" w:right="0" w:hanging="476"/>
        <w:jc w:val="left"/>
        <w:rPr>
          <w:sz w:val="20"/>
        </w:rPr>
      </w:pPr>
      <w:r>
        <w:rPr>
          <w:sz w:val="20"/>
        </w:rPr>
        <w:t>Calculate an average weight from step v.</w:t>
      </w:r>
    </w:p>
    <w:p>
      <w:pPr>
        <w:pStyle w:val="BodyText"/>
        <w:spacing w:before="10"/>
      </w:pPr>
    </w:p>
    <w:p>
      <w:pPr>
        <w:pStyle w:val="ListParagraph"/>
        <w:numPr>
          <w:ilvl w:val="7"/>
          <w:numId w:val="19"/>
        </w:numPr>
        <w:tabs>
          <w:tab w:pos="2338" w:val="left" w:leader="none"/>
          <w:tab w:pos="2340" w:val="left" w:leader="none"/>
        </w:tabs>
        <w:spacing w:line="240" w:lineRule="auto" w:before="0" w:after="0"/>
        <w:ind w:left="2339" w:right="0" w:hanging="531"/>
        <w:jc w:val="left"/>
        <w:rPr>
          <w:sz w:val="20"/>
        </w:rPr>
      </w:pPr>
      <w:r>
        <w:rPr>
          <w:sz w:val="20"/>
        </w:rPr>
        <w:t>Calculate percentage (%) difference in the average weights in steps iii and</w:t>
      </w:r>
      <w:r>
        <w:rPr>
          <w:spacing w:val="-12"/>
          <w:sz w:val="20"/>
        </w:rPr>
        <w:t> </w:t>
      </w:r>
      <w:r>
        <w:rPr>
          <w:sz w:val="20"/>
        </w:rPr>
        <w:t>vi.</w:t>
      </w:r>
    </w:p>
    <w:p>
      <w:pPr>
        <w:pStyle w:val="BodyText"/>
        <w:spacing w:before="8"/>
      </w:pPr>
    </w:p>
    <w:p>
      <w:pPr>
        <w:pStyle w:val="ListParagraph"/>
        <w:numPr>
          <w:ilvl w:val="7"/>
          <w:numId w:val="19"/>
        </w:numPr>
        <w:tabs>
          <w:tab w:pos="2339" w:val="left" w:leader="none"/>
        </w:tabs>
        <w:spacing w:line="240" w:lineRule="auto" w:before="0" w:after="0"/>
        <w:ind w:left="2338" w:right="416" w:hanging="585"/>
        <w:jc w:val="both"/>
        <w:rPr>
          <w:sz w:val="20"/>
        </w:rPr>
      </w:pPr>
      <w:r>
        <w:rPr>
          <w:sz w:val="20"/>
        </w:rPr>
        <w:t>After the track feed strips have been removed, use the samples to verify the basis weight for the packages of the inspection lot using the formula in 2.6.14.2. Declaration of Net Quantity of Contents.  If the  basis  weight  is less than the  labeled basis  weight,  refer  to 2.6.13.2. Scope and Recommended Enforcement</w:t>
      </w:r>
      <w:r>
        <w:rPr>
          <w:spacing w:val="2"/>
          <w:sz w:val="20"/>
        </w:rPr>
        <w:t> </w:t>
      </w:r>
      <w:r>
        <w:rPr>
          <w:sz w:val="20"/>
        </w:rPr>
        <w:t>Approach.</w:t>
      </w:r>
    </w:p>
    <w:p>
      <w:pPr>
        <w:pStyle w:val="BodyText"/>
        <w:rPr>
          <w:sz w:val="21"/>
        </w:rPr>
      </w:pPr>
    </w:p>
    <w:p>
      <w:pPr>
        <w:pStyle w:val="ListParagraph"/>
        <w:numPr>
          <w:ilvl w:val="7"/>
          <w:numId w:val="19"/>
        </w:numPr>
        <w:tabs>
          <w:tab w:pos="2339" w:val="left" w:leader="none"/>
        </w:tabs>
        <w:spacing w:line="240" w:lineRule="auto" w:before="0" w:after="0"/>
        <w:ind w:left="2338" w:right="419" w:hanging="475"/>
        <w:jc w:val="both"/>
        <w:rPr>
          <w:sz w:val="20"/>
        </w:rPr>
      </w:pPr>
      <w:r>
        <w:rPr>
          <w:sz w:val="20"/>
        </w:rPr>
        <w:t>If the basis weight established in step viii is the same as the labeled basis weight, weigh the</w:t>
      </w:r>
      <w:r>
        <w:rPr>
          <w:spacing w:val="-15"/>
          <w:sz w:val="20"/>
        </w:rPr>
        <w:t> </w:t>
      </w:r>
      <w:r>
        <w:rPr>
          <w:sz w:val="20"/>
        </w:rPr>
        <w:t>remaining</w:t>
      </w:r>
      <w:r>
        <w:rPr>
          <w:spacing w:val="-16"/>
          <w:sz w:val="20"/>
        </w:rPr>
        <w:t> </w:t>
      </w:r>
      <w:r>
        <w:rPr>
          <w:sz w:val="20"/>
        </w:rPr>
        <w:t>packages</w:t>
      </w:r>
      <w:r>
        <w:rPr>
          <w:spacing w:val="-12"/>
          <w:sz w:val="20"/>
        </w:rPr>
        <w:t> </w:t>
      </w:r>
      <w:r>
        <w:rPr>
          <w:sz w:val="20"/>
        </w:rPr>
        <w:t>from</w:t>
      </w:r>
      <w:r>
        <w:rPr>
          <w:spacing w:val="-16"/>
          <w:sz w:val="20"/>
        </w:rPr>
        <w:t> </w:t>
      </w:r>
      <w:r>
        <w:rPr>
          <w:sz w:val="20"/>
        </w:rPr>
        <w:t>the</w:t>
      </w:r>
      <w:r>
        <w:rPr>
          <w:spacing w:val="-14"/>
          <w:sz w:val="20"/>
        </w:rPr>
        <w:t> </w:t>
      </w:r>
      <w:r>
        <w:rPr>
          <w:sz w:val="20"/>
        </w:rPr>
        <w:t>sample</w:t>
      </w:r>
      <w:r>
        <w:rPr>
          <w:spacing w:val="-15"/>
          <w:sz w:val="20"/>
        </w:rPr>
        <w:t> </w:t>
      </w:r>
      <w:r>
        <w:rPr>
          <w:sz w:val="20"/>
        </w:rPr>
        <w:t>and</w:t>
      </w:r>
      <w:r>
        <w:rPr>
          <w:spacing w:val="-14"/>
          <w:sz w:val="20"/>
        </w:rPr>
        <w:t> </w:t>
      </w:r>
      <w:r>
        <w:rPr>
          <w:sz w:val="20"/>
        </w:rPr>
        <w:t>compare</w:t>
      </w:r>
      <w:r>
        <w:rPr>
          <w:spacing w:val="-14"/>
          <w:sz w:val="20"/>
        </w:rPr>
        <w:t> </w:t>
      </w:r>
      <w:r>
        <w:rPr>
          <w:sz w:val="20"/>
        </w:rPr>
        <w:t>the</w:t>
      </w:r>
      <w:r>
        <w:rPr>
          <w:spacing w:val="-15"/>
          <w:sz w:val="20"/>
        </w:rPr>
        <w:t> </w:t>
      </w:r>
      <w:r>
        <w:rPr>
          <w:sz w:val="20"/>
        </w:rPr>
        <w:t>actual</w:t>
      </w:r>
      <w:r>
        <w:rPr>
          <w:spacing w:val="-13"/>
          <w:sz w:val="20"/>
        </w:rPr>
        <w:t> </w:t>
      </w:r>
      <w:r>
        <w:rPr>
          <w:sz w:val="20"/>
        </w:rPr>
        <w:t>net</w:t>
      </w:r>
      <w:r>
        <w:rPr>
          <w:spacing w:val="-12"/>
          <w:sz w:val="20"/>
        </w:rPr>
        <w:t> </w:t>
      </w:r>
      <w:r>
        <w:rPr>
          <w:sz w:val="20"/>
        </w:rPr>
        <w:t>weights</w:t>
      </w:r>
      <w:r>
        <w:rPr>
          <w:spacing w:val="-13"/>
          <w:sz w:val="20"/>
        </w:rPr>
        <w:t> </w:t>
      </w:r>
      <w:r>
        <w:rPr>
          <w:sz w:val="20"/>
        </w:rPr>
        <w:t>with</w:t>
      </w:r>
      <w:r>
        <w:rPr>
          <w:spacing w:val="-14"/>
          <w:sz w:val="20"/>
        </w:rPr>
        <w:t> </w:t>
      </w:r>
      <w:r>
        <w:rPr>
          <w:sz w:val="20"/>
        </w:rPr>
        <w:t>the</w:t>
      </w:r>
      <w:r>
        <w:rPr>
          <w:spacing w:val="-14"/>
          <w:sz w:val="20"/>
        </w:rPr>
        <w:t> </w:t>
      </w:r>
      <w:r>
        <w:rPr>
          <w:sz w:val="20"/>
        </w:rPr>
        <w:t>TNW. (Remember to adjust the TNW up by the percentage established in step</w:t>
      </w:r>
      <w:r>
        <w:rPr>
          <w:spacing w:val="-11"/>
          <w:sz w:val="20"/>
        </w:rPr>
        <w:t> </w:t>
      </w:r>
      <w:r>
        <w:rPr>
          <w:sz w:val="20"/>
        </w:rPr>
        <w:t>vii.)</w:t>
      </w:r>
    </w:p>
    <w:p>
      <w:pPr>
        <w:pStyle w:val="BodyText"/>
        <w:spacing w:before="9"/>
      </w:pPr>
    </w:p>
    <w:p>
      <w:pPr>
        <w:pStyle w:val="ListParagraph"/>
        <w:numPr>
          <w:ilvl w:val="7"/>
          <w:numId w:val="19"/>
        </w:numPr>
        <w:tabs>
          <w:tab w:pos="2338" w:val="left" w:leader="none"/>
          <w:tab w:pos="2339" w:val="left" w:leader="none"/>
        </w:tabs>
        <w:spacing w:line="240" w:lineRule="auto" w:before="0" w:after="0"/>
        <w:ind w:left="2338" w:right="420" w:hanging="420"/>
        <w:jc w:val="left"/>
        <w:rPr>
          <w:sz w:val="20"/>
        </w:rPr>
      </w:pPr>
      <w:r>
        <w:rPr>
          <w:sz w:val="20"/>
        </w:rPr>
        <w:t>If</w:t>
      </w:r>
      <w:r>
        <w:rPr>
          <w:spacing w:val="-7"/>
          <w:sz w:val="20"/>
        </w:rPr>
        <w:t> </w:t>
      </w:r>
      <w:r>
        <w:rPr>
          <w:sz w:val="20"/>
        </w:rPr>
        <w:t>the</w:t>
      </w:r>
      <w:r>
        <w:rPr>
          <w:spacing w:val="-4"/>
          <w:sz w:val="20"/>
        </w:rPr>
        <w:t> </w:t>
      </w:r>
      <w:r>
        <w:rPr>
          <w:sz w:val="20"/>
        </w:rPr>
        <w:t>adjusted</w:t>
      </w:r>
      <w:r>
        <w:rPr>
          <w:spacing w:val="-2"/>
          <w:sz w:val="20"/>
        </w:rPr>
        <w:t> </w:t>
      </w:r>
      <w:r>
        <w:rPr>
          <w:sz w:val="20"/>
        </w:rPr>
        <w:t>weights</w:t>
      </w:r>
      <w:r>
        <w:rPr>
          <w:spacing w:val="-5"/>
          <w:sz w:val="20"/>
        </w:rPr>
        <w:t> </w:t>
      </w:r>
      <w:r>
        <w:rPr>
          <w:sz w:val="20"/>
        </w:rPr>
        <w:t>of</w:t>
      </w:r>
      <w:r>
        <w:rPr>
          <w:spacing w:val="-6"/>
          <w:sz w:val="20"/>
        </w:rPr>
        <w:t> </w:t>
      </w:r>
      <w:r>
        <w:rPr>
          <w:sz w:val="20"/>
        </w:rPr>
        <w:t>the</w:t>
      </w:r>
      <w:r>
        <w:rPr>
          <w:spacing w:val="-5"/>
          <w:sz w:val="20"/>
        </w:rPr>
        <w:t> </w:t>
      </w:r>
      <w:r>
        <w:rPr>
          <w:sz w:val="20"/>
        </w:rPr>
        <w:t>remaining</w:t>
      </w:r>
      <w:r>
        <w:rPr>
          <w:spacing w:val="-3"/>
          <w:sz w:val="20"/>
        </w:rPr>
        <w:t> </w:t>
      </w:r>
      <w:r>
        <w:rPr>
          <w:sz w:val="20"/>
        </w:rPr>
        <w:t>samples</w:t>
      </w:r>
      <w:r>
        <w:rPr>
          <w:spacing w:val="-5"/>
          <w:sz w:val="20"/>
        </w:rPr>
        <w:t> </w:t>
      </w:r>
      <w:r>
        <w:rPr>
          <w:sz w:val="20"/>
        </w:rPr>
        <w:t>is</w:t>
      </w:r>
      <w:r>
        <w:rPr>
          <w:spacing w:val="-6"/>
          <w:sz w:val="20"/>
        </w:rPr>
        <w:t> </w:t>
      </w:r>
      <w:r>
        <w:rPr>
          <w:sz w:val="20"/>
        </w:rPr>
        <w:t>less</w:t>
      </w:r>
      <w:r>
        <w:rPr>
          <w:spacing w:val="-5"/>
          <w:sz w:val="20"/>
        </w:rPr>
        <w:t> </w:t>
      </w:r>
      <w:r>
        <w:rPr>
          <w:sz w:val="20"/>
        </w:rPr>
        <w:t>than</w:t>
      </w:r>
      <w:r>
        <w:rPr>
          <w:spacing w:val="-3"/>
          <w:sz w:val="20"/>
        </w:rPr>
        <w:t> </w:t>
      </w:r>
      <w:r>
        <w:rPr>
          <w:sz w:val="20"/>
        </w:rPr>
        <w:t>the</w:t>
      </w:r>
      <w:r>
        <w:rPr>
          <w:spacing w:val="-5"/>
          <w:sz w:val="20"/>
        </w:rPr>
        <w:t> </w:t>
      </w:r>
      <w:r>
        <w:rPr>
          <w:sz w:val="20"/>
        </w:rPr>
        <w:t>TNW,</w:t>
      </w:r>
      <w:r>
        <w:rPr>
          <w:spacing w:val="-4"/>
          <w:sz w:val="20"/>
        </w:rPr>
        <w:t> </w:t>
      </w:r>
      <w:r>
        <w:rPr>
          <w:sz w:val="20"/>
        </w:rPr>
        <w:t>the</w:t>
      </w:r>
      <w:r>
        <w:rPr>
          <w:spacing w:val="-4"/>
          <w:sz w:val="20"/>
        </w:rPr>
        <w:t> </w:t>
      </w:r>
      <w:r>
        <w:rPr>
          <w:sz w:val="20"/>
        </w:rPr>
        <w:t>deficiency</w:t>
      </w:r>
      <w:r>
        <w:rPr>
          <w:spacing w:val="-4"/>
          <w:sz w:val="20"/>
        </w:rPr>
        <w:t> </w:t>
      </w:r>
      <w:r>
        <w:rPr>
          <w:sz w:val="20"/>
        </w:rPr>
        <w:t>may have been caused</w:t>
      </w:r>
      <w:r>
        <w:rPr>
          <w:spacing w:val="-1"/>
          <w:sz w:val="20"/>
        </w:rPr>
        <w:t> </w:t>
      </w:r>
      <w:r>
        <w:rPr>
          <w:sz w:val="20"/>
        </w:rPr>
        <w:t>by:</w:t>
      </w:r>
    </w:p>
    <w:p>
      <w:pPr>
        <w:pStyle w:val="BodyText"/>
        <w:spacing w:before="11"/>
      </w:pPr>
    </w:p>
    <w:p>
      <w:pPr>
        <w:pStyle w:val="ListParagraph"/>
        <w:numPr>
          <w:ilvl w:val="8"/>
          <w:numId w:val="19"/>
        </w:numPr>
        <w:tabs>
          <w:tab w:pos="2699" w:val="left" w:leader="none"/>
        </w:tabs>
        <w:spacing w:line="240" w:lineRule="auto" w:before="0" w:after="0"/>
        <w:ind w:left="2698" w:right="0" w:hanging="360"/>
        <w:jc w:val="both"/>
        <w:rPr>
          <w:sz w:val="20"/>
        </w:rPr>
      </w:pPr>
      <w:r>
        <w:rPr>
          <w:sz w:val="20"/>
        </w:rPr>
        <w:t>the sheet count in the</w:t>
      </w:r>
      <w:r>
        <w:rPr>
          <w:spacing w:val="-2"/>
          <w:sz w:val="20"/>
        </w:rPr>
        <w:t> </w:t>
      </w:r>
      <w:r>
        <w:rPr>
          <w:sz w:val="20"/>
        </w:rPr>
        <w:t>package.</w:t>
      </w:r>
    </w:p>
    <w:p>
      <w:pPr>
        <w:pStyle w:val="BodyText"/>
        <w:spacing w:before="1"/>
      </w:pPr>
    </w:p>
    <w:p>
      <w:pPr>
        <w:pStyle w:val="ListParagraph"/>
        <w:numPr>
          <w:ilvl w:val="8"/>
          <w:numId w:val="19"/>
        </w:numPr>
        <w:tabs>
          <w:tab w:pos="2699" w:val="left" w:leader="none"/>
        </w:tabs>
        <w:spacing w:line="240" w:lineRule="auto" w:before="0" w:after="0"/>
        <w:ind w:left="2698" w:right="0" w:hanging="360"/>
        <w:jc w:val="both"/>
        <w:rPr>
          <w:sz w:val="20"/>
        </w:rPr>
      </w:pPr>
      <w:r>
        <w:rPr>
          <w:sz w:val="20"/>
        </w:rPr>
        <w:t>the basis weight of the</w:t>
      </w:r>
      <w:r>
        <w:rPr>
          <w:spacing w:val="-1"/>
          <w:sz w:val="20"/>
        </w:rPr>
        <w:t> </w:t>
      </w:r>
      <w:r>
        <w:rPr>
          <w:sz w:val="20"/>
        </w:rPr>
        <w:t>paper.</w:t>
      </w:r>
    </w:p>
    <w:p>
      <w:pPr>
        <w:pStyle w:val="BodyText"/>
        <w:spacing w:before="10"/>
        <w:rPr>
          <w:sz w:val="19"/>
        </w:rPr>
      </w:pPr>
    </w:p>
    <w:p>
      <w:pPr>
        <w:pStyle w:val="ListParagraph"/>
        <w:numPr>
          <w:ilvl w:val="8"/>
          <w:numId w:val="19"/>
        </w:numPr>
        <w:tabs>
          <w:tab w:pos="2699" w:val="left" w:leader="none"/>
        </w:tabs>
        <w:spacing w:line="240" w:lineRule="auto" w:before="0" w:after="0"/>
        <w:ind w:left="2698" w:right="0" w:hanging="360"/>
        <w:jc w:val="both"/>
        <w:rPr>
          <w:sz w:val="20"/>
        </w:rPr>
      </w:pPr>
      <w:r>
        <w:rPr>
          <w:sz w:val="20"/>
        </w:rPr>
        <w:t>the dimensions of the</w:t>
      </w:r>
      <w:r>
        <w:rPr>
          <w:spacing w:val="-4"/>
          <w:sz w:val="20"/>
        </w:rPr>
        <w:t> </w:t>
      </w:r>
      <w:r>
        <w:rPr>
          <w:sz w:val="20"/>
        </w:rPr>
        <w:t>paper.</w:t>
      </w:r>
    </w:p>
    <w:p>
      <w:pPr>
        <w:pStyle w:val="BodyText"/>
      </w:pPr>
    </w:p>
    <w:p>
      <w:pPr>
        <w:pStyle w:val="ListParagraph"/>
        <w:numPr>
          <w:ilvl w:val="8"/>
          <w:numId w:val="19"/>
        </w:numPr>
        <w:tabs>
          <w:tab w:pos="2699" w:val="left" w:leader="none"/>
        </w:tabs>
        <w:spacing w:line="240" w:lineRule="auto" w:before="0" w:after="0"/>
        <w:ind w:left="2698" w:right="0" w:hanging="360"/>
        <w:jc w:val="both"/>
        <w:rPr>
          <w:sz w:val="20"/>
        </w:rPr>
      </w:pPr>
      <w:r>
        <w:rPr>
          <w:sz w:val="20"/>
        </w:rPr>
        <w:t>combinations of the</w:t>
      </w:r>
      <w:r>
        <w:rPr>
          <w:spacing w:val="-4"/>
          <w:sz w:val="20"/>
        </w:rPr>
        <w:t> </w:t>
      </w:r>
      <w:r>
        <w:rPr>
          <w:sz w:val="20"/>
        </w:rPr>
        <w:t>above.</w:t>
      </w:r>
    </w:p>
    <w:p>
      <w:pPr>
        <w:pStyle w:val="BodyText"/>
        <w:spacing w:before="10"/>
        <w:rPr>
          <w:sz w:val="19"/>
        </w:rPr>
      </w:pPr>
    </w:p>
    <w:p>
      <w:pPr>
        <w:pStyle w:val="BodyText"/>
        <w:ind w:left="2338" w:right="418"/>
        <w:jc w:val="both"/>
      </w:pPr>
      <w:r>
        <w:rPr/>
        <w:t>This</w:t>
      </w:r>
      <w:r>
        <w:rPr>
          <w:spacing w:val="-6"/>
        </w:rPr>
        <w:t> </w:t>
      </w:r>
      <w:r>
        <w:rPr/>
        <w:t>procedure</w:t>
      </w:r>
      <w:r>
        <w:rPr>
          <w:spacing w:val="-4"/>
        </w:rPr>
        <w:t> </w:t>
      </w:r>
      <w:r>
        <w:rPr/>
        <w:t>is</w:t>
      </w:r>
      <w:r>
        <w:rPr>
          <w:spacing w:val="-6"/>
        </w:rPr>
        <w:t> </w:t>
      </w:r>
      <w:r>
        <w:rPr/>
        <w:t>for</w:t>
      </w:r>
      <w:r>
        <w:rPr>
          <w:spacing w:val="-4"/>
        </w:rPr>
        <w:t> </w:t>
      </w:r>
      <w:r>
        <w:rPr/>
        <w:t>use</w:t>
      </w:r>
      <w:r>
        <w:rPr>
          <w:spacing w:val="-5"/>
        </w:rPr>
        <w:t> </w:t>
      </w:r>
      <w:r>
        <w:rPr/>
        <w:t>in</w:t>
      </w:r>
      <w:r>
        <w:rPr>
          <w:spacing w:val="-6"/>
        </w:rPr>
        <w:t> </w:t>
      </w:r>
      <w:r>
        <w:rPr/>
        <w:t>verifying</w:t>
      </w:r>
      <w:r>
        <w:rPr>
          <w:spacing w:val="-6"/>
        </w:rPr>
        <w:t> </w:t>
      </w:r>
      <w:r>
        <w:rPr/>
        <w:t>that</w:t>
      </w:r>
      <w:r>
        <w:rPr>
          <w:spacing w:val="-6"/>
        </w:rPr>
        <w:t> </w:t>
      </w:r>
      <w:r>
        <w:rPr/>
        <w:t>the</w:t>
      </w:r>
      <w:r>
        <w:rPr>
          <w:spacing w:val="-4"/>
        </w:rPr>
        <w:t> </w:t>
      </w:r>
      <w:r>
        <w:rPr/>
        <w:t>basis</w:t>
      </w:r>
      <w:r>
        <w:rPr>
          <w:spacing w:val="-4"/>
        </w:rPr>
        <w:t> </w:t>
      </w:r>
      <w:r>
        <w:rPr/>
        <w:t>weight</w:t>
      </w:r>
      <w:r>
        <w:rPr>
          <w:spacing w:val="-5"/>
        </w:rPr>
        <w:t> </w:t>
      </w:r>
      <w:r>
        <w:rPr/>
        <w:t>included</w:t>
      </w:r>
      <w:r>
        <w:rPr>
          <w:spacing w:val="-4"/>
        </w:rPr>
        <w:t> </w:t>
      </w:r>
      <w:r>
        <w:rPr/>
        <w:t>in</w:t>
      </w:r>
      <w:r>
        <w:rPr>
          <w:spacing w:val="-6"/>
        </w:rPr>
        <w:t> </w:t>
      </w:r>
      <w:r>
        <w:rPr/>
        <w:t>a</w:t>
      </w:r>
      <w:r>
        <w:rPr>
          <w:spacing w:val="-4"/>
        </w:rPr>
        <w:t> </w:t>
      </w:r>
      <w:r>
        <w:rPr/>
        <w:t>statement</w:t>
      </w:r>
      <w:r>
        <w:rPr>
          <w:spacing w:val="-6"/>
        </w:rPr>
        <w:t> </w:t>
      </w:r>
      <w:r>
        <w:rPr/>
        <w:t>of</w:t>
      </w:r>
      <w:r>
        <w:rPr>
          <w:spacing w:val="-6"/>
        </w:rPr>
        <w:t> </w:t>
      </w:r>
      <w:r>
        <w:rPr/>
        <w:t>iden- tity is not misleading or deceptive. It is not intended to be used as the final criterion on which enforcement action is taken. Instead, the test procedure is only used to identify potentially</w:t>
      </w:r>
      <w:r>
        <w:rPr>
          <w:spacing w:val="-15"/>
        </w:rPr>
        <w:t> </w:t>
      </w:r>
      <w:r>
        <w:rPr/>
        <w:t>volatile</w:t>
      </w:r>
      <w:r>
        <w:rPr>
          <w:spacing w:val="-13"/>
        </w:rPr>
        <w:t> </w:t>
      </w:r>
      <w:r>
        <w:rPr/>
        <w:t>lots.</w:t>
      </w:r>
      <w:r>
        <w:rPr>
          <w:spacing w:val="22"/>
        </w:rPr>
        <w:t> </w:t>
      </w:r>
      <w:r>
        <w:rPr/>
        <w:t>There</w:t>
      </w:r>
      <w:r>
        <w:rPr>
          <w:spacing w:val="-11"/>
        </w:rPr>
        <w:t> </w:t>
      </w:r>
      <w:r>
        <w:rPr/>
        <w:t>are</w:t>
      </w:r>
      <w:r>
        <w:rPr>
          <w:spacing w:val="-14"/>
        </w:rPr>
        <w:t> </w:t>
      </w:r>
      <w:r>
        <w:rPr/>
        <w:t>two</w:t>
      </w:r>
      <w:r>
        <w:rPr>
          <w:spacing w:val="-13"/>
        </w:rPr>
        <w:t> </w:t>
      </w:r>
      <w:r>
        <w:rPr/>
        <w:t>alternative</w:t>
      </w:r>
      <w:r>
        <w:rPr>
          <w:spacing w:val="-14"/>
        </w:rPr>
        <w:t> </w:t>
      </w:r>
      <w:r>
        <w:rPr/>
        <w:t>actions</w:t>
      </w:r>
      <w:r>
        <w:rPr>
          <w:spacing w:val="-15"/>
        </w:rPr>
        <w:t> </w:t>
      </w:r>
      <w:r>
        <w:rPr/>
        <w:t>that</w:t>
      </w:r>
      <w:r>
        <w:rPr>
          <w:spacing w:val="-12"/>
        </w:rPr>
        <w:t> </w:t>
      </w:r>
      <w:r>
        <w:rPr/>
        <w:t>can</w:t>
      </w:r>
      <w:r>
        <w:rPr>
          <w:spacing w:val="-15"/>
        </w:rPr>
        <w:t> </w:t>
      </w:r>
      <w:r>
        <w:rPr/>
        <w:t>be</w:t>
      </w:r>
      <w:r>
        <w:rPr>
          <w:spacing w:val="-14"/>
        </w:rPr>
        <w:t> </w:t>
      </w:r>
      <w:r>
        <w:rPr/>
        <w:t>taken</w:t>
      </w:r>
      <w:r>
        <w:rPr>
          <w:spacing w:val="-15"/>
        </w:rPr>
        <w:t> </w:t>
      </w:r>
      <w:r>
        <w:rPr/>
        <w:t>if</w:t>
      </w:r>
      <w:r>
        <w:rPr>
          <w:spacing w:val="-16"/>
        </w:rPr>
        <w:t> </w:t>
      </w:r>
      <w:r>
        <w:rPr/>
        <w:t>the</w:t>
      </w:r>
      <w:r>
        <w:rPr>
          <w:spacing w:val="-14"/>
        </w:rPr>
        <w:t> </w:t>
      </w:r>
      <w:r>
        <w:rPr/>
        <w:t>test</w:t>
      </w:r>
      <w:r>
        <w:rPr>
          <w:spacing w:val="-14"/>
        </w:rPr>
        <w:t> </w:t>
      </w:r>
      <w:r>
        <w:rPr/>
        <w:t>results indicate that a lot is potentially volatile. The first is to review the documentation supplied by the original manufacturer to the converter to determine if any misrepresentation has occurred.</w:t>
      </w:r>
      <w:r>
        <w:rPr>
          <w:spacing w:val="20"/>
        </w:rPr>
        <w:t> </w:t>
      </w:r>
      <w:r>
        <w:rPr/>
        <w:t>The</w:t>
      </w:r>
      <w:r>
        <w:rPr>
          <w:spacing w:val="12"/>
        </w:rPr>
        <w:t> </w:t>
      </w:r>
      <w:r>
        <w:rPr/>
        <w:t>second</w:t>
      </w:r>
      <w:r>
        <w:rPr>
          <w:spacing w:val="12"/>
        </w:rPr>
        <w:t> </w:t>
      </w:r>
      <w:r>
        <w:rPr/>
        <w:t>is</w:t>
      </w:r>
      <w:r>
        <w:rPr>
          <w:spacing w:val="12"/>
        </w:rPr>
        <w:t> </w:t>
      </w:r>
      <w:r>
        <w:rPr/>
        <w:t>to</w:t>
      </w:r>
      <w:r>
        <w:rPr>
          <w:spacing w:val="12"/>
        </w:rPr>
        <w:t> </w:t>
      </w:r>
      <w:r>
        <w:rPr/>
        <w:t>collect</w:t>
      </w:r>
      <w:r>
        <w:rPr>
          <w:spacing w:val="12"/>
        </w:rPr>
        <w:t> </w:t>
      </w:r>
      <w:r>
        <w:rPr/>
        <w:t>packages</w:t>
      </w:r>
      <w:r>
        <w:rPr>
          <w:spacing w:val="11"/>
        </w:rPr>
        <w:t> </w:t>
      </w:r>
      <w:r>
        <w:rPr/>
        <w:t>of</w:t>
      </w:r>
      <w:r>
        <w:rPr>
          <w:spacing w:val="11"/>
        </w:rPr>
        <w:t> </w:t>
      </w:r>
      <w:r>
        <w:rPr/>
        <w:t>the</w:t>
      </w:r>
      <w:r>
        <w:rPr>
          <w:spacing w:val="12"/>
        </w:rPr>
        <w:t> </w:t>
      </w:r>
      <w:r>
        <w:rPr/>
        <w:t>paper</w:t>
      </w:r>
      <w:r>
        <w:rPr>
          <w:spacing w:val="13"/>
        </w:rPr>
        <w:t> </w:t>
      </w:r>
      <w:r>
        <w:rPr/>
        <w:t>and</w:t>
      </w:r>
      <w:r>
        <w:rPr>
          <w:spacing w:val="12"/>
        </w:rPr>
        <w:t> </w:t>
      </w:r>
      <w:r>
        <w:rPr/>
        <w:t>test</w:t>
      </w:r>
      <w:r>
        <w:rPr>
          <w:spacing w:val="12"/>
        </w:rPr>
        <w:t> </w:t>
      </w:r>
      <w:r>
        <w:rPr/>
        <w:t>them</w:t>
      </w:r>
      <w:r>
        <w:rPr>
          <w:spacing w:val="7"/>
        </w:rPr>
        <w:t> </w:t>
      </w:r>
      <w:r>
        <w:rPr/>
        <w:t>according</w:t>
      </w:r>
      <w:r>
        <w:rPr>
          <w:spacing w:val="11"/>
        </w:rPr>
        <w:t> </w:t>
      </w:r>
      <w:r>
        <w:rPr/>
        <w:t>to</w:t>
      </w:r>
      <w:r>
        <w:rPr>
          <w:spacing w:val="12"/>
        </w:rPr>
        <w:t> </w:t>
      </w:r>
      <w:r>
        <w:rPr/>
        <w:t>the</w:t>
      </w:r>
    </w:p>
    <w:p>
      <w:pPr>
        <w:spacing w:after="0"/>
        <w:jc w:val="both"/>
        <w:sectPr>
          <w:type w:val="continuous"/>
          <w:pgSz w:w="12240" w:h="15840"/>
          <w:pgMar w:top="1340" w:bottom="940" w:left="1260" w:right="1020"/>
        </w:sectPr>
      </w:pPr>
    </w:p>
    <w:p>
      <w:pPr>
        <w:pStyle w:val="BodyText"/>
        <w:spacing w:before="1"/>
        <w:rPr>
          <w:sz w:val="17"/>
        </w:rPr>
      </w:pPr>
    </w:p>
    <w:p>
      <w:pPr>
        <w:pStyle w:val="BodyText"/>
        <w:spacing w:before="91"/>
        <w:ind w:left="2339"/>
      </w:pPr>
      <w:r>
        <w:rPr/>
        <w:t>latest version of ASTM International Method D646 for “Grammage of Paper and Paper- board.”</w:t>
      </w:r>
    </w:p>
    <w:p>
      <w:pPr>
        <w:pStyle w:val="BodyText"/>
        <w:spacing w:before="4"/>
        <w:rPr>
          <w:sz w:val="31"/>
        </w:rPr>
      </w:pPr>
    </w:p>
    <w:p>
      <w:pPr>
        <w:pStyle w:val="Heading1"/>
        <w:numPr>
          <w:ilvl w:val="2"/>
          <w:numId w:val="12"/>
        </w:numPr>
        <w:tabs>
          <w:tab w:pos="833" w:val="left" w:leader="none"/>
        </w:tabs>
        <w:spacing w:line="240" w:lineRule="auto" w:before="1" w:after="0"/>
        <w:ind w:left="832" w:right="0" w:hanging="652"/>
        <w:jc w:val="left"/>
      </w:pPr>
      <w:bookmarkStart w:name="_bookmark28" w:id="51"/>
      <w:bookmarkEnd w:id="51"/>
      <w:r>
        <w:rPr>
          <w:b w:val="0"/>
        </w:rPr>
      </w:r>
      <w:bookmarkStart w:name="_bookmark28" w:id="52"/>
      <w:bookmarkEnd w:id="52"/>
      <w:r>
        <w:rPr/>
        <w:t>L</w:t>
      </w:r>
      <w:r>
        <w:rPr/>
        <w:t>abeling Guidelines for</w:t>
      </w:r>
      <w:r>
        <w:rPr>
          <w:spacing w:val="2"/>
        </w:rPr>
        <w:t> </w:t>
      </w:r>
      <w:r>
        <w:rPr/>
        <w:t>Chamois.</w:t>
      </w:r>
    </w:p>
    <w:p>
      <w:pPr>
        <w:pStyle w:val="BodyText"/>
        <w:ind w:left="179"/>
      </w:pPr>
      <w:r>
        <w:rPr/>
        <w:t>(L&amp;R, 1999, p. L&amp;R 25)</w:t>
      </w:r>
    </w:p>
    <w:p>
      <w:pPr>
        <w:pStyle w:val="BodyText"/>
        <w:spacing w:before="8"/>
      </w:pPr>
    </w:p>
    <w:p>
      <w:pPr>
        <w:pStyle w:val="BodyText"/>
        <w:ind w:left="179" w:right="349"/>
      </w:pPr>
      <w:r>
        <w:rPr/>
        <w:t>These requirements are based on the Uniform Packaging and Labeling Regulation in the 1999 edition of NIST Hand- book 130, “Uniform Laws and Regulations” and regulations and guidelines of the Federal Trade Commission.</w:t>
      </w:r>
    </w:p>
    <w:p>
      <w:pPr>
        <w:pStyle w:val="BodyText"/>
        <w:spacing w:before="11"/>
      </w:pPr>
    </w:p>
    <w:p>
      <w:pPr>
        <w:pStyle w:val="Heading1"/>
      </w:pPr>
      <w:r>
        <w:rPr/>
        <w:t>General</w:t>
      </w:r>
    </w:p>
    <w:p>
      <w:pPr>
        <w:pStyle w:val="BodyText"/>
        <w:spacing w:before="10"/>
        <w:rPr>
          <w:b/>
        </w:rPr>
      </w:pPr>
    </w:p>
    <w:p>
      <w:pPr>
        <w:pStyle w:val="BodyText"/>
        <w:ind w:left="179" w:right="349"/>
      </w:pPr>
      <w:r>
        <w:rPr/>
        <w:t>The following information must be declared on the principal display panel of the chamois package. The principal display panel is the tag, or label that consumers can examine under normal and customary conditions of display.</w:t>
      </w:r>
    </w:p>
    <w:p>
      <w:pPr>
        <w:pStyle w:val="BodyText"/>
        <w:spacing w:before="11"/>
      </w:pPr>
    </w:p>
    <w:p>
      <w:pPr>
        <w:pStyle w:val="ListParagraph"/>
        <w:numPr>
          <w:ilvl w:val="0"/>
          <w:numId w:val="20"/>
        </w:numPr>
        <w:tabs>
          <w:tab w:pos="899" w:val="left" w:leader="none"/>
          <w:tab w:pos="900" w:val="left" w:leader="none"/>
        </w:tabs>
        <w:spacing w:line="240" w:lineRule="auto" w:before="0" w:after="0"/>
        <w:ind w:left="179" w:right="0" w:firstLine="360"/>
        <w:jc w:val="left"/>
        <w:rPr>
          <w:sz w:val="20"/>
        </w:rPr>
      </w:pPr>
      <w:r>
        <w:rPr>
          <w:sz w:val="20"/>
        </w:rPr>
        <w:t>Identity - what the package</w:t>
      </w:r>
      <w:r>
        <w:rPr>
          <w:spacing w:val="-1"/>
          <w:sz w:val="20"/>
        </w:rPr>
        <w:t> </w:t>
      </w:r>
      <w:r>
        <w:rPr>
          <w:sz w:val="20"/>
        </w:rPr>
        <w:t>contains</w:t>
      </w:r>
    </w:p>
    <w:p>
      <w:pPr>
        <w:pStyle w:val="BodyText"/>
        <w:spacing w:before="8"/>
      </w:pPr>
    </w:p>
    <w:p>
      <w:pPr>
        <w:pStyle w:val="ListParagraph"/>
        <w:numPr>
          <w:ilvl w:val="0"/>
          <w:numId w:val="20"/>
        </w:numPr>
        <w:tabs>
          <w:tab w:pos="899" w:val="left" w:leader="none"/>
          <w:tab w:pos="900" w:val="left" w:leader="none"/>
        </w:tabs>
        <w:spacing w:line="491" w:lineRule="auto" w:before="0" w:after="0"/>
        <w:ind w:left="179" w:right="1693" w:firstLine="360"/>
        <w:jc w:val="left"/>
        <w:rPr>
          <w:sz w:val="20"/>
        </w:rPr>
      </w:pPr>
      <w:r>
        <w:rPr>
          <w:sz w:val="20"/>
        </w:rPr>
        <w:t>Net Quantity of Contents - how many items the package contains and the area of the item(s) The following information may appear anywhere on the</w:t>
      </w:r>
      <w:r>
        <w:rPr>
          <w:spacing w:val="-5"/>
          <w:sz w:val="20"/>
        </w:rPr>
        <w:t> </w:t>
      </w:r>
      <w:r>
        <w:rPr>
          <w:sz w:val="20"/>
        </w:rPr>
        <w:t>package.</w:t>
      </w:r>
    </w:p>
    <w:p>
      <w:pPr>
        <w:pStyle w:val="ListParagraph"/>
        <w:numPr>
          <w:ilvl w:val="0"/>
          <w:numId w:val="20"/>
        </w:numPr>
        <w:tabs>
          <w:tab w:pos="899" w:val="left" w:leader="none"/>
          <w:tab w:pos="900" w:val="left" w:leader="none"/>
        </w:tabs>
        <w:spacing w:line="228" w:lineRule="exact" w:before="0" w:after="0"/>
        <w:ind w:left="899" w:right="0" w:hanging="360"/>
        <w:jc w:val="left"/>
        <w:rPr>
          <w:sz w:val="20"/>
        </w:rPr>
      </w:pPr>
      <w:r>
        <w:rPr>
          <w:sz w:val="20"/>
        </w:rPr>
        <w:t>Responsibility – the party responsible for packaging or distributing the</w:t>
      </w:r>
      <w:r>
        <w:rPr>
          <w:spacing w:val="-12"/>
          <w:sz w:val="20"/>
        </w:rPr>
        <w:t> </w:t>
      </w:r>
      <w:r>
        <w:rPr>
          <w:sz w:val="20"/>
        </w:rPr>
        <w:t>product.</w:t>
      </w:r>
    </w:p>
    <w:p>
      <w:pPr>
        <w:pStyle w:val="BodyText"/>
        <w:spacing w:before="10"/>
      </w:pPr>
    </w:p>
    <w:p>
      <w:pPr>
        <w:pStyle w:val="ListParagraph"/>
        <w:numPr>
          <w:ilvl w:val="3"/>
          <w:numId w:val="21"/>
        </w:numPr>
        <w:tabs>
          <w:tab w:pos="1342" w:val="left" w:leader="none"/>
        </w:tabs>
        <w:spacing w:line="240" w:lineRule="auto" w:before="0" w:after="0"/>
        <w:ind w:left="539" w:right="416" w:firstLine="0"/>
        <w:jc w:val="both"/>
        <w:rPr>
          <w:sz w:val="20"/>
        </w:rPr>
      </w:pPr>
      <w:r>
        <w:rPr>
          <w:b/>
          <w:sz w:val="20"/>
        </w:rPr>
        <w:t>Declaration</w:t>
      </w:r>
      <w:r>
        <w:rPr>
          <w:b/>
          <w:spacing w:val="-3"/>
          <w:sz w:val="20"/>
        </w:rPr>
        <w:t> </w:t>
      </w:r>
      <w:r>
        <w:rPr>
          <w:b/>
          <w:sz w:val="20"/>
        </w:rPr>
        <w:t>of</w:t>
      </w:r>
      <w:r>
        <w:rPr>
          <w:b/>
          <w:spacing w:val="-5"/>
          <w:sz w:val="20"/>
        </w:rPr>
        <w:t> </w:t>
      </w:r>
      <w:r>
        <w:rPr>
          <w:b/>
          <w:sz w:val="20"/>
        </w:rPr>
        <w:t>Identity.</w:t>
      </w:r>
      <w:r>
        <w:rPr>
          <w:b/>
          <w:spacing w:val="-5"/>
          <w:sz w:val="20"/>
        </w:rPr>
        <w:t> </w:t>
      </w:r>
      <w:r>
        <w:rPr>
          <w:sz w:val="20"/>
        </w:rPr>
        <w:t>–</w:t>
      </w:r>
      <w:r>
        <w:rPr>
          <w:spacing w:val="-2"/>
          <w:sz w:val="20"/>
        </w:rPr>
        <w:t> </w:t>
      </w:r>
      <w:r>
        <w:rPr>
          <w:sz w:val="20"/>
        </w:rPr>
        <w:t>Chamois</w:t>
      </w:r>
      <w:r>
        <w:rPr>
          <w:spacing w:val="-4"/>
          <w:sz w:val="20"/>
        </w:rPr>
        <w:t> </w:t>
      </w:r>
      <w:r>
        <w:rPr>
          <w:sz w:val="20"/>
        </w:rPr>
        <w:t>is</w:t>
      </w:r>
      <w:r>
        <w:rPr>
          <w:spacing w:val="-4"/>
          <w:sz w:val="20"/>
        </w:rPr>
        <w:t> </w:t>
      </w:r>
      <w:r>
        <w:rPr>
          <w:sz w:val="20"/>
        </w:rPr>
        <w:t>a</w:t>
      </w:r>
      <w:r>
        <w:rPr>
          <w:spacing w:val="-3"/>
          <w:sz w:val="20"/>
        </w:rPr>
        <w:t> </w:t>
      </w:r>
      <w:r>
        <w:rPr>
          <w:sz w:val="20"/>
        </w:rPr>
        <w:t>natural</w:t>
      </w:r>
      <w:r>
        <w:rPr>
          <w:spacing w:val="-2"/>
          <w:sz w:val="20"/>
        </w:rPr>
        <w:t> </w:t>
      </w:r>
      <w:r>
        <w:rPr>
          <w:sz w:val="20"/>
        </w:rPr>
        <w:t>product</w:t>
      </w:r>
      <w:r>
        <w:rPr>
          <w:spacing w:val="-1"/>
          <w:sz w:val="20"/>
        </w:rPr>
        <w:t> </w:t>
      </w:r>
      <w:r>
        <w:rPr>
          <w:sz w:val="20"/>
        </w:rPr>
        <w:t>made</w:t>
      </w:r>
      <w:r>
        <w:rPr>
          <w:spacing w:val="-3"/>
          <w:sz w:val="20"/>
        </w:rPr>
        <w:t> </w:t>
      </w:r>
      <w:r>
        <w:rPr>
          <w:sz w:val="20"/>
        </w:rPr>
        <w:t>of</w:t>
      </w:r>
      <w:r>
        <w:rPr>
          <w:spacing w:val="-5"/>
          <w:sz w:val="20"/>
        </w:rPr>
        <w:t> </w:t>
      </w:r>
      <w:r>
        <w:rPr>
          <w:sz w:val="20"/>
        </w:rPr>
        <w:t>sheepskin</w:t>
      </w:r>
      <w:r>
        <w:rPr>
          <w:spacing w:val="-2"/>
          <w:sz w:val="20"/>
        </w:rPr>
        <w:t> </w:t>
      </w:r>
      <w:r>
        <w:rPr>
          <w:sz w:val="20"/>
        </w:rPr>
        <w:t>which</w:t>
      </w:r>
      <w:r>
        <w:rPr>
          <w:spacing w:val="-4"/>
          <w:sz w:val="20"/>
        </w:rPr>
        <w:t> </w:t>
      </w:r>
      <w:r>
        <w:rPr>
          <w:sz w:val="20"/>
        </w:rPr>
        <w:t>has</w:t>
      </w:r>
      <w:r>
        <w:rPr>
          <w:spacing w:val="-4"/>
          <w:sz w:val="20"/>
        </w:rPr>
        <w:t> </w:t>
      </w:r>
      <w:r>
        <w:rPr>
          <w:sz w:val="20"/>
        </w:rPr>
        <w:t>been</w:t>
      </w:r>
      <w:r>
        <w:rPr>
          <w:spacing w:val="-4"/>
          <w:sz w:val="20"/>
        </w:rPr>
        <w:t> </w:t>
      </w:r>
      <w:r>
        <w:rPr>
          <w:sz w:val="20"/>
        </w:rPr>
        <w:t>oil</w:t>
      </w:r>
      <w:r>
        <w:rPr>
          <w:spacing w:val="-3"/>
          <w:sz w:val="20"/>
        </w:rPr>
        <w:t> </w:t>
      </w:r>
      <w:r>
        <w:rPr>
          <w:sz w:val="20"/>
        </w:rPr>
        <w:t>tanned. In</w:t>
      </w:r>
      <w:r>
        <w:rPr>
          <w:spacing w:val="-9"/>
          <w:sz w:val="20"/>
        </w:rPr>
        <w:t> </w:t>
      </w:r>
      <w:r>
        <w:rPr>
          <w:sz w:val="20"/>
        </w:rPr>
        <w:t>1964,</w:t>
      </w:r>
      <w:r>
        <w:rPr>
          <w:spacing w:val="-10"/>
          <w:sz w:val="20"/>
        </w:rPr>
        <w:t> </w:t>
      </w:r>
      <w:r>
        <w:rPr>
          <w:sz w:val="20"/>
        </w:rPr>
        <w:t>the</w:t>
      </w:r>
      <w:r>
        <w:rPr>
          <w:spacing w:val="-7"/>
          <w:sz w:val="20"/>
        </w:rPr>
        <w:t> </w:t>
      </w:r>
      <w:r>
        <w:rPr>
          <w:sz w:val="20"/>
        </w:rPr>
        <w:t>FTC</w:t>
      </w:r>
      <w:r>
        <w:rPr>
          <w:spacing w:val="-9"/>
          <w:sz w:val="20"/>
        </w:rPr>
        <w:t> </w:t>
      </w:r>
      <w:r>
        <w:rPr>
          <w:sz w:val="20"/>
        </w:rPr>
        <w:t>issued</w:t>
      </w:r>
      <w:r>
        <w:rPr>
          <w:spacing w:val="-7"/>
          <w:sz w:val="20"/>
        </w:rPr>
        <w:t> </w:t>
      </w:r>
      <w:r>
        <w:rPr>
          <w:sz w:val="20"/>
        </w:rPr>
        <w:t>an</w:t>
      </w:r>
      <w:r>
        <w:rPr>
          <w:spacing w:val="-9"/>
          <w:sz w:val="20"/>
        </w:rPr>
        <w:t> </w:t>
      </w:r>
      <w:r>
        <w:rPr>
          <w:sz w:val="20"/>
        </w:rPr>
        <w:t>advisory</w:t>
      </w:r>
      <w:r>
        <w:rPr>
          <w:spacing w:val="-11"/>
          <w:sz w:val="20"/>
        </w:rPr>
        <w:t> </w:t>
      </w:r>
      <w:r>
        <w:rPr>
          <w:sz w:val="20"/>
        </w:rPr>
        <w:t>opinion</w:t>
      </w:r>
      <w:r>
        <w:rPr>
          <w:spacing w:val="-9"/>
          <w:sz w:val="20"/>
        </w:rPr>
        <w:t> </w:t>
      </w:r>
      <w:r>
        <w:rPr>
          <w:sz w:val="20"/>
        </w:rPr>
        <w:t>stating</w:t>
      </w:r>
      <w:r>
        <w:rPr>
          <w:spacing w:val="-9"/>
          <w:sz w:val="20"/>
        </w:rPr>
        <w:t> </w:t>
      </w:r>
      <w:r>
        <w:rPr>
          <w:sz w:val="20"/>
        </w:rPr>
        <w:t>that</w:t>
      </w:r>
      <w:r>
        <w:rPr>
          <w:spacing w:val="-8"/>
          <w:sz w:val="20"/>
        </w:rPr>
        <w:t> </w:t>
      </w:r>
      <w:r>
        <w:rPr>
          <w:sz w:val="20"/>
        </w:rPr>
        <w:t>using</w:t>
      </w:r>
      <w:r>
        <w:rPr>
          <w:spacing w:val="-9"/>
          <w:sz w:val="20"/>
        </w:rPr>
        <w:t> </w:t>
      </w:r>
      <w:r>
        <w:rPr>
          <w:sz w:val="20"/>
        </w:rPr>
        <w:t>the</w:t>
      </w:r>
      <w:r>
        <w:rPr>
          <w:spacing w:val="-5"/>
          <w:sz w:val="20"/>
        </w:rPr>
        <w:t> </w:t>
      </w:r>
      <w:r>
        <w:rPr>
          <w:sz w:val="20"/>
        </w:rPr>
        <w:t>word</w:t>
      </w:r>
      <w:r>
        <w:rPr>
          <w:spacing w:val="-7"/>
          <w:sz w:val="20"/>
        </w:rPr>
        <w:t> </w:t>
      </w:r>
      <w:r>
        <w:rPr>
          <w:sz w:val="20"/>
        </w:rPr>
        <w:t>“chamois”</w:t>
      </w:r>
      <w:r>
        <w:rPr>
          <w:spacing w:val="-7"/>
          <w:sz w:val="20"/>
        </w:rPr>
        <w:t> </w:t>
      </w:r>
      <w:r>
        <w:rPr>
          <w:sz w:val="20"/>
        </w:rPr>
        <w:t>on</w:t>
      </w:r>
      <w:r>
        <w:rPr>
          <w:spacing w:val="-9"/>
          <w:sz w:val="20"/>
        </w:rPr>
        <w:t> </w:t>
      </w:r>
      <w:r>
        <w:rPr>
          <w:sz w:val="20"/>
        </w:rPr>
        <w:t>a</w:t>
      </w:r>
      <w:r>
        <w:rPr>
          <w:spacing w:val="-7"/>
          <w:sz w:val="20"/>
        </w:rPr>
        <w:t> </w:t>
      </w:r>
      <w:r>
        <w:rPr>
          <w:sz w:val="20"/>
        </w:rPr>
        <w:t>product</w:t>
      </w:r>
      <w:r>
        <w:rPr>
          <w:spacing w:val="-8"/>
          <w:sz w:val="20"/>
        </w:rPr>
        <w:t> </w:t>
      </w:r>
      <w:r>
        <w:rPr>
          <w:sz w:val="20"/>
        </w:rPr>
        <w:t>(e.g.,</w:t>
      </w:r>
      <w:r>
        <w:rPr>
          <w:spacing w:val="-7"/>
          <w:sz w:val="20"/>
        </w:rPr>
        <w:t> </w:t>
      </w:r>
      <w:r>
        <w:rPr>
          <w:sz w:val="20"/>
        </w:rPr>
        <w:t>“Artificial” Chamois,</w:t>
      </w:r>
      <w:r>
        <w:rPr>
          <w:spacing w:val="-8"/>
          <w:sz w:val="20"/>
        </w:rPr>
        <w:t> </w:t>
      </w:r>
      <w:r>
        <w:rPr>
          <w:sz w:val="20"/>
        </w:rPr>
        <w:t>“Synthetic”</w:t>
      </w:r>
      <w:r>
        <w:rPr>
          <w:spacing w:val="-11"/>
          <w:sz w:val="20"/>
        </w:rPr>
        <w:t> </w:t>
      </w:r>
      <w:r>
        <w:rPr>
          <w:sz w:val="20"/>
        </w:rPr>
        <w:t>Chamois,</w:t>
      </w:r>
      <w:r>
        <w:rPr>
          <w:spacing w:val="-11"/>
          <w:sz w:val="20"/>
        </w:rPr>
        <w:t> </w:t>
      </w:r>
      <w:r>
        <w:rPr>
          <w:sz w:val="20"/>
        </w:rPr>
        <w:t>“Pig</w:t>
      </w:r>
      <w:r>
        <w:rPr>
          <w:spacing w:val="-12"/>
          <w:sz w:val="20"/>
        </w:rPr>
        <w:t> </w:t>
      </w:r>
      <w:r>
        <w:rPr>
          <w:sz w:val="20"/>
        </w:rPr>
        <w:t>Chamois”</w:t>
      </w:r>
      <w:r>
        <w:rPr>
          <w:spacing w:val="-10"/>
          <w:sz w:val="20"/>
        </w:rPr>
        <w:t> </w:t>
      </w:r>
      <w:r>
        <w:rPr>
          <w:sz w:val="20"/>
        </w:rPr>
        <w:t>or</w:t>
      </w:r>
      <w:r>
        <w:rPr>
          <w:spacing w:val="-10"/>
          <w:sz w:val="20"/>
        </w:rPr>
        <w:t> </w:t>
      </w:r>
      <w:r>
        <w:rPr>
          <w:sz w:val="20"/>
        </w:rPr>
        <w:t>“Man</w:t>
      </w:r>
      <w:r>
        <w:rPr>
          <w:spacing w:val="-12"/>
          <w:sz w:val="20"/>
        </w:rPr>
        <w:t> </w:t>
      </w:r>
      <w:r>
        <w:rPr>
          <w:sz w:val="20"/>
        </w:rPr>
        <w:t>Made”</w:t>
      </w:r>
      <w:r>
        <w:rPr>
          <w:spacing w:val="-10"/>
          <w:sz w:val="20"/>
        </w:rPr>
        <w:t> </w:t>
      </w:r>
      <w:r>
        <w:rPr>
          <w:sz w:val="20"/>
        </w:rPr>
        <w:t>Chamois)</w:t>
      </w:r>
      <w:r>
        <w:rPr>
          <w:spacing w:val="-10"/>
          <w:sz w:val="20"/>
        </w:rPr>
        <w:t> </w:t>
      </w:r>
      <w:r>
        <w:rPr>
          <w:sz w:val="20"/>
        </w:rPr>
        <w:t>that</w:t>
      </w:r>
      <w:r>
        <w:rPr>
          <w:spacing w:val="-11"/>
          <w:sz w:val="20"/>
        </w:rPr>
        <w:t> </w:t>
      </w:r>
      <w:r>
        <w:rPr>
          <w:sz w:val="20"/>
        </w:rPr>
        <w:t>is</w:t>
      </w:r>
      <w:r>
        <w:rPr>
          <w:spacing w:val="-12"/>
          <w:sz w:val="20"/>
        </w:rPr>
        <w:t> </w:t>
      </w:r>
      <w:r>
        <w:rPr>
          <w:sz w:val="20"/>
        </w:rPr>
        <w:t>not</w:t>
      </w:r>
      <w:r>
        <w:rPr>
          <w:spacing w:val="-8"/>
          <w:sz w:val="20"/>
        </w:rPr>
        <w:t> </w:t>
      </w:r>
      <w:r>
        <w:rPr>
          <w:sz w:val="20"/>
        </w:rPr>
        <w:t>made</w:t>
      </w:r>
      <w:r>
        <w:rPr>
          <w:spacing w:val="-11"/>
          <w:sz w:val="20"/>
        </w:rPr>
        <w:t> </w:t>
      </w:r>
      <w:r>
        <w:rPr>
          <w:sz w:val="20"/>
        </w:rPr>
        <w:t>from</w:t>
      </w:r>
      <w:r>
        <w:rPr>
          <w:spacing w:val="-14"/>
          <w:sz w:val="20"/>
        </w:rPr>
        <w:t> </w:t>
      </w:r>
      <w:r>
        <w:rPr>
          <w:sz w:val="20"/>
        </w:rPr>
        <w:t>oil</w:t>
      </w:r>
      <w:r>
        <w:rPr>
          <w:spacing w:val="-11"/>
          <w:sz w:val="20"/>
        </w:rPr>
        <w:t> </w:t>
      </w:r>
      <w:r>
        <w:rPr>
          <w:sz w:val="20"/>
        </w:rPr>
        <w:t>tanned</w:t>
      </w:r>
      <w:r>
        <w:rPr>
          <w:spacing w:val="-10"/>
          <w:sz w:val="20"/>
        </w:rPr>
        <w:t> </w:t>
      </w:r>
      <w:r>
        <w:rPr>
          <w:sz w:val="20"/>
        </w:rPr>
        <w:t>sheep- skin is unlawful and deceptive. Packages are required to declare identity in terms</w:t>
      </w:r>
      <w:r>
        <w:rPr>
          <w:spacing w:val="-12"/>
          <w:sz w:val="20"/>
        </w:rPr>
        <w:t> </w:t>
      </w:r>
      <w:r>
        <w:rPr>
          <w:sz w:val="20"/>
        </w:rPr>
        <w:t>of:</w:t>
      </w:r>
    </w:p>
    <w:p>
      <w:pPr>
        <w:pStyle w:val="BodyText"/>
        <w:spacing w:before="10"/>
      </w:pPr>
    </w:p>
    <w:p>
      <w:pPr>
        <w:pStyle w:val="ListParagraph"/>
        <w:numPr>
          <w:ilvl w:val="4"/>
          <w:numId w:val="21"/>
        </w:numPr>
        <w:tabs>
          <w:tab w:pos="1350" w:val="left" w:leader="none"/>
          <w:tab w:pos="1351" w:val="left" w:leader="none"/>
        </w:tabs>
        <w:spacing w:line="240" w:lineRule="auto" w:before="0" w:after="0"/>
        <w:ind w:left="1350" w:right="417" w:hanging="376"/>
        <w:jc w:val="left"/>
        <w:rPr>
          <w:sz w:val="20"/>
        </w:rPr>
      </w:pPr>
      <w:r>
        <w:rPr>
          <w:sz w:val="20"/>
        </w:rPr>
        <w:t>the</w:t>
      </w:r>
      <w:r>
        <w:rPr>
          <w:spacing w:val="-3"/>
          <w:sz w:val="20"/>
        </w:rPr>
        <w:t> </w:t>
      </w:r>
      <w:r>
        <w:rPr>
          <w:sz w:val="20"/>
        </w:rPr>
        <w:t>name</w:t>
      </w:r>
      <w:r>
        <w:rPr>
          <w:spacing w:val="-3"/>
          <w:sz w:val="20"/>
        </w:rPr>
        <w:t> </w:t>
      </w:r>
      <w:r>
        <w:rPr>
          <w:sz w:val="20"/>
        </w:rPr>
        <w:t>specified</w:t>
      </w:r>
      <w:r>
        <w:rPr>
          <w:spacing w:val="-2"/>
          <w:sz w:val="20"/>
        </w:rPr>
        <w:t> </w:t>
      </w:r>
      <w:r>
        <w:rPr>
          <w:sz w:val="20"/>
        </w:rPr>
        <w:t>in</w:t>
      </w:r>
      <w:r>
        <w:rPr>
          <w:spacing w:val="-3"/>
          <w:sz w:val="20"/>
        </w:rPr>
        <w:t> </w:t>
      </w:r>
      <w:r>
        <w:rPr>
          <w:sz w:val="20"/>
        </w:rPr>
        <w:t>or</w:t>
      </w:r>
      <w:r>
        <w:rPr>
          <w:spacing w:val="-2"/>
          <w:sz w:val="20"/>
        </w:rPr>
        <w:t> </w:t>
      </w:r>
      <w:r>
        <w:rPr>
          <w:sz w:val="20"/>
        </w:rPr>
        <w:t>required</w:t>
      </w:r>
      <w:r>
        <w:rPr>
          <w:spacing w:val="-2"/>
          <w:sz w:val="20"/>
        </w:rPr>
        <w:t> </w:t>
      </w:r>
      <w:r>
        <w:rPr>
          <w:sz w:val="20"/>
        </w:rPr>
        <w:t>by</w:t>
      </w:r>
      <w:r>
        <w:rPr>
          <w:spacing w:val="-6"/>
          <w:sz w:val="20"/>
        </w:rPr>
        <w:t> </w:t>
      </w:r>
      <w:r>
        <w:rPr>
          <w:sz w:val="20"/>
        </w:rPr>
        <w:t>any</w:t>
      </w:r>
      <w:r>
        <w:rPr>
          <w:spacing w:val="-7"/>
          <w:sz w:val="20"/>
        </w:rPr>
        <w:t> </w:t>
      </w:r>
      <w:r>
        <w:rPr>
          <w:sz w:val="20"/>
        </w:rPr>
        <w:t>applicable</w:t>
      </w:r>
      <w:r>
        <w:rPr>
          <w:spacing w:val="-2"/>
          <w:sz w:val="20"/>
        </w:rPr>
        <w:t> </w:t>
      </w:r>
      <w:r>
        <w:rPr>
          <w:sz w:val="20"/>
        </w:rPr>
        <w:t>federal</w:t>
      </w:r>
      <w:r>
        <w:rPr>
          <w:spacing w:val="-3"/>
          <w:sz w:val="20"/>
        </w:rPr>
        <w:t> </w:t>
      </w:r>
      <w:r>
        <w:rPr>
          <w:sz w:val="20"/>
        </w:rPr>
        <w:t>or</w:t>
      </w:r>
      <w:r>
        <w:rPr>
          <w:spacing w:val="-2"/>
          <w:sz w:val="20"/>
        </w:rPr>
        <w:t> </w:t>
      </w:r>
      <w:r>
        <w:rPr>
          <w:sz w:val="20"/>
        </w:rPr>
        <w:t>state</w:t>
      </w:r>
      <w:r>
        <w:rPr>
          <w:spacing w:val="-2"/>
          <w:sz w:val="20"/>
        </w:rPr>
        <w:t> </w:t>
      </w:r>
      <w:r>
        <w:rPr>
          <w:sz w:val="20"/>
        </w:rPr>
        <w:t>law</w:t>
      </w:r>
      <w:r>
        <w:rPr>
          <w:spacing w:val="-8"/>
          <w:sz w:val="20"/>
        </w:rPr>
        <w:t> </w:t>
      </w:r>
      <w:r>
        <w:rPr>
          <w:sz w:val="20"/>
        </w:rPr>
        <w:t>or</w:t>
      </w:r>
      <w:r>
        <w:rPr>
          <w:spacing w:val="-1"/>
          <w:sz w:val="20"/>
        </w:rPr>
        <w:t> </w:t>
      </w:r>
      <w:r>
        <w:rPr>
          <w:sz w:val="20"/>
        </w:rPr>
        <w:t>regulation</w:t>
      </w:r>
      <w:r>
        <w:rPr>
          <w:spacing w:val="-4"/>
          <w:sz w:val="20"/>
        </w:rPr>
        <w:t> </w:t>
      </w:r>
      <w:r>
        <w:rPr>
          <w:sz w:val="20"/>
        </w:rPr>
        <w:t>or,</w:t>
      </w:r>
      <w:r>
        <w:rPr>
          <w:spacing w:val="-2"/>
          <w:sz w:val="20"/>
        </w:rPr>
        <w:t> </w:t>
      </w:r>
      <w:r>
        <w:rPr>
          <w:sz w:val="20"/>
        </w:rPr>
        <w:t>in</w:t>
      </w:r>
      <w:r>
        <w:rPr>
          <w:spacing w:val="-3"/>
          <w:sz w:val="20"/>
        </w:rPr>
        <w:t> </w:t>
      </w:r>
      <w:r>
        <w:rPr>
          <w:sz w:val="20"/>
        </w:rPr>
        <w:t>the</w:t>
      </w:r>
      <w:r>
        <w:rPr>
          <w:spacing w:val="-3"/>
          <w:sz w:val="20"/>
        </w:rPr>
        <w:t> </w:t>
      </w:r>
      <w:r>
        <w:rPr>
          <w:sz w:val="20"/>
        </w:rPr>
        <w:t>absence of</w:t>
      </w:r>
      <w:r>
        <w:rPr>
          <w:spacing w:val="-3"/>
          <w:sz w:val="20"/>
        </w:rPr>
        <w:t> </w:t>
      </w:r>
      <w:r>
        <w:rPr>
          <w:sz w:val="20"/>
        </w:rPr>
        <w:t>this,</w:t>
      </w:r>
    </w:p>
    <w:p>
      <w:pPr>
        <w:pStyle w:val="BodyText"/>
        <w:spacing w:before="10"/>
      </w:pPr>
    </w:p>
    <w:p>
      <w:pPr>
        <w:pStyle w:val="ListParagraph"/>
        <w:numPr>
          <w:ilvl w:val="4"/>
          <w:numId w:val="21"/>
        </w:numPr>
        <w:tabs>
          <w:tab w:pos="1350" w:val="left" w:leader="none"/>
          <w:tab w:pos="1351" w:val="left" w:leader="none"/>
        </w:tabs>
        <w:spacing w:line="240" w:lineRule="auto" w:before="1" w:after="0"/>
        <w:ind w:left="1350" w:right="0" w:hanging="432"/>
        <w:jc w:val="left"/>
        <w:rPr>
          <w:sz w:val="20"/>
        </w:rPr>
      </w:pPr>
      <w:r>
        <w:rPr>
          <w:sz w:val="20"/>
        </w:rPr>
        <w:t>the common or usual name or, in the absence of</w:t>
      </w:r>
      <w:r>
        <w:rPr>
          <w:spacing w:val="-3"/>
          <w:sz w:val="20"/>
        </w:rPr>
        <w:t> </w:t>
      </w:r>
      <w:r>
        <w:rPr>
          <w:sz w:val="20"/>
        </w:rPr>
        <w:t>this,</w:t>
      </w:r>
    </w:p>
    <w:p>
      <w:pPr>
        <w:pStyle w:val="BodyText"/>
        <w:spacing w:before="10"/>
      </w:pPr>
    </w:p>
    <w:p>
      <w:pPr>
        <w:pStyle w:val="ListParagraph"/>
        <w:numPr>
          <w:ilvl w:val="4"/>
          <w:numId w:val="21"/>
        </w:numPr>
        <w:tabs>
          <w:tab w:pos="1350" w:val="left" w:leader="none"/>
          <w:tab w:pos="1351" w:val="left" w:leader="none"/>
        </w:tabs>
        <w:spacing w:line="240" w:lineRule="auto" w:before="0" w:after="0"/>
        <w:ind w:left="1350" w:right="0" w:hanging="487"/>
        <w:jc w:val="left"/>
        <w:rPr>
          <w:sz w:val="20"/>
        </w:rPr>
      </w:pPr>
      <w:r>
        <w:rPr>
          <w:sz w:val="20"/>
        </w:rPr>
        <w:t>the generic name or other appropriate description, including a statement of</w:t>
      </w:r>
      <w:r>
        <w:rPr>
          <w:spacing w:val="-7"/>
          <w:sz w:val="20"/>
        </w:rPr>
        <w:t> </w:t>
      </w:r>
      <w:r>
        <w:rPr>
          <w:sz w:val="20"/>
        </w:rPr>
        <w:t>function.</w:t>
      </w:r>
    </w:p>
    <w:p>
      <w:pPr>
        <w:pStyle w:val="BodyText"/>
        <w:spacing w:before="8"/>
      </w:pPr>
    </w:p>
    <w:p>
      <w:pPr>
        <w:pStyle w:val="Heading1"/>
        <w:ind w:left="899"/>
      </w:pPr>
      <w:r>
        <w:rPr/>
        <w:t>Example:</w:t>
      </w:r>
    </w:p>
    <w:p>
      <w:pPr>
        <w:pStyle w:val="BodyText"/>
        <w:ind w:left="899"/>
      </w:pPr>
      <w:r>
        <w:rPr/>
        <w:t>Chamois, Natural Chamois Leather</w:t>
      </w:r>
    </w:p>
    <w:p>
      <w:pPr>
        <w:pStyle w:val="BodyText"/>
        <w:spacing w:before="11"/>
      </w:pPr>
    </w:p>
    <w:p>
      <w:pPr>
        <w:pStyle w:val="ListParagraph"/>
        <w:numPr>
          <w:ilvl w:val="3"/>
          <w:numId w:val="21"/>
        </w:numPr>
        <w:tabs>
          <w:tab w:pos="1332" w:val="left" w:leader="none"/>
        </w:tabs>
        <w:spacing w:line="240" w:lineRule="auto" w:before="0" w:after="0"/>
        <w:ind w:left="539" w:right="419" w:firstLine="0"/>
        <w:jc w:val="left"/>
        <w:rPr>
          <w:sz w:val="20"/>
        </w:rPr>
      </w:pPr>
      <w:r>
        <w:rPr>
          <w:b/>
          <w:sz w:val="20"/>
        </w:rPr>
        <w:t>Declaration</w:t>
      </w:r>
      <w:r>
        <w:rPr>
          <w:b/>
          <w:spacing w:val="-11"/>
          <w:sz w:val="20"/>
        </w:rPr>
        <w:t> </w:t>
      </w:r>
      <w:r>
        <w:rPr>
          <w:b/>
          <w:sz w:val="20"/>
        </w:rPr>
        <w:t>of</w:t>
      </w:r>
      <w:r>
        <w:rPr>
          <w:b/>
          <w:spacing w:val="-6"/>
          <w:sz w:val="20"/>
        </w:rPr>
        <w:t> </w:t>
      </w:r>
      <w:r>
        <w:rPr>
          <w:b/>
          <w:sz w:val="20"/>
        </w:rPr>
        <w:t>Net</w:t>
      </w:r>
      <w:r>
        <w:rPr>
          <w:b/>
          <w:spacing w:val="-8"/>
          <w:sz w:val="20"/>
        </w:rPr>
        <w:t> </w:t>
      </w:r>
      <w:r>
        <w:rPr>
          <w:b/>
          <w:sz w:val="20"/>
        </w:rPr>
        <w:t>Quantity</w:t>
      </w:r>
      <w:r>
        <w:rPr>
          <w:b/>
          <w:spacing w:val="-6"/>
          <w:sz w:val="20"/>
        </w:rPr>
        <w:t> </w:t>
      </w:r>
      <w:r>
        <w:rPr>
          <w:b/>
          <w:sz w:val="20"/>
        </w:rPr>
        <w:t>of</w:t>
      </w:r>
      <w:r>
        <w:rPr>
          <w:b/>
          <w:spacing w:val="-6"/>
          <w:sz w:val="20"/>
        </w:rPr>
        <w:t> </w:t>
      </w:r>
      <w:r>
        <w:rPr>
          <w:b/>
          <w:sz w:val="20"/>
        </w:rPr>
        <w:t>Contents.</w:t>
      </w:r>
      <w:r>
        <w:rPr>
          <w:b/>
          <w:spacing w:val="-7"/>
          <w:sz w:val="20"/>
        </w:rPr>
        <w:t> </w:t>
      </w:r>
      <w:r>
        <w:rPr>
          <w:sz w:val="20"/>
        </w:rPr>
        <w:t>–</w:t>
      </w:r>
      <w:r>
        <w:rPr>
          <w:spacing w:val="-8"/>
          <w:sz w:val="20"/>
        </w:rPr>
        <w:t> </w:t>
      </w:r>
      <w:r>
        <w:rPr>
          <w:sz w:val="20"/>
        </w:rPr>
        <w:t>The</w:t>
      </w:r>
      <w:r>
        <w:rPr>
          <w:spacing w:val="-6"/>
          <w:sz w:val="20"/>
        </w:rPr>
        <w:t> </w:t>
      </w:r>
      <w:r>
        <w:rPr>
          <w:sz w:val="20"/>
        </w:rPr>
        <w:t>following</w:t>
      </w:r>
      <w:r>
        <w:rPr>
          <w:spacing w:val="-8"/>
          <w:sz w:val="20"/>
        </w:rPr>
        <w:t> </w:t>
      </w:r>
      <w:r>
        <w:rPr>
          <w:sz w:val="20"/>
        </w:rPr>
        <w:t>information</w:t>
      </w:r>
      <w:r>
        <w:rPr>
          <w:spacing w:val="-8"/>
          <w:sz w:val="20"/>
        </w:rPr>
        <w:t> </w:t>
      </w:r>
      <w:r>
        <w:rPr>
          <w:sz w:val="20"/>
        </w:rPr>
        <w:t>is</w:t>
      </w:r>
      <w:r>
        <w:rPr>
          <w:spacing w:val="-8"/>
          <w:sz w:val="20"/>
        </w:rPr>
        <w:t> </w:t>
      </w:r>
      <w:r>
        <w:rPr>
          <w:sz w:val="20"/>
        </w:rPr>
        <w:t>to</w:t>
      </w:r>
      <w:r>
        <w:rPr>
          <w:spacing w:val="-6"/>
          <w:sz w:val="20"/>
        </w:rPr>
        <w:t> </w:t>
      </w:r>
      <w:r>
        <w:rPr>
          <w:sz w:val="20"/>
        </w:rPr>
        <w:t>appear</w:t>
      </w:r>
      <w:r>
        <w:rPr>
          <w:spacing w:val="-7"/>
          <w:sz w:val="20"/>
        </w:rPr>
        <w:t> </w:t>
      </w:r>
      <w:r>
        <w:rPr>
          <w:sz w:val="20"/>
        </w:rPr>
        <w:t>on</w:t>
      </w:r>
      <w:r>
        <w:rPr>
          <w:spacing w:val="-8"/>
          <w:sz w:val="20"/>
        </w:rPr>
        <w:t> </w:t>
      </w:r>
      <w:r>
        <w:rPr>
          <w:sz w:val="20"/>
        </w:rPr>
        <w:t>the</w:t>
      </w:r>
      <w:r>
        <w:rPr>
          <w:spacing w:val="-6"/>
          <w:sz w:val="20"/>
        </w:rPr>
        <w:t> </w:t>
      </w:r>
      <w:r>
        <w:rPr>
          <w:sz w:val="20"/>
        </w:rPr>
        <w:t>lower</w:t>
      </w:r>
      <w:r>
        <w:rPr>
          <w:spacing w:val="-6"/>
          <w:sz w:val="20"/>
        </w:rPr>
        <w:t> </w:t>
      </w:r>
      <w:r>
        <w:rPr>
          <w:sz w:val="20"/>
        </w:rPr>
        <w:t>30</w:t>
      </w:r>
      <w:r>
        <w:rPr>
          <w:spacing w:val="-2"/>
          <w:sz w:val="20"/>
        </w:rPr>
        <w:t> </w:t>
      </w:r>
      <w:r>
        <w:rPr>
          <w:sz w:val="20"/>
        </w:rPr>
        <w:t>% of the principal display panel of all</w:t>
      </w:r>
      <w:r>
        <w:rPr>
          <w:spacing w:val="-5"/>
          <w:sz w:val="20"/>
        </w:rPr>
        <w:t> </w:t>
      </w:r>
      <w:r>
        <w:rPr>
          <w:sz w:val="20"/>
        </w:rPr>
        <w:t>packages:</w:t>
      </w:r>
    </w:p>
    <w:p>
      <w:pPr>
        <w:pStyle w:val="BodyText"/>
        <w:spacing w:before="10"/>
      </w:pPr>
    </w:p>
    <w:p>
      <w:pPr>
        <w:pStyle w:val="BodyText"/>
        <w:spacing w:before="1"/>
        <w:ind w:left="899"/>
      </w:pPr>
      <w:r>
        <w:rPr/>
        <w:t>Count</w:t>
      </w:r>
    </w:p>
    <w:p>
      <w:pPr>
        <w:pStyle w:val="BodyText"/>
        <w:spacing w:before="10"/>
      </w:pPr>
    </w:p>
    <w:p>
      <w:pPr>
        <w:pStyle w:val="ListParagraph"/>
        <w:numPr>
          <w:ilvl w:val="0"/>
          <w:numId w:val="22"/>
        </w:numPr>
        <w:tabs>
          <w:tab w:pos="1351" w:val="left" w:leader="none"/>
        </w:tabs>
        <w:spacing w:line="240" w:lineRule="auto" w:before="0" w:after="0"/>
        <w:ind w:left="1350" w:right="415" w:hanging="451"/>
        <w:jc w:val="both"/>
        <w:rPr>
          <w:sz w:val="20"/>
        </w:rPr>
      </w:pPr>
      <w:r>
        <w:rPr>
          <w:sz w:val="20"/>
        </w:rPr>
        <w:t>The</w:t>
      </w:r>
      <w:r>
        <w:rPr>
          <w:spacing w:val="-6"/>
          <w:sz w:val="20"/>
        </w:rPr>
        <w:t> </w:t>
      </w:r>
      <w:r>
        <w:rPr>
          <w:sz w:val="20"/>
        </w:rPr>
        <w:t>package</w:t>
      </w:r>
      <w:r>
        <w:rPr>
          <w:spacing w:val="-3"/>
          <w:sz w:val="20"/>
        </w:rPr>
        <w:t> </w:t>
      </w:r>
      <w:r>
        <w:rPr>
          <w:sz w:val="20"/>
        </w:rPr>
        <w:t>must</w:t>
      </w:r>
      <w:r>
        <w:rPr>
          <w:spacing w:val="-6"/>
          <w:sz w:val="20"/>
        </w:rPr>
        <w:t> </w:t>
      </w:r>
      <w:r>
        <w:rPr>
          <w:sz w:val="20"/>
        </w:rPr>
        <w:t>include</w:t>
      </w:r>
      <w:r>
        <w:rPr>
          <w:spacing w:val="-5"/>
          <w:sz w:val="20"/>
        </w:rPr>
        <w:t> </w:t>
      </w:r>
      <w:r>
        <w:rPr>
          <w:sz w:val="20"/>
        </w:rPr>
        <w:t>a</w:t>
      </w:r>
      <w:r>
        <w:rPr>
          <w:spacing w:val="-6"/>
          <w:sz w:val="20"/>
        </w:rPr>
        <w:t> </w:t>
      </w:r>
      <w:r>
        <w:rPr>
          <w:sz w:val="20"/>
        </w:rPr>
        <w:t>count</w:t>
      </w:r>
      <w:r>
        <w:rPr>
          <w:spacing w:val="-6"/>
          <w:sz w:val="20"/>
        </w:rPr>
        <w:t> </w:t>
      </w:r>
      <w:r>
        <w:rPr>
          <w:sz w:val="20"/>
        </w:rPr>
        <w:t>declaration</w:t>
      </w:r>
      <w:r>
        <w:rPr>
          <w:spacing w:val="-7"/>
          <w:sz w:val="20"/>
        </w:rPr>
        <w:t> </w:t>
      </w:r>
      <w:r>
        <w:rPr>
          <w:sz w:val="20"/>
        </w:rPr>
        <w:t>(e.g.,</w:t>
      </w:r>
      <w:r>
        <w:rPr>
          <w:spacing w:val="-5"/>
          <w:sz w:val="20"/>
        </w:rPr>
        <w:t> </w:t>
      </w:r>
      <w:r>
        <w:rPr>
          <w:sz w:val="20"/>
        </w:rPr>
        <w:t>1</w:t>
      </w:r>
      <w:r>
        <w:rPr>
          <w:spacing w:val="-2"/>
          <w:sz w:val="20"/>
        </w:rPr>
        <w:t> </w:t>
      </w:r>
      <w:r>
        <w:rPr>
          <w:sz w:val="20"/>
        </w:rPr>
        <w:t>Chamois)</w:t>
      </w:r>
      <w:r>
        <w:rPr>
          <w:spacing w:val="-6"/>
          <w:sz w:val="20"/>
        </w:rPr>
        <w:t> </w:t>
      </w:r>
      <w:r>
        <w:rPr>
          <w:sz w:val="20"/>
        </w:rPr>
        <w:t>unless</w:t>
      </w:r>
      <w:r>
        <w:rPr>
          <w:spacing w:val="-6"/>
          <w:sz w:val="20"/>
        </w:rPr>
        <w:t> </w:t>
      </w:r>
      <w:r>
        <w:rPr>
          <w:sz w:val="20"/>
        </w:rPr>
        <w:t>the</w:t>
      </w:r>
      <w:r>
        <w:rPr>
          <w:spacing w:val="-5"/>
          <w:sz w:val="20"/>
        </w:rPr>
        <w:t> </w:t>
      </w:r>
      <w:r>
        <w:rPr>
          <w:sz w:val="20"/>
        </w:rPr>
        <w:t>statement</w:t>
      </w:r>
      <w:r>
        <w:rPr>
          <w:spacing w:val="-6"/>
          <w:sz w:val="20"/>
        </w:rPr>
        <w:t> </w:t>
      </w:r>
      <w:r>
        <w:rPr>
          <w:sz w:val="20"/>
        </w:rPr>
        <w:t>of</w:t>
      </w:r>
      <w:r>
        <w:rPr>
          <w:spacing w:val="-7"/>
          <w:sz w:val="20"/>
        </w:rPr>
        <w:t> </w:t>
      </w:r>
      <w:r>
        <w:rPr>
          <w:sz w:val="20"/>
        </w:rPr>
        <w:t>identity</w:t>
      </w:r>
      <w:r>
        <w:rPr>
          <w:spacing w:val="-9"/>
          <w:sz w:val="20"/>
        </w:rPr>
        <w:t> </w:t>
      </w:r>
      <w:r>
        <w:rPr>
          <w:sz w:val="20"/>
        </w:rPr>
        <w:t>clearly expresses the fact that only one unit is contained in the package. A package containing two or more units shall bear a statement in terms of count (e.g., 2</w:t>
      </w:r>
      <w:r>
        <w:rPr>
          <w:spacing w:val="-5"/>
          <w:sz w:val="20"/>
        </w:rPr>
        <w:t> </w:t>
      </w:r>
      <w:r>
        <w:rPr>
          <w:sz w:val="20"/>
        </w:rPr>
        <w:t>Chamois).</w:t>
      </w:r>
    </w:p>
    <w:p>
      <w:pPr>
        <w:pStyle w:val="BodyText"/>
        <w:spacing w:before="9"/>
      </w:pPr>
    </w:p>
    <w:p>
      <w:pPr>
        <w:pStyle w:val="BodyText"/>
        <w:ind w:left="899"/>
      </w:pPr>
      <w:r>
        <w:rPr/>
        <w:t>Area</w:t>
      </w:r>
    </w:p>
    <w:p>
      <w:pPr>
        <w:pStyle w:val="BodyText"/>
        <w:spacing w:before="10"/>
      </w:pPr>
    </w:p>
    <w:p>
      <w:pPr>
        <w:pStyle w:val="ListParagraph"/>
        <w:numPr>
          <w:ilvl w:val="0"/>
          <w:numId w:val="22"/>
        </w:numPr>
        <w:tabs>
          <w:tab w:pos="1379" w:val="left" w:leader="none"/>
          <w:tab w:pos="1380" w:val="left" w:leader="none"/>
        </w:tabs>
        <w:spacing w:line="240" w:lineRule="auto" w:before="0" w:after="0"/>
        <w:ind w:left="1379" w:right="0" w:hanging="480"/>
        <w:jc w:val="left"/>
        <w:rPr>
          <w:sz w:val="20"/>
        </w:rPr>
      </w:pPr>
      <w:r>
        <w:rPr>
          <w:sz w:val="20"/>
        </w:rPr>
        <w:t>Chamois packages must have area declarations in both U.S. customary and metric</w:t>
      </w:r>
      <w:r>
        <w:rPr>
          <w:spacing w:val="-9"/>
          <w:sz w:val="20"/>
        </w:rPr>
        <w:t> </w:t>
      </w:r>
      <w:r>
        <w:rPr>
          <w:sz w:val="20"/>
        </w:rPr>
        <w:t>units.</w:t>
      </w:r>
    </w:p>
    <w:p>
      <w:pPr>
        <w:pStyle w:val="BodyText"/>
        <w:spacing w:before="10"/>
      </w:pPr>
    </w:p>
    <w:p>
      <w:pPr>
        <w:pStyle w:val="BodyText"/>
        <w:spacing w:before="1"/>
        <w:ind w:left="899"/>
      </w:pPr>
      <w:r>
        <w:rPr/>
        <w:t>Metric</w:t>
      </w:r>
    </w:p>
    <w:p>
      <w:pPr>
        <w:pStyle w:val="BodyText"/>
        <w:spacing w:before="3"/>
      </w:pPr>
    </w:p>
    <w:p>
      <w:pPr>
        <w:pStyle w:val="ListParagraph"/>
        <w:numPr>
          <w:ilvl w:val="0"/>
          <w:numId w:val="22"/>
        </w:numPr>
        <w:tabs>
          <w:tab w:pos="1379" w:val="left" w:leader="none"/>
          <w:tab w:pos="1380" w:val="left" w:leader="none"/>
        </w:tabs>
        <w:spacing w:line="240" w:lineRule="auto" w:before="0" w:after="0"/>
        <w:ind w:left="1380" w:right="418" w:hanging="481"/>
        <w:jc w:val="left"/>
        <w:rPr>
          <w:sz w:val="20"/>
        </w:rPr>
      </w:pPr>
      <w:r>
        <w:rPr>
          <w:sz w:val="20"/>
        </w:rPr>
        <w:t>For</w:t>
      </w:r>
      <w:r>
        <w:rPr>
          <w:spacing w:val="-3"/>
          <w:sz w:val="20"/>
        </w:rPr>
        <w:t> </w:t>
      </w:r>
      <w:r>
        <w:rPr>
          <w:sz w:val="20"/>
        </w:rPr>
        <w:t>areas</w:t>
      </w:r>
      <w:r>
        <w:rPr>
          <w:spacing w:val="-4"/>
          <w:sz w:val="20"/>
        </w:rPr>
        <w:t> </w:t>
      </w:r>
      <w:r>
        <w:rPr>
          <w:sz w:val="20"/>
        </w:rPr>
        <w:t>that</w:t>
      </w:r>
      <w:r>
        <w:rPr>
          <w:spacing w:val="-4"/>
          <w:sz w:val="20"/>
        </w:rPr>
        <w:t> </w:t>
      </w:r>
      <w:r>
        <w:rPr>
          <w:sz w:val="20"/>
        </w:rPr>
        <w:t>measure</w:t>
      </w:r>
      <w:r>
        <w:rPr>
          <w:spacing w:val="-3"/>
          <w:sz w:val="20"/>
        </w:rPr>
        <w:t> </w:t>
      </w:r>
      <w:r>
        <w:rPr>
          <w:sz w:val="20"/>
        </w:rPr>
        <w:t>less</w:t>
      </w:r>
      <w:r>
        <w:rPr>
          <w:spacing w:val="-4"/>
          <w:sz w:val="20"/>
        </w:rPr>
        <w:t> </w:t>
      </w:r>
      <w:r>
        <w:rPr>
          <w:sz w:val="20"/>
        </w:rPr>
        <w:t>than</w:t>
      </w:r>
      <w:r>
        <w:rPr>
          <w:spacing w:val="-5"/>
          <w:sz w:val="20"/>
        </w:rPr>
        <w:t> </w:t>
      </w:r>
      <w:r>
        <w:rPr>
          <w:sz w:val="20"/>
        </w:rPr>
        <w:t>1</w:t>
      </w:r>
      <w:r>
        <w:rPr>
          <w:spacing w:val="-2"/>
          <w:sz w:val="20"/>
        </w:rPr>
        <w:t> </w:t>
      </w:r>
      <w:r>
        <w:rPr>
          <w:sz w:val="20"/>
        </w:rPr>
        <w:t>m</w:t>
      </w:r>
      <w:r>
        <w:rPr>
          <w:position w:val="7"/>
          <w:sz w:val="13"/>
        </w:rPr>
        <w:t>2</w:t>
      </w:r>
      <w:r>
        <w:rPr>
          <w:sz w:val="20"/>
        </w:rPr>
        <w:t>,</w:t>
      </w:r>
      <w:r>
        <w:rPr>
          <w:spacing w:val="-3"/>
          <w:sz w:val="20"/>
        </w:rPr>
        <w:t> </w:t>
      </w:r>
      <w:r>
        <w:rPr>
          <w:sz w:val="20"/>
        </w:rPr>
        <w:t>the</w:t>
      </w:r>
      <w:r>
        <w:rPr>
          <w:spacing w:val="-3"/>
          <w:sz w:val="20"/>
        </w:rPr>
        <w:t> </w:t>
      </w:r>
      <w:r>
        <w:rPr>
          <w:sz w:val="20"/>
        </w:rPr>
        <w:t>area</w:t>
      </w:r>
      <w:r>
        <w:rPr>
          <w:spacing w:val="-3"/>
          <w:sz w:val="20"/>
        </w:rPr>
        <w:t> </w:t>
      </w:r>
      <w:r>
        <w:rPr>
          <w:sz w:val="20"/>
        </w:rPr>
        <w:t>should</w:t>
      </w:r>
      <w:r>
        <w:rPr>
          <w:spacing w:val="-3"/>
          <w:sz w:val="20"/>
        </w:rPr>
        <w:t> </w:t>
      </w:r>
      <w:r>
        <w:rPr>
          <w:sz w:val="20"/>
        </w:rPr>
        <w:t>be</w:t>
      </w:r>
      <w:r>
        <w:rPr>
          <w:spacing w:val="-3"/>
          <w:sz w:val="20"/>
        </w:rPr>
        <w:t> </w:t>
      </w:r>
      <w:r>
        <w:rPr>
          <w:sz w:val="20"/>
        </w:rPr>
        <w:t>stated</w:t>
      </w:r>
      <w:r>
        <w:rPr>
          <w:spacing w:val="-3"/>
          <w:sz w:val="20"/>
        </w:rPr>
        <w:t> </w:t>
      </w:r>
      <w:r>
        <w:rPr>
          <w:sz w:val="20"/>
        </w:rPr>
        <w:t>in</w:t>
      </w:r>
      <w:r>
        <w:rPr>
          <w:spacing w:val="-4"/>
          <w:sz w:val="20"/>
        </w:rPr>
        <w:t> </w:t>
      </w:r>
      <w:r>
        <w:rPr>
          <w:sz w:val="20"/>
        </w:rPr>
        <w:t>square</w:t>
      </w:r>
      <w:r>
        <w:rPr>
          <w:spacing w:val="-3"/>
          <w:sz w:val="20"/>
        </w:rPr>
        <w:t> </w:t>
      </w:r>
      <w:r>
        <w:rPr>
          <w:sz w:val="20"/>
        </w:rPr>
        <w:t>decimeters</w:t>
      </w:r>
      <w:r>
        <w:rPr>
          <w:spacing w:val="-5"/>
          <w:sz w:val="20"/>
        </w:rPr>
        <w:t> </w:t>
      </w:r>
      <w:r>
        <w:rPr>
          <w:sz w:val="20"/>
        </w:rPr>
        <w:t>and</w:t>
      </w:r>
      <w:r>
        <w:rPr>
          <w:spacing w:val="-2"/>
          <w:sz w:val="20"/>
        </w:rPr>
        <w:t> </w:t>
      </w:r>
      <w:r>
        <w:rPr>
          <w:sz w:val="20"/>
        </w:rPr>
        <w:t>decimal</w:t>
      </w:r>
      <w:r>
        <w:rPr>
          <w:spacing w:val="-4"/>
          <w:sz w:val="20"/>
        </w:rPr>
        <w:t> </w:t>
      </w:r>
      <w:r>
        <w:rPr>
          <w:sz w:val="20"/>
        </w:rPr>
        <w:t>frac- tions of a square decimeter or in square centimeters and decimal fractions of a square</w:t>
      </w:r>
      <w:r>
        <w:rPr>
          <w:spacing w:val="-31"/>
          <w:sz w:val="20"/>
        </w:rPr>
        <w:t> </w:t>
      </w:r>
      <w:r>
        <w:rPr>
          <w:sz w:val="20"/>
        </w:rPr>
        <w:t>centimeter;</w:t>
      </w:r>
    </w:p>
    <w:p>
      <w:pPr>
        <w:spacing w:after="0" w:line="240" w:lineRule="auto"/>
        <w:jc w:val="left"/>
        <w:rPr>
          <w:sz w:val="20"/>
        </w:rPr>
        <w:sectPr>
          <w:pgSz w:w="12240" w:h="15840"/>
          <w:pgMar w:header="730" w:footer="740" w:top="1340" w:bottom="940" w:left="1260" w:right="1020"/>
        </w:sectPr>
      </w:pPr>
    </w:p>
    <w:p>
      <w:pPr>
        <w:pStyle w:val="ListParagraph"/>
        <w:numPr>
          <w:ilvl w:val="0"/>
          <w:numId w:val="22"/>
        </w:numPr>
        <w:tabs>
          <w:tab w:pos="1379" w:val="left" w:leader="none"/>
          <w:tab w:pos="1380" w:val="left" w:leader="none"/>
        </w:tabs>
        <w:spacing w:line="240" w:lineRule="auto" w:before="84" w:after="0"/>
        <w:ind w:left="1380" w:right="417" w:hanging="481"/>
        <w:jc w:val="left"/>
        <w:rPr>
          <w:sz w:val="20"/>
        </w:rPr>
      </w:pPr>
      <w:r>
        <w:rPr>
          <w:sz w:val="20"/>
        </w:rPr>
        <w:t>For areas that measure 1 m</w:t>
      </w:r>
      <w:r>
        <w:rPr>
          <w:position w:val="7"/>
          <w:sz w:val="13"/>
        </w:rPr>
        <w:t>2 </w:t>
      </w:r>
      <w:r>
        <w:rPr>
          <w:sz w:val="20"/>
        </w:rPr>
        <w:t>or more, the area should be stated in square meters and decimal fractions to not more than three</w:t>
      </w:r>
      <w:r>
        <w:rPr>
          <w:spacing w:val="1"/>
          <w:sz w:val="20"/>
        </w:rPr>
        <w:t> </w:t>
      </w:r>
      <w:r>
        <w:rPr>
          <w:sz w:val="20"/>
        </w:rPr>
        <w:t>places.</w:t>
      </w:r>
    </w:p>
    <w:p>
      <w:pPr>
        <w:pStyle w:val="BodyText"/>
        <w:spacing w:before="8"/>
      </w:pPr>
    </w:p>
    <w:p>
      <w:pPr>
        <w:pStyle w:val="BodyText"/>
        <w:ind w:left="540" w:right="417"/>
        <w:jc w:val="both"/>
      </w:pPr>
      <w:r>
        <w:rPr/>
        <w:t>To</w:t>
      </w:r>
      <w:r>
        <w:rPr>
          <w:spacing w:val="-12"/>
        </w:rPr>
        <w:t> </w:t>
      </w:r>
      <w:r>
        <w:rPr/>
        <w:t>facilitate</w:t>
      </w:r>
      <w:r>
        <w:rPr>
          <w:spacing w:val="-11"/>
        </w:rPr>
        <w:t> </w:t>
      </w:r>
      <w:r>
        <w:rPr/>
        <w:t>value</w:t>
      </w:r>
      <w:r>
        <w:rPr>
          <w:spacing w:val="-11"/>
        </w:rPr>
        <w:t> </w:t>
      </w:r>
      <w:r>
        <w:rPr/>
        <w:t>comparison</w:t>
      </w:r>
      <w:r>
        <w:rPr>
          <w:spacing w:val="-12"/>
        </w:rPr>
        <w:t> </w:t>
      </w:r>
      <w:r>
        <w:rPr/>
        <w:t>and</w:t>
      </w:r>
      <w:r>
        <w:rPr>
          <w:spacing w:val="-10"/>
        </w:rPr>
        <w:t> </w:t>
      </w:r>
      <w:r>
        <w:rPr/>
        <w:t>simplify</w:t>
      </w:r>
      <w:r>
        <w:rPr>
          <w:spacing w:val="-15"/>
        </w:rPr>
        <w:t> </w:t>
      </w:r>
      <w:r>
        <w:rPr/>
        <w:t>the</w:t>
      </w:r>
      <w:r>
        <w:rPr>
          <w:spacing w:val="-8"/>
        </w:rPr>
        <w:t> </w:t>
      </w:r>
      <w:r>
        <w:rPr/>
        <w:t>measurement</w:t>
      </w:r>
      <w:r>
        <w:rPr>
          <w:spacing w:val="-11"/>
        </w:rPr>
        <w:t> </w:t>
      </w:r>
      <w:r>
        <w:rPr/>
        <w:t>process,</w:t>
      </w:r>
      <w:r>
        <w:rPr>
          <w:spacing w:val="-11"/>
        </w:rPr>
        <w:t> </w:t>
      </w:r>
      <w:r>
        <w:rPr/>
        <w:t>chamois</w:t>
      </w:r>
      <w:r>
        <w:rPr>
          <w:spacing w:val="-12"/>
        </w:rPr>
        <w:t> </w:t>
      </w:r>
      <w:r>
        <w:rPr/>
        <w:t>should</w:t>
      </w:r>
      <w:r>
        <w:rPr>
          <w:spacing w:val="-10"/>
        </w:rPr>
        <w:t> </w:t>
      </w:r>
      <w:r>
        <w:rPr/>
        <w:t>be</w:t>
      </w:r>
      <w:r>
        <w:rPr>
          <w:spacing w:val="-10"/>
        </w:rPr>
        <w:t> </w:t>
      </w:r>
      <w:r>
        <w:rPr/>
        <w:t>measured</w:t>
      </w:r>
      <w:r>
        <w:rPr>
          <w:spacing w:val="-10"/>
        </w:rPr>
        <w:t> </w:t>
      </w:r>
      <w:r>
        <w:rPr/>
        <w:t>in</w:t>
      </w:r>
      <w:r>
        <w:rPr>
          <w:spacing w:val="-12"/>
        </w:rPr>
        <w:t> </w:t>
      </w:r>
      <w:r>
        <w:rPr/>
        <w:t>one</w:t>
      </w:r>
      <w:r>
        <w:rPr>
          <w:spacing w:val="-11"/>
        </w:rPr>
        <w:t> </w:t>
      </w:r>
      <w:r>
        <w:rPr/>
        <w:t>quarter square foot (2.322 57 decimeter) increments. Dimensions should be rounded down to avoid overstating the</w:t>
      </w:r>
      <w:r>
        <w:rPr>
          <w:spacing w:val="-32"/>
        </w:rPr>
        <w:t> </w:t>
      </w:r>
      <w:r>
        <w:rPr/>
        <w:t>area.</w:t>
      </w:r>
    </w:p>
    <w:p>
      <w:pPr>
        <w:pStyle w:val="BodyText"/>
        <w:spacing w:before="6"/>
      </w:pPr>
    </w:p>
    <w:p>
      <w:pPr>
        <w:pStyle w:val="BodyText"/>
        <w:ind w:left="539"/>
        <w:jc w:val="both"/>
      </w:pPr>
      <w:r>
        <w:rPr/>
        <w:t>For example: 2 square feet (18.5 square decimeters) or 2 ft</w:t>
      </w:r>
      <w:r>
        <w:rPr>
          <w:position w:val="7"/>
          <w:sz w:val="13"/>
        </w:rPr>
        <w:t>2 </w:t>
      </w:r>
      <w:r>
        <w:rPr/>
        <w:t>(18.5 dm</w:t>
      </w:r>
      <w:r>
        <w:rPr>
          <w:position w:val="7"/>
          <w:sz w:val="13"/>
        </w:rPr>
        <w:t>2</w:t>
      </w:r>
      <w:r>
        <w:rPr/>
        <w:t>)</w:t>
      </w:r>
    </w:p>
    <w:p>
      <w:pPr>
        <w:pStyle w:val="BodyText"/>
        <w:spacing w:before="10"/>
      </w:pPr>
    </w:p>
    <w:p>
      <w:pPr>
        <w:pStyle w:val="Heading1"/>
        <w:ind w:left="539"/>
        <w:jc w:val="both"/>
      </w:pPr>
      <w:r>
        <w:rPr/>
        <w:t>Conversion Factors:</w:t>
      </w:r>
    </w:p>
    <w:p>
      <w:pPr>
        <w:pStyle w:val="BodyText"/>
        <w:spacing w:before="6"/>
        <w:rPr>
          <w:b/>
        </w:rPr>
      </w:pPr>
    </w:p>
    <w:p>
      <w:pPr>
        <w:pStyle w:val="BodyText"/>
        <w:ind w:left="899"/>
        <w:rPr>
          <w:sz w:val="13"/>
        </w:rPr>
      </w:pPr>
      <w:r>
        <w:rPr/>
        <w:t>1 ft</w:t>
      </w:r>
      <w:r>
        <w:rPr>
          <w:position w:val="7"/>
          <w:sz w:val="13"/>
        </w:rPr>
        <w:t>2 </w:t>
      </w:r>
      <w:r>
        <w:rPr/>
        <w:t>= 9.290 30 dm</w:t>
      </w:r>
      <w:r>
        <w:rPr>
          <w:position w:val="7"/>
          <w:sz w:val="13"/>
        </w:rPr>
        <w:t>2</w:t>
      </w:r>
    </w:p>
    <w:p>
      <w:pPr>
        <w:pStyle w:val="BodyText"/>
        <w:spacing w:before="6"/>
      </w:pPr>
    </w:p>
    <w:p>
      <w:pPr>
        <w:pStyle w:val="BodyText"/>
        <w:ind w:left="899"/>
        <w:rPr>
          <w:sz w:val="13"/>
        </w:rPr>
      </w:pPr>
      <w:r>
        <w:rPr/>
        <w:t>1 in</w:t>
      </w:r>
      <w:r>
        <w:rPr>
          <w:position w:val="7"/>
          <w:sz w:val="13"/>
        </w:rPr>
        <w:t>2 </w:t>
      </w:r>
      <w:r>
        <w:rPr/>
        <w:t>= 6.451 6 cm</w:t>
      </w:r>
      <w:r>
        <w:rPr>
          <w:position w:val="7"/>
          <w:sz w:val="13"/>
        </w:rPr>
        <w:t>2</w:t>
      </w:r>
    </w:p>
    <w:p>
      <w:pPr>
        <w:pStyle w:val="BodyText"/>
        <w:spacing w:before="6"/>
      </w:pPr>
    </w:p>
    <w:p>
      <w:pPr>
        <w:pStyle w:val="BodyText"/>
        <w:ind w:left="899"/>
        <w:rPr>
          <w:sz w:val="13"/>
        </w:rPr>
      </w:pPr>
      <w:r>
        <w:rPr/>
        <w:t>1 yd</w:t>
      </w:r>
      <w:r>
        <w:rPr>
          <w:position w:val="7"/>
          <w:sz w:val="13"/>
        </w:rPr>
        <w:t>2 </w:t>
      </w:r>
      <w:r>
        <w:rPr/>
        <w:t>= 83.612 7 dm</w:t>
      </w:r>
      <w:r>
        <w:rPr>
          <w:position w:val="7"/>
          <w:sz w:val="13"/>
        </w:rPr>
        <w:t>2</w:t>
      </w:r>
    </w:p>
    <w:p>
      <w:pPr>
        <w:pStyle w:val="BodyText"/>
        <w:spacing w:before="8"/>
      </w:pPr>
    </w:p>
    <w:p>
      <w:pPr>
        <w:pStyle w:val="Heading1"/>
        <w:ind w:left="540"/>
        <w:jc w:val="both"/>
      </w:pPr>
      <w:r>
        <w:rPr/>
        <w:t>U.S. Customary Units</w:t>
      </w:r>
    </w:p>
    <w:p>
      <w:pPr>
        <w:pStyle w:val="BodyText"/>
        <w:spacing w:before="5"/>
        <w:rPr>
          <w:b/>
        </w:rPr>
      </w:pPr>
    </w:p>
    <w:p>
      <w:pPr>
        <w:pStyle w:val="ListParagraph"/>
        <w:numPr>
          <w:ilvl w:val="1"/>
          <w:numId w:val="23"/>
        </w:numPr>
        <w:tabs>
          <w:tab w:pos="1259" w:val="left" w:leader="none"/>
          <w:tab w:pos="1260" w:val="left" w:leader="none"/>
        </w:tabs>
        <w:spacing w:line="240" w:lineRule="auto" w:before="1" w:after="0"/>
        <w:ind w:left="1260" w:right="421" w:hanging="360"/>
        <w:jc w:val="left"/>
        <w:rPr>
          <w:sz w:val="20"/>
        </w:rPr>
      </w:pPr>
      <w:r>
        <w:rPr>
          <w:sz w:val="20"/>
        </w:rPr>
        <w:t>For areas that are less than 1 ft</w:t>
      </w:r>
      <w:r>
        <w:rPr>
          <w:position w:val="7"/>
          <w:sz w:val="13"/>
        </w:rPr>
        <w:t>2 </w:t>
      </w:r>
      <w:r>
        <w:rPr>
          <w:sz w:val="20"/>
        </w:rPr>
        <w:t>(929 cm</w:t>
      </w:r>
      <w:r>
        <w:rPr>
          <w:position w:val="7"/>
          <w:sz w:val="13"/>
        </w:rPr>
        <w:t>2</w:t>
      </w:r>
      <w:r>
        <w:rPr>
          <w:sz w:val="20"/>
        </w:rPr>
        <w:t>), the area declaration shall be expressed in square inches and fractions of square</w:t>
      </w:r>
      <w:r>
        <w:rPr>
          <w:spacing w:val="-4"/>
          <w:sz w:val="20"/>
        </w:rPr>
        <w:t> </w:t>
      </w:r>
      <w:r>
        <w:rPr>
          <w:sz w:val="20"/>
        </w:rPr>
        <w:t>inches;</w:t>
      </w:r>
    </w:p>
    <w:p>
      <w:pPr>
        <w:pStyle w:val="BodyText"/>
        <w:spacing w:before="6"/>
      </w:pPr>
    </w:p>
    <w:p>
      <w:pPr>
        <w:pStyle w:val="ListParagraph"/>
        <w:numPr>
          <w:ilvl w:val="1"/>
          <w:numId w:val="23"/>
        </w:numPr>
        <w:tabs>
          <w:tab w:pos="1260" w:val="left" w:leader="none"/>
          <w:tab w:pos="1261" w:val="left" w:leader="none"/>
        </w:tabs>
        <w:spacing w:line="240" w:lineRule="auto" w:before="0" w:after="0"/>
        <w:ind w:left="1259" w:right="420" w:hanging="359"/>
        <w:jc w:val="left"/>
        <w:rPr>
          <w:sz w:val="20"/>
        </w:rPr>
      </w:pPr>
      <w:r>
        <w:rPr>
          <w:sz w:val="20"/>
        </w:rPr>
        <w:t>For</w:t>
      </w:r>
      <w:r>
        <w:rPr>
          <w:spacing w:val="-4"/>
          <w:sz w:val="20"/>
        </w:rPr>
        <w:t> </w:t>
      </w:r>
      <w:r>
        <w:rPr>
          <w:sz w:val="20"/>
        </w:rPr>
        <w:t>areas</w:t>
      </w:r>
      <w:r>
        <w:rPr>
          <w:spacing w:val="-5"/>
          <w:sz w:val="20"/>
        </w:rPr>
        <w:t> </w:t>
      </w:r>
      <w:r>
        <w:rPr>
          <w:sz w:val="20"/>
        </w:rPr>
        <w:t>of</w:t>
      </w:r>
      <w:r>
        <w:rPr>
          <w:spacing w:val="-6"/>
          <w:sz w:val="20"/>
        </w:rPr>
        <w:t> </w:t>
      </w:r>
      <w:r>
        <w:rPr>
          <w:sz w:val="20"/>
        </w:rPr>
        <w:t>1</w:t>
      </w:r>
      <w:r>
        <w:rPr>
          <w:spacing w:val="-1"/>
          <w:sz w:val="20"/>
        </w:rPr>
        <w:t> </w:t>
      </w:r>
      <w:r>
        <w:rPr>
          <w:sz w:val="20"/>
        </w:rPr>
        <w:t>ft</w:t>
      </w:r>
      <w:r>
        <w:rPr>
          <w:position w:val="7"/>
          <w:sz w:val="13"/>
        </w:rPr>
        <w:t>2</w:t>
      </w:r>
      <w:r>
        <w:rPr>
          <w:spacing w:val="13"/>
          <w:position w:val="7"/>
          <w:sz w:val="13"/>
        </w:rPr>
        <w:t> </w:t>
      </w:r>
      <w:r>
        <w:rPr>
          <w:sz w:val="20"/>
        </w:rPr>
        <w:t>(929 cm</w:t>
      </w:r>
      <w:r>
        <w:rPr>
          <w:position w:val="7"/>
          <w:sz w:val="13"/>
        </w:rPr>
        <w:t>2</w:t>
      </w:r>
      <w:r>
        <w:rPr>
          <w:sz w:val="20"/>
        </w:rPr>
        <w:t>),</w:t>
      </w:r>
      <w:r>
        <w:rPr>
          <w:spacing w:val="-4"/>
          <w:sz w:val="20"/>
        </w:rPr>
        <w:t> </w:t>
      </w:r>
      <w:r>
        <w:rPr>
          <w:sz w:val="20"/>
        </w:rPr>
        <w:t>or</w:t>
      </w:r>
      <w:r>
        <w:rPr>
          <w:spacing w:val="-1"/>
          <w:sz w:val="20"/>
        </w:rPr>
        <w:t> </w:t>
      </w:r>
      <w:r>
        <w:rPr>
          <w:sz w:val="20"/>
        </w:rPr>
        <w:t>more,</w:t>
      </w:r>
      <w:r>
        <w:rPr>
          <w:spacing w:val="-4"/>
          <w:sz w:val="20"/>
        </w:rPr>
        <w:t> </w:t>
      </w:r>
      <w:r>
        <w:rPr>
          <w:sz w:val="20"/>
        </w:rPr>
        <w:t>but</w:t>
      </w:r>
      <w:r>
        <w:rPr>
          <w:spacing w:val="-5"/>
          <w:sz w:val="20"/>
        </w:rPr>
        <w:t> </w:t>
      </w:r>
      <w:r>
        <w:rPr>
          <w:sz w:val="20"/>
        </w:rPr>
        <w:t>less</w:t>
      </w:r>
      <w:r>
        <w:rPr>
          <w:spacing w:val="-5"/>
          <w:sz w:val="20"/>
        </w:rPr>
        <w:t> </w:t>
      </w:r>
      <w:r>
        <w:rPr>
          <w:sz w:val="20"/>
        </w:rPr>
        <w:t>than</w:t>
      </w:r>
      <w:r>
        <w:rPr>
          <w:spacing w:val="-5"/>
          <w:sz w:val="20"/>
        </w:rPr>
        <w:t> </w:t>
      </w:r>
      <w:r>
        <w:rPr>
          <w:sz w:val="20"/>
        </w:rPr>
        <w:t>4</w:t>
      </w:r>
      <w:r>
        <w:rPr>
          <w:spacing w:val="2"/>
          <w:sz w:val="20"/>
        </w:rPr>
        <w:t> </w:t>
      </w:r>
      <w:r>
        <w:rPr>
          <w:sz w:val="20"/>
        </w:rPr>
        <w:t>ft</w:t>
      </w:r>
      <w:r>
        <w:rPr>
          <w:position w:val="7"/>
          <w:sz w:val="13"/>
        </w:rPr>
        <w:t>2</w:t>
      </w:r>
      <w:r>
        <w:rPr>
          <w:spacing w:val="13"/>
          <w:position w:val="7"/>
          <w:sz w:val="13"/>
        </w:rPr>
        <w:t> </w:t>
      </w:r>
      <w:r>
        <w:rPr>
          <w:sz w:val="20"/>
        </w:rPr>
        <w:t>(37.1</w:t>
      </w:r>
      <w:r>
        <w:rPr>
          <w:spacing w:val="-3"/>
          <w:sz w:val="20"/>
        </w:rPr>
        <w:t> </w:t>
      </w:r>
      <w:r>
        <w:rPr>
          <w:sz w:val="20"/>
        </w:rPr>
        <w:t>dm</w:t>
      </w:r>
      <w:r>
        <w:rPr>
          <w:position w:val="7"/>
          <w:sz w:val="13"/>
        </w:rPr>
        <w:t>2</w:t>
      </w:r>
      <w:r>
        <w:rPr>
          <w:sz w:val="20"/>
        </w:rPr>
        <w:t>),</w:t>
      </w:r>
      <w:r>
        <w:rPr>
          <w:spacing w:val="-4"/>
          <w:sz w:val="20"/>
        </w:rPr>
        <w:t> </w:t>
      </w:r>
      <w:r>
        <w:rPr>
          <w:sz w:val="20"/>
        </w:rPr>
        <w:t>the</w:t>
      </w:r>
      <w:r>
        <w:rPr>
          <w:spacing w:val="-4"/>
          <w:sz w:val="20"/>
        </w:rPr>
        <w:t> </w:t>
      </w:r>
      <w:r>
        <w:rPr>
          <w:sz w:val="20"/>
        </w:rPr>
        <w:t>area</w:t>
      </w:r>
      <w:r>
        <w:rPr>
          <w:spacing w:val="-3"/>
          <w:sz w:val="20"/>
        </w:rPr>
        <w:t> </w:t>
      </w:r>
      <w:r>
        <w:rPr>
          <w:sz w:val="20"/>
        </w:rPr>
        <w:t>shall</w:t>
      </w:r>
      <w:r>
        <w:rPr>
          <w:spacing w:val="-5"/>
          <w:sz w:val="20"/>
        </w:rPr>
        <w:t> </w:t>
      </w:r>
      <w:r>
        <w:rPr>
          <w:sz w:val="20"/>
        </w:rPr>
        <w:t>be</w:t>
      </w:r>
      <w:r>
        <w:rPr>
          <w:spacing w:val="-4"/>
          <w:sz w:val="20"/>
        </w:rPr>
        <w:t> </w:t>
      </w:r>
      <w:r>
        <w:rPr>
          <w:sz w:val="20"/>
        </w:rPr>
        <w:t>expressed</w:t>
      </w:r>
      <w:r>
        <w:rPr>
          <w:spacing w:val="-3"/>
          <w:sz w:val="20"/>
        </w:rPr>
        <w:t> </w:t>
      </w:r>
      <w:r>
        <w:rPr>
          <w:sz w:val="20"/>
        </w:rPr>
        <w:t>in</w:t>
      </w:r>
      <w:r>
        <w:rPr>
          <w:spacing w:val="-6"/>
          <w:sz w:val="20"/>
        </w:rPr>
        <w:t> </w:t>
      </w:r>
      <w:r>
        <w:rPr>
          <w:sz w:val="20"/>
        </w:rPr>
        <w:t>square feet with any remainder expressed in square inches or in fractions of a square</w:t>
      </w:r>
      <w:r>
        <w:rPr>
          <w:spacing w:val="-12"/>
          <w:sz w:val="20"/>
        </w:rPr>
        <w:t> </w:t>
      </w:r>
      <w:r>
        <w:rPr>
          <w:sz w:val="20"/>
        </w:rPr>
        <w:t>foot;</w:t>
      </w:r>
    </w:p>
    <w:p>
      <w:pPr>
        <w:pStyle w:val="BodyText"/>
        <w:spacing w:before="4"/>
      </w:pPr>
    </w:p>
    <w:p>
      <w:pPr>
        <w:pStyle w:val="ListParagraph"/>
        <w:numPr>
          <w:ilvl w:val="1"/>
          <w:numId w:val="23"/>
        </w:numPr>
        <w:tabs>
          <w:tab w:pos="1260" w:val="left" w:leader="none"/>
        </w:tabs>
        <w:spacing w:line="240" w:lineRule="auto" w:before="0" w:after="0"/>
        <w:ind w:left="1260" w:right="417" w:hanging="360"/>
        <w:jc w:val="both"/>
        <w:rPr>
          <w:sz w:val="20"/>
        </w:rPr>
      </w:pPr>
      <w:r>
        <w:rPr>
          <w:sz w:val="20"/>
        </w:rPr>
        <w:t>For areas of 4 ft</w:t>
      </w:r>
      <w:r>
        <w:rPr>
          <w:position w:val="7"/>
          <w:sz w:val="13"/>
        </w:rPr>
        <w:t>2 </w:t>
      </w:r>
      <w:r>
        <w:rPr>
          <w:sz w:val="20"/>
        </w:rPr>
        <w:t>(37.1 dm</w:t>
      </w:r>
      <w:r>
        <w:rPr>
          <w:position w:val="7"/>
          <w:sz w:val="13"/>
        </w:rPr>
        <w:t>2</w:t>
      </w:r>
      <w:r>
        <w:rPr>
          <w:sz w:val="20"/>
        </w:rPr>
        <w:t>) or more, the area should be expressed in terms of the largest whole unit (e.g.,</w:t>
      </w:r>
      <w:r>
        <w:rPr>
          <w:spacing w:val="-2"/>
          <w:sz w:val="20"/>
        </w:rPr>
        <w:t> </w:t>
      </w:r>
      <w:r>
        <w:rPr>
          <w:sz w:val="20"/>
        </w:rPr>
        <w:t>square</w:t>
      </w:r>
      <w:r>
        <w:rPr>
          <w:spacing w:val="-3"/>
          <w:sz w:val="20"/>
        </w:rPr>
        <w:t> </w:t>
      </w:r>
      <w:r>
        <w:rPr>
          <w:sz w:val="20"/>
        </w:rPr>
        <w:t>yards,</w:t>
      </w:r>
      <w:r>
        <w:rPr>
          <w:spacing w:val="-5"/>
          <w:sz w:val="20"/>
        </w:rPr>
        <w:t> </w:t>
      </w:r>
      <w:r>
        <w:rPr>
          <w:sz w:val="20"/>
        </w:rPr>
        <w:t>square</w:t>
      </w:r>
      <w:r>
        <w:rPr>
          <w:spacing w:val="-3"/>
          <w:sz w:val="20"/>
        </w:rPr>
        <w:t> </w:t>
      </w:r>
      <w:r>
        <w:rPr>
          <w:sz w:val="20"/>
        </w:rPr>
        <w:t>yards</w:t>
      </w:r>
      <w:r>
        <w:rPr>
          <w:spacing w:val="-6"/>
          <w:sz w:val="20"/>
        </w:rPr>
        <w:t> </w:t>
      </w:r>
      <w:r>
        <w:rPr>
          <w:sz w:val="20"/>
        </w:rPr>
        <w:t>and</w:t>
      </w:r>
      <w:r>
        <w:rPr>
          <w:spacing w:val="-3"/>
          <w:sz w:val="20"/>
        </w:rPr>
        <w:t> </w:t>
      </w:r>
      <w:r>
        <w:rPr>
          <w:sz w:val="20"/>
        </w:rPr>
        <w:t>square</w:t>
      </w:r>
      <w:r>
        <w:rPr>
          <w:spacing w:val="-5"/>
          <w:sz w:val="20"/>
        </w:rPr>
        <w:t> </w:t>
      </w:r>
      <w:r>
        <w:rPr>
          <w:sz w:val="20"/>
        </w:rPr>
        <w:t>feet,</w:t>
      </w:r>
      <w:r>
        <w:rPr>
          <w:spacing w:val="-2"/>
          <w:sz w:val="20"/>
        </w:rPr>
        <w:t> </w:t>
      </w:r>
      <w:r>
        <w:rPr>
          <w:sz w:val="20"/>
        </w:rPr>
        <w:t>or</w:t>
      </w:r>
      <w:r>
        <w:rPr>
          <w:spacing w:val="-5"/>
          <w:sz w:val="20"/>
        </w:rPr>
        <w:t> </w:t>
      </w:r>
      <w:r>
        <w:rPr>
          <w:sz w:val="20"/>
        </w:rPr>
        <w:t>square</w:t>
      </w:r>
      <w:r>
        <w:rPr>
          <w:spacing w:val="-3"/>
          <w:sz w:val="20"/>
        </w:rPr>
        <w:t> </w:t>
      </w:r>
      <w:r>
        <w:rPr>
          <w:sz w:val="20"/>
        </w:rPr>
        <w:t>feet)</w:t>
      </w:r>
      <w:r>
        <w:rPr>
          <w:spacing w:val="-2"/>
          <w:sz w:val="20"/>
        </w:rPr>
        <w:t> </w:t>
      </w:r>
      <w:r>
        <w:rPr>
          <w:sz w:val="20"/>
        </w:rPr>
        <w:t>with</w:t>
      </w:r>
      <w:r>
        <w:rPr>
          <w:spacing w:val="-6"/>
          <w:sz w:val="20"/>
        </w:rPr>
        <w:t> </w:t>
      </w:r>
      <w:r>
        <w:rPr>
          <w:sz w:val="20"/>
        </w:rPr>
        <w:t>any</w:t>
      </w:r>
      <w:r>
        <w:rPr>
          <w:spacing w:val="-7"/>
          <w:sz w:val="20"/>
        </w:rPr>
        <w:t> </w:t>
      </w:r>
      <w:r>
        <w:rPr>
          <w:sz w:val="20"/>
        </w:rPr>
        <w:t>remainder</w:t>
      </w:r>
      <w:r>
        <w:rPr>
          <w:spacing w:val="-5"/>
          <w:sz w:val="20"/>
        </w:rPr>
        <w:t> </w:t>
      </w:r>
      <w:r>
        <w:rPr>
          <w:sz w:val="20"/>
        </w:rPr>
        <w:t>expressed</w:t>
      </w:r>
      <w:r>
        <w:rPr>
          <w:spacing w:val="-3"/>
          <w:sz w:val="20"/>
        </w:rPr>
        <w:t> </w:t>
      </w:r>
      <w:r>
        <w:rPr>
          <w:sz w:val="20"/>
        </w:rPr>
        <w:t>in</w:t>
      </w:r>
      <w:r>
        <w:rPr>
          <w:spacing w:val="-7"/>
          <w:sz w:val="20"/>
        </w:rPr>
        <w:t> </w:t>
      </w:r>
      <w:r>
        <w:rPr>
          <w:sz w:val="20"/>
        </w:rPr>
        <w:t>square inches and fractions of a square inch or in fractions of the square foot or square</w:t>
      </w:r>
      <w:r>
        <w:rPr>
          <w:spacing w:val="-12"/>
          <w:sz w:val="20"/>
        </w:rPr>
        <w:t> </w:t>
      </w:r>
      <w:r>
        <w:rPr>
          <w:sz w:val="20"/>
        </w:rPr>
        <w:t>yard.</w:t>
      </w:r>
    </w:p>
    <w:p>
      <w:pPr>
        <w:pStyle w:val="BodyText"/>
        <w:spacing w:before="3"/>
        <w:rPr>
          <w:sz w:val="21"/>
        </w:rPr>
      </w:pPr>
    </w:p>
    <w:p>
      <w:pPr>
        <w:pStyle w:val="BodyText"/>
        <w:spacing w:line="235" w:lineRule="auto"/>
        <w:ind w:left="540" w:right="416"/>
        <w:jc w:val="both"/>
      </w:pPr>
      <w:r>
        <w:rPr/>
        <w:t>Chamois</w:t>
      </w:r>
      <w:r>
        <w:rPr>
          <w:spacing w:val="-11"/>
        </w:rPr>
        <w:t> </w:t>
      </w:r>
      <w:r>
        <w:rPr/>
        <w:t>labeled</w:t>
      </w:r>
      <w:r>
        <w:rPr>
          <w:spacing w:val="-10"/>
        </w:rPr>
        <w:t> </w:t>
      </w:r>
      <w:r>
        <w:rPr/>
        <w:t>for</w:t>
      </w:r>
      <w:r>
        <w:rPr>
          <w:spacing w:val="-11"/>
        </w:rPr>
        <w:t> </w:t>
      </w:r>
      <w:r>
        <w:rPr/>
        <w:t>retail</w:t>
      </w:r>
      <w:r>
        <w:rPr>
          <w:spacing w:val="-9"/>
        </w:rPr>
        <w:t> </w:t>
      </w:r>
      <w:r>
        <w:rPr/>
        <w:t>sale</w:t>
      </w:r>
      <w:r>
        <w:rPr>
          <w:spacing w:val="-9"/>
        </w:rPr>
        <w:t> </w:t>
      </w:r>
      <w:r>
        <w:rPr/>
        <w:t>is</w:t>
      </w:r>
      <w:r>
        <w:rPr>
          <w:spacing w:val="-12"/>
        </w:rPr>
        <w:t> </w:t>
      </w:r>
      <w:r>
        <w:rPr/>
        <w:t>exempt</w:t>
      </w:r>
      <w:r>
        <w:rPr>
          <w:spacing w:val="-10"/>
        </w:rPr>
        <w:t> </w:t>
      </w:r>
      <w:r>
        <w:rPr/>
        <w:t>from</w:t>
      </w:r>
      <w:r>
        <w:rPr>
          <w:spacing w:val="-13"/>
        </w:rPr>
        <w:t> </w:t>
      </w:r>
      <w:r>
        <w:rPr/>
        <w:t>these</w:t>
      </w:r>
      <w:r>
        <w:rPr>
          <w:spacing w:val="-11"/>
        </w:rPr>
        <w:t> </w:t>
      </w:r>
      <w:r>
        <w:rPr/>
        <w:t>requirements</w:t>
      </w:r>
      <w:r>
        <w:rPr>
          <w:spacing w:val="-10"/>
        </w:rPr>
        <w:t> </w:t>
      </w:r>
      <w:r>
        <w:rPr/>
        <w:t>if</w:t>
      </w:r>
      <w:r>
        <w:rPr>
          <w:spacing w:val="-11"/>
        </w:rPr>
        <w:t> </w:t>
      </w:r>
      <w:r>
        <w:rPr/>
        <w:t>(a)</w:t>
      </w:r>
      <w:r>
        <w:rPr>
          <w:spacing w:val="-2"/>
        </w:rPr>
        <w:t> </w:t>
      </w:r>
      <w:r>
        <w:rPr/>
        <w:t>the</w:t>
      </w:r>
      <w:r>
        <w:rPr>
          <w:spacing w:val="-12"/>
        </w:rPr>
        <w:t> </w:t>
      </w:r>
      <w:r>
        <w:rPr/>
        <w:t>area</w:t>
      </w:r>
      <w:r>
        <w:rPr>
          <w:spacing w:val="-11"/>
        </w:rPr>
        <w:t> </w:t>
      </w:r>
      <w:r>
        <w:rPr/>
        <w:t>of</w:t>
      </w:r>
      <w:r>
        <w:rPr>
          <w:spacing w:val="-13"/>
        </w:rPr>
        <w:t> </w:t>
      </w:r>
      <w:r>
        <w:rPr/>
        <w:t>a</w:t>
      </w:r>
      <w:r>
        <w:rPr>
          <w:spacing w:val="-9"/>
        </w:rPr>
        <w:t> </w:t>
      </w:r>
      <w:r>
        <w:rPr/>
        <w:t>full</w:t>
      </w:r>
      <w:r>
        <w:rPr>
          <w:spacing w:val="-9"/>
        </w:rPr>
        <w:t> </w:t>
      </w:r>
      <w:r>
        <w:rPr/>
        <w:t>skin</w:t>
      </w:r>
      <w:r>
        <w:rPr>
          <w:spacing w:val="-10"/>
        </w:rPr>
        <w:t> </w:t>
      </w:r>
      <w:r>
        <w:rPr/>
        <w:t>is</w:t>
      </w:r>
      <w:r>
        <w:rPr>
          <w:spacing w:val="-12"/>
        </w:rPr>
        <w:t> </w:t>
      </w:r>
      <w:r>
        <w:rPr/>
        <w:t>expressed</w:t>
      </w:r>
      <w:r>
        <w:rPr>
          <w:spacing w:val="-10"/>
        </w:rPr>
        <w:t> </w:t>
      </w:r>
      <w:r>
        <w:rPr/>
        <w:t>in</w:t>
      </w:r>
      <w:r>
        <w:rPr>
          <w:spacing w:val="-13"/>
        </w:rPr>
        <w:t> </w:t>
      </w:r>
      <w:r>
        <w:rPr/>
        <w:t>terms of</w:t>
      </w:r>
      <w:r>
        <w:rPr>
          <w:spacing w:val="7"/>
        </w:rPr>
        <w:t> </w:t>
      </w:r>
      <w:r>
        <w:rPr/>
        <w:t>square</w:t>
      </w:r>
      <w:r>
        <w:rPr>
          <w:spacing w:val="10"/>
        </w:rPr>
        <w:t> </w:t>
      </w:r>
      <w:r>
        <w:rPr/>
        <w:t>feet</w:t>
      </w:r>
      <w:r>
        <w:rPr>
          <w:spacing w:val="11"/>
        </w:rPr>
        <w:t> </w:t>
      </w:r>
      <w:r>
        <w:rPr/>
        <w:t>with</w:t>
      </w:r>
      <w:r>
        <w:rPr>
          <w:spacing w:val="9"/>
        </w:rPr>
        <w:t> </w:t>
      </w:r>
      <w:r>
        <w:rPr/>
        <w:t>any</w:t>
      </w:r>
      <w:r>
        <w:rPr>
          <w:spacing w:val="8"/>
        </w:rPr>
        <w:t> </w:t>
      </w:r>
      <w:r>
        <w:rPr/>
        <w:t>remainder</w:t>
      </w:r>
      <w:r>
        <w:rPr>
          <w:spacing w:val="10"/>
        </w:rPr>
        <w:t> </w:t>
      </w:r>
      <w:r>
        <w:rPr/>
        <w:t>in</w:t>
      </w:r>
      <w:r>
        <w:rPr>
          <w:spacing w:val="9"/>
        </w:rPr>
        <w:t> </w:t>
      </w:r>
      <w:r>
        <w:rPr/>
        <w:t>terms</w:t>
      </w:r>
      <w:r>
        <w:rPr>
          <w:spacing w:val="9"/>
        </w:rPr>
        <w:t> </w:t>
      </w:r>
      <w:r>
        <w:rPr/>
        <w:t>of</w:t>
      </w:r>
      <w:r>
        <w:rPr>
          <w:spacing w:val="7"/>
        </w:rPr>
        <w:t> </w:t>
      </w:r>
      <w:r>
        <w:rPr/>
        <w:t>the</w:t>
      </w:r>
      <w:r>
        <w:rPr>
          <w:spacing w:val="10"/>
        </w:rPr>
        <w:t> </w:t>
      </w:r>
      <w:r>
        <w:rPr/>
        <w:t>common</w:t>
      </w:r>
      <w:r>
        <w:rPr>
          <w:spacing w:val="10"/>
        </w:rPr>
        <w:t> </w:t>
      </w:r>
      <w:r>
        <w:rPr/>
        <w:t>or</w:t>
      </w:r>
      <w:r>
        <w:rPr>
          <w:spacing w:val="10"/>
        </w:rPr>
        <w:t> </w:t>
      </w:r>
      <w:r>
        <w:rPr/>
        <w:t>decimal</w:t>
      </w:r>
      <w:r>
        <w:rPr>
          <w:spacing w:val="10"/>
        </w:rPr>
        <w:t> </w:t>
      </w:r>
      <w:r>
        <w:rPr/>
        <w:t>fraction</w:t>
      </w:r>
      <w:r>
        <w:rPr>
          <w:spacing w:val="9"/>
        </w:rPr>
        <w:t> </w:t>
      </w:r>
      <w:r>
        <w:rPr/>
        <w:t>of</w:t>
      </w:r>
      <w:r>
        <w:rPr>
          <w:spacing w:val="7"/>
        </w:rPr>
        <w:t> </w:t>
      </w:r>
      <w:r>
        <w:rPr/>
        <w:t>the</w:t>
      </w:r>
      <w:r>
        <w:rPr>
          <w:spacing w:val="10"/>
        </w:rPr>
        <w:t> </w:t>
      </w:r>
      <w:r>
        <w:rPr/>
        <w:t>square</w:t>
      </w:r>
      <w:r>
        <w:rPr>
          <w:spacing w:val="9"/>
        </w:rPr>
        <w:t> </w:t>
      </w:r>
      <w:r>
        <w:rPr/>
        <w:t>foot</w:t>
      </w:r>
      <w:r>
        <w:rPr>
          <w:spacing w:val="10"/>
        </w:rPr>
        <w:t> </w:t>
      </w:r>
      <w:r>
        <w:rPr/>
        <w:t>(929</w:t>
      </w:r>
      <w:r>
        <w:rPr>
          <w:spacing w:val="-3"/>
        </w:rPr>
        <w:t> </w:t>
      </w:r>
      <w:r>
        <w:rPr/>
        <w:t>cm</w:t>
      </w:r>
      <w:r>
        <w:rPr>
          <w:position w:val="7"/>
          <w:sz w:val="13"/>
        </w:rPr>
        <w:t>2</w:t>
      </w:r>
      <w:r>
        <w:rPr/>
        <w:t>),</w:t>
      </w:r>
      <w:r>
        <w:rPr>
          <w:spacing w:val="9"/>
        </w:rPr>
        <w:t> </w:t>
      </w:r>
      <w:r>
        <w:rPr/>
        <w:t>or</w:t>
      </w:r>
    </w:p>
    <w:p>
      <w:pPr>
        <w:pStyle w:val="ListParagraph"/>
        <w:numPr>
          <w:ilvl w:val="0"/>
          <w:numId w:val="24"/>
        </w:numPr>
        <w:tabs>
          <w:tab w:pos="826" w:val="left" w:leader="none"/>
        </w:tabs>
        <w:spacing w:line="237" w:lineRule="auto" w:before="4" w:after="0"/>
        <w:ind w:left="539" w:right="417" w:firstLine="0"/>
        <w:jc w:val="both"/>
        <w:rPr>
          <w:sz w:val="20"/>
        </w:rPr>
      </w:pPr>
      <w:r>
        <w:rPr>
          <w:sz w:val="20"/>
        </w:rPr>
        <w:t>the</w:t>
      </w:r>
      <w:r>
        <w:rPr>
          <w:spacing w:val="-7"/>
          <w:sz w:val="20"/>
        </w:rPr>
        <w:t> </w:t>
      </w:r>
      <w:r>
        <w:rPr>
          <w:sz w:val="20"/>
        </w:rPr>
        <w:t>area</w:t>
      </w:r>
      <w:r>
        <w:rPr>
          <w:spacing w:val="-7"/>
          <w:sz w:val="20"/>
        </w:rPr>
        <w:t> </w:t>
      </w:r>
      <w:r>
        <w:rPr>
          <w:sz w:val="20"/>
        </w:rPr>
        <w:t>for</w:t>
      </w:r>
      <w:r>
        <w:rPr>
          <w:spacing w:val="-6"/>
          <w:sz w:val="20"/>
        </w:rPr>
        <w:t> </w:t>
      </w:r>
      <w:r>
        <w:rPr>
          <w:sz w:val="20"/>
        </w:rPr>
        <w:t>cut</w:t>
      </w:r>
      <w:r>
        <w:rPr>
          <w:spacing w:val="-8"/>
          <w:sz w:val="20"/>
        </w:rPr>
        <w:t> </w:t>
      </w:r>
      <w:r>
        <w:rPr>
          <w:sz w:val="20"/>
        </w:rPr>
        <w:t>skins</w:t>
      </w:r>
      <w:r>
        <w:rPr>
          <w:spacing w:val="-8"/>
          <w:sz w:val="20"/>
        </w:rPr>
        <w:t> </w:t>
      </w:r>
      <w:r>
        <w:rPr>
          <w:sz w:val="20"/>
        </w:rPr>
        <w:t>of</w:t>
      </w:r>
      <w:r>
        <w:rPr>
          <w:spacing w:val="-9"/>
          <w:sz w:val="20"/>
        </w:rPr>
        <w:t> </w:t>
      </w:r>
      <w:r>
        <w:rPr>
          <w:sz w:val="20"/>
        </w:rPr>
        <w:t>any</w:t>
      </w:r>
      <w:r>
        <w:rPr>
          <w:spacing w:val="-8"/>
          <w:sz w:val="20"/>
        </w:rPr>
        <w:t> </w:t>
      </w:r>
      <w:r>
        <w:rPr>
          <w:sz w:val="20"/>
        </w:rPr>
        <w:t>configuration</w:t>
      </w:r>
      <w:r>
        <w:rPr>
          <w:spacing w:val="-8"/>
          <w:sz w:val="20"/>
        </w:rPr>
        <w:t> </w:t>
      </w:r>
      <w:r>
        <w:rPr>
          <w:sz w:val="20"/>
        </w:rPr>
        <w:t>is</w:t>
      </w:r>
      <w:r>
        <w:rPr>
          <w:spacing w:val="-9"/>
          <w:sz w:val="20"/>
        </w:rPr>
        <w:t> </w:t>
      </w:r>
      <w:r>
        <w:rPr>
          <w:sz w:val="20"/>
        </w:rPr>
        <w:t>expressed</w:t>
      </w:r>
      <w:r>
        <w:rPr>
          <w:spacing w:val="-7"/>
          <w:sz w:val="20"/>
        </w:rPr>
        <w:t> </w:t>
      </w:r>
      <w:r>
        <w:rPr>
          <w:sz w:val="20"/>
        </w:rPr>
        <w:t>in</w:t>
      </w:r>
      <w:r>
        <w:rPr>
          <w:spacing w:val="-6"/>
          <w:sz w:val="20"/>
        </w:rPr>
        <w:t> </w:t>
      </w:r>
      <w:r>
        <w:rPr>
          <w:sz w:val="20"/>
        </w:rPr>
        <w:t>terms</w:t>
      </w:r>
      <w:r>
        <w:rPr>
          <w:spacing w:val="-9"/>
          <w:sz w:val="20"/>
        </w:rPr>
        <w:t> </w:t>
      </w:r>
      <w:r>
        <w:rPr>
          <w:sz w:val="20"/>
        </w:rPr>
        <w:t>of</w:t>
      </w:r>
      <w:r>
        <w:rPr>
          <w:spacing w:val="-6"/>
          <w:sz w:val="20"/>
        </w:rPr>
        <w:t> </w:t>
      </w:r>
      <w:r>
        <w:rPr>
          <w:sz w:val="20"/>
        </w:rPr>
        <w:t>square</w:t>
      </w:r>
      <w:r>
        <w:rPr>
          <w:spacing w:val="-7"/>
          <w:sz w:val="20"/>
        </w:rPr>
        <w:t> </w:t>
      </w:r>
      <w:r>
        <w:rPr>
          <w:sz w:val="20"/>
        </w:rPr>
        <w:t>inches</w:t>
      </w:r>
      <w:r>
        <w:rPr>
          <w:spacing w:val="-8"/>
          <w:sz w:val="20"/>
        </w:rPr>
        <w:t> </w:t>
      </w:r>
      <w:r>
        <w:rPr>
          <w:sz w:val="20"/>
        </w:rPr>
        <w:t>and</w:t>
      </w:r>
      <w:r>
        <w:rPr>
          <w:spacing w:val="-7"/>
          <w:sz w:val="20"/>
        </w:rPr>
        <w:t> </w:t>
      </w:r>
      <w:r>
        <w:rPr>
          <w:sz w:val="20"/>
        </w:rPr>
        <w:t>fractions</w:t>
      </w:r>
      <w:r>
        <w:rPr>
          <w:spacing w:val="-8"/>
          <w:sz w:val="20"/>
        </w:rPr>
        <w:t> </w:t>
      </w:r>
      <w:r>
        <w:rPr>
          <w:sz w:val="20"/>
        </w:rPr>
        <w:t>thereof.</w:t>
      </w:r>
      <w:r>
        <w:rPr>
          <w:spacing w:val="36"/>
          <w:sz w:val="20"/>
        </w:rPr>
        <w:t> </w:t>
      </w:r>
      <w:r>
        <w:rPr>
          <w:sz w:val="20"/>
        </w:rPr>
        <w:t>Where the</w:t>
      </w:r>
      <w:r>
        <w:rPr>
          <w:spacing w:val="-12"/>
          <w:sz w:val="20"/>
        </w:rPr>
        <w:t> </w:t>
      </w:r>
      <w:r>
        <w:rPr>
          <w:sz w:val="20"/>
        </w:rPr>
        <w:t>area</w:t>
      </w:r>
      <w:r>
        <w:rPr>
          <w:spacing w:val="-11"/>
          <w:sz w:val="20"/>
        </w:rPr>
        <w:t> </w:t>
      </w:r>
      <w:r>
        <w:rPr>
          <w:sz w:val="20"/>
        </w:rPr>
        <w:t>of</w:t>
      </w:r>
      <w:r>
        <w:rPr>
          <w:spacing w:val="-13"/>
          <w:sz w:val="20"/>
        </w:rPr>
        <w:t> </w:t>
      </w:r>
      <w:r>
        <w:rPr>
          <w:sz w:val="20"/>
        </w:rPr>
        <w:t>a</w:t>
      </w:r>
      <w:r>
        <w:rPr>
          <w:spacing w:val="-11"/>
          <w:sz w:val="20"/>
        </w:rPr>
        <w:t> </w:t>
      </w:r>
      <w:r>
        <w:rPr>
          <w:sz w:val="20"/>
        </w:rPr>
        <w:t>cut</w:t>
      </w:r>
      <w:r>
        <w:rPr>
          <w:spacing w:val="-10"/>
          <w:sz w:val="20"/>
        </w:rPr>
        <w:t> </w:t>
      </w:r>
      <w:r>
        <w:rPr>
          <w:sz w:val="20"/>
        </w:rPr>
        <w:t>skin</w:t>
      </w:r>
      <w:r>
        <w:rPr>
          <w:spacing w:val="-10"/>
          <w:sz w:val="20"/>
        </w:rPr>
        <w:t> </w:t>
      </w:r>
      <w:r>
        <w:rPr>
          <w:sz w:val="20"/>
        </w:rPr>
        <w:t>is</w:t>
      </w:r>
      <w:r>
        <w:rPr>
          <w:spacing w:val="-12"/>
          <w:sz w:val="20"/>
        </w:rPr>
        <w:t> </w:t>
      </w:r>
      <w:r>
        <w:rPr>
          <w:sz w:val="20"/>
        </w:rPr>
        <w:t>at</w:t>
      </w:r>
      <w:r>
        <w:rPr>
          <w:spacing w:val="-9"/>
          <w:sz w:val="20"/>
        </w:rPr>
        <w:t> </w:t>
      </w:r>
      <w:r>
        <w:rPr>
          <w:sz w:val="20"/>
        </w:rPr>
        <w:t>least</w:t>
      </w:r>
      <w:r>
        <w:rPr>
          <w:spacing w:val="-10"/>
          <w:sz w:val="20"/>
        </w:rPr>
        <w:t> </w:t>
      </w:r>
      <w:r>
        <w:rPr>
          <w:sz w:val="20"/>
        </w:rPr>
        <w:t>one</w:t>
      </w:r>
      <w:r>
        <w:rPr>
          <w:spacing w:val="-11"/>
          <w:sz w:val="20"/>
        </w:rPr>
        <w:t> </w:t>
      </w:r>
      <w:r>
        <w:rPr>
          <w:sz w:val="20"/>
        </w:rPr>
        <w:t>square</w:t>
      </w:r>
      <w:r>
        <w:rPr>
          <w:spacing w:val="-9"/>
          <w:sz w:val="20"/>
        </w:rPr>
        <w:t> </w:t>
      </w:r>
      <w:r>
        <w:rPr>
          <w:sz w:val="20"/>
        </w:rPr>
        <w:t>foot</w:t>
      </w:r>
      <w:r>
        <w:rPr>
          <w:spacing w:val="-12"/>
          <w:sz w:val="20"/>
        </w:rPr>
        <w:t> </w:t>
      </w:r>
      <w:r>
        <w:rPr>
          <w:sz w:val="20"/>
        </w:rPr>
        <w:t>(929</w:t>
      </w:r>
      <w:r>
        <w:rPr>
          <w:spacing w:val="-3"/>
          <w:sz w:val="20"/>
        </w:rPr>
        <w:t> </w:t>
      </w:r>
      <w:r>
        <w:rPr>
          <w:sz w:val="20"/>
        </w:rPr>
        <w:t>cm</w:t>
      </w:r>
      <w:r>
        <w:rPr>
          <w:position w:val="7"/>
          <w:sz w:val="13"/>
        </w:rPr>
        <w:t>2</w:t>
      </w:r>
      <w:r>
        <w:rPr>
          <w:sz w:val="20"/>
        </w:rPr>
        <w:t>)</w:t>
      </w:r>
      <w:r>
        <w:rPr>
          <w:spacing w:val="-11"/>
          <w:sz w:val="20"/>
        </w:rPr>
        <w:t> </w:t>
      </w:r>
      <w:r>
        <w:rPr>
          <w:sz w:val="20"/>
        </w:rPr>
        <w:t>or</w:t>
      </w:r>
      <w:r>
        <w:rPr>
          <w:spacing w:val="-8"/>
          <w:sz w:val="20"/>
        </w:rPr>
        <w:t> </w:t>
      </w:r>
      <w:r>
        <w:rPr>
          <w:sz w:val="20"/>
        </w:rPr>
        <w:t>more,</w:t>
      </w:r>
      <w:r>
        <w:rPr>
          <w:spacing w:val="-12"/>
          <w:sz w:val="20"/>
        </w:rPr>
        <w:t> </w:t>
      </w:r>
      <w:r>
        <w:rPr>
          <w:sz w:val="20"/>
        </w:rPr>
        <w:t>the</w:t>
      </w:r>
      <w:r>
        <w:rPr>
          <w:spacing w:val="-11"/>
          <w:sz w:val="20"/>
        </w:rPr>
        <w:t> </w:t>
      </w:r>
      <w:r>
        <w:rPr>
          <w:sz w:val="20"/>
        </w:rPr>
        <w:t>statement</w:t>
      </w:r>
      <w:r>
        <w:rPr>
          <w:spacing w:val="-12"/>
          <w:sz w:val="20"/>
        </w:rPr>
        <w:t> </w:t>
      </w:r>
      <w:r>
        <w:rPr>
          <w:sz w:val="20"/>
        </w:rPr>
        <w:t>of</w:t>
      </w:r>
      <w:r>
        <w:rPr>
          <w:spacing w:val="-11"/>
          <w:sz w:val="20"/>
        </w:rPr>
        <w:t> </w:t>
      </w:r>
      <w:r>
        <w:rPr>
          <w:sz w:val="20"/>
        </w:rPr>
        <w:t>square</w:t>
      </w:r>
      <w:r>
        <w:rPr>
          <w:spacing w:val="-11"/>
          <w:sz w:val="20"/>
        </w:rPr>
        <w:t> </w:t>
      </w:r>
      <w:r>
        <w:rPr>
          <w:sz w:val="20"/>
        </w:rPr>
        <w:t>inches</w:t>
      </w:r>
      <w:r>
        <w:rPr>
          <w:spacing w:val="-11"/>
          <w:sz w:val="20"/>
        </w:rPr>
        <w:t> </w:t>
      </w:r>
      <w:r>
        <w:rPr>
          <w:sz w:val="20"/>
        </w:rPr>
        <w:t>shall</w:t>
      </w:r>
      <w:r>
        <w:rPr>
          <w:spacing w:val="-12"/>
          <w:sz w:val="20"/>
        </w:rPr>
        <w:t> </w:t>
      </w:r>
      <w:r>
        <w:rPr>
          <w:sz w:val="20"/>
        </w:rPr>
        <w:t>be</w:t>
      </w:r>
      <w:r>
        <w:rPr>
          <w:spacing w:val="-11"/>
          <w:sz w:val="20"/>
        </w:rPr>
        <w:t> </w:t>
      </w:r>
      <w:r>
        <w:rPr>
          <w:sz w:val="20"/>
        </w:rPr>
        <w:t>followed in</w:t>
      </w:r>
      <w:r>
        <w:rPr>
          <w:spacing w:val="-9"/>
          <w:sz w:val="20"/>
        </w:rPr>
        <w:t> </w:t>
      </w:r>
      <w:r>
        <w:rPr>
          <w:sz w:val="20"/>
        </w:rPr>
        <w:t>parentheses</w:t>
      </w:r>
      <w:r>
        <w:rPr>
          <w:spacing w:val="-9"/>
          <w:sz w:val="20"/>
        </w:rPr>
        <w:t> </w:t>
      </w:r>
      <w:r>
        <w:rPr>
          <w:sz w:val="20"/>
        </w:rPr>
        <w:t>by</w:t>
      </w:r>
      <w:r>
        <w:rPr>
          <w:spacing w:val="-11"/>
          <w:sz w:val="20"/>
        </w:rPr>
        <w:t> </w:t>
      </w:r>
      <w:r>
        <w:rPr>
          <w:sz w:val="20"/>
        </w:rPr>
        <w:t>a</w:t>
      </w:r>
      <w:r>
        <w:rPr>
          <w:spacing w:val="-6"/>
          <w:sz w:val="20"/>
        </w:rPr>
        <w:t> </w:t>
      </w:r>
      <w:r>
        <w:rPr>
          <w:sz w:val="20"/>
        </w:rPr>
        <w:t>declaration</w:t>
      </w:r>
      <w:r>
        <w:rPr>
          <w:spacing w:val="-11"/>
          <w:sz w:val="20"/>
        </w:rPr>
        <w:t> </w:t>
      </w:r>
      <w:r>
        <w:rPr>
          <w:sz w:val="20"/>
        </w:rPr>
        <w:t>in</w:t>
      </w:r>
      <w:r>
        <w:rPr>
          <w:spacing w:val="-9"/>
          <w:sz w:val="20"/>
        </w:rPr>
        <w:t> </w:t>
      </w:r>
      <w:r>
        <w:rPr>
          <w:sz w:val="20"/>
        </w:rPr>
        <w:t>square</w:t>
      </w:r>
      <w:r>
        <w:rPr>
          <w:spacing w:val="-7"/>
          <w:sz w:val="20"/>
        </w:rPr>
        <w:t> </w:t>
      </w:r>
      <w:r>
        <w:rPr>
          <w:sz w:val="20"/>
        </w:rPr>
        <w:t>feet</w:t>
      </w:r>
      <w:r>
        <w:rPr>
          <w:spacing w:val="-6"/>
          <w:sz w:val="20"/>
        </w:rPr>
        <w:t> </w:t>
      </w:r>
      <w:r>
        <w:rPr>
          <w:sz w:val="20"/>
        </w:rPr>
        <w:t>with</w:t>
      </w:r>
      <w:r>
        <w:rPr>
          <w:spacing w:val="-8"/>
          <w:sz w:val="20"/>
        </w:rPr>
        <w:t> </w:t>
      </w:r>
      <w:r>
        <w:rPr>
          <w:sz w:val="20"/>
        </w:rPr>
        <w:t>any</w:t>
      </w:r>
      <w:r>
        <w:rPr>
          <w:spacing w:val="-11"/>
          <w:sz w:val="20"/>
        </w:rPr>
        <w:t> </w:t>
      </w:r>
      <w:r>
        <w:rPr>
          <w:sz w:val="20"/>
        </w:rPr>
        <w:t>remainder</w:t>
      </w:r>
      <w:r>
        <w:rPr>
          <w:spacing w:val="-7"/>
          <w:sz w:val="20"/>
        </w:rPr>
        <w:t> </w:t>
      </w:r>
      <w:r>
        <w:rPr>
          <w:sz w:val="20"/>
        </w:rPr>
        <w:t>in</w:t>
      </w:r>
      <w:r>
        <w:rPr>
          <w:spacing w:val="-9"/>
          <w:sz w:val="20"/>
        </w:rPr>
        <w:t> </w:t>
      </w:r>
      <w:r>
        <w:rPr>
          <w:sz w:val="20"/>
        </w:rPr>
        <w:t>terms</w:t>
      </w:r>
      <w:r>
        <w:rPr>
          <w:spacing w:val="-8"/>
          <w:sz w:val="20"/>
        </w:rPr>
        <w:t> </w:t>
      </w:r>
      <w:r>
        <w:rPr>
          <w:sz w:val="20"/>
        </w:rPr>
        <w:t>of</w:t>
      </w:r>
      <w:r>
        <w:rPr>
          <w:spacing w:val="-9"/>
          <w:sz w:val="20"/>
        </w:rPr>
        <w:t> </w:t>
      </w:r>
      <w:r>
        <w:rPr>
          <w:sz w:val="20"/>
        </w:rPr>
        <w:t>square</w:t>
      </w:r>
      <w:r>
        <w:rPr>
          <w:spacing w:val="-7"/>
          <w:sz w:val="20"/>
        </w:rPr>
        <w:t> </w:t>
      </w:r>
      <w:r>
        <w:rPr>
          <w:sz w:val="20"/>
        </w:rPr>
        <w:t>inches</w:t>
      </w:r>
      <w:r>
        <w:rPr>
          <w:spacing w:val="-9"/>
          <w:sz w:val="20"/>
        </w:rPr>
        <w:t> </w:t>
      </w:r>
      <w:r>
        <w:rPr>
          <w:sz w:val="20"/>
        </w:rPr>
        <w:t>or</w:t>
      </w:r>
      <w:r>
        <w:rPr>
          <w:spacing w:val="-7"/>
          <w:sz w:val="20"/>
        </w:rPr>
        <w:t> </w:t>
      </w:r>
      <w:r>
        <w:rPr>
          <w:sz w:val="20"/>
        </w:rPr>
        <w:t>common</w:t>
      </w:r>
      <w:r>
        <w:rPr>
          <w:spacing w:val="-8"/>
          <w:sz w:val="20"/>
        </w:rPr>
        <w:t> </w:t>
      </w:r>
      <w:r>
        <w:rPr>
          <w:sz w:val="20"/>
        </w:rPr>
        <w:t>or</w:t>
      </w:r>
      <w:r>
        <w:rPr>
          <w:spacing w:val="-7"/>
          <w:sz w:val="20"/>
        </w:rPr>
        <w:t> </w:t>
      </w:r>
      <w:r>
        <w:rPr>
          <w:sz w:val="20"/>
        </w:rPr>
        <w:t>decimal fractions of the square</w:t>
      </w:r>
      <w:r>
        <w:rPr>
          <w:spacing w:val="-1"/>
          <w:sz w:val="20"/>
        </w:rPr>
        <w:t> </w:t>
      </w:r>
      <w:r>
        <w:rPr>
          <w:sz w:val="20"/>
        </w:rPr>
        <w:t>foot.</w:t>
      </w:r>
    </w:p>
    <w:p>
      <w:pPr>
        <w:pStyle w:val="BodyText"/>
        <w:rPr>
          <w:sz w:val="21"/>
        </w:rPr>
      </w:pPr>
    </w:p>
    <w:p>
      <w:pPr>
        <w:pStyle w:val="Heading1"/>
        <w:ind w:left="540"/>
      </w:pPr>
      <w:r>
        <w:rPr/>
        <w:t>Prohibited Labeling Practices</w:t>
      </w:r>
    </w:p>
    <w:p>
      <w:pPr>
        <w:pStyle w:val="BodyText"/>
        <w:spacing w:before="10"/>
        <w:rPr>
          <w:b/>
        </w:rPr>
      </w:pPr>
    </w:p>
    <w:p>
      <w:pPr>
        <w:pStyle w:val="ListParagraph"/>
        <w:numPr>
          <w:ilvl w:val="1"/>
          <w:numId w:val="24"/>
        </w:numPr>
        <w:tabs>
          <w:tab w:pos="1259" w:val="left" w:leader="none"/>
          <w:tab w:pos="1260" w:val="left" w:leader="none"/>
        </w:tabs>
        <w:spacing w:line="240" w:lineRule="auto" w:before="1" w:after="0"/>
        <w:ind w:left="1260" w:right="416" w:hanging="360"/>
        <w:jc w:val="left"/>
        <w:rPr>
          <w:sz w:val="20"/>
        </w:rPr>
      </w:pPr>
      <w:r>
        <w:rPr>
          <w:sz w:val="20"/>
        </w:rPr>
        <w:t>Do</w:t>
      </w:r>
      <w:r>
        <w:rPr>
          <w:spacing w:val="-10"/>
          <w:sz w:val="20"/>
        </w:rPr>
        <w:t> </w:t>
      </w:r>
      <w:r>
        <w:rPr>
          <w:sz w:val="20"/>
        </w:rPr>
        <w:t>not</w:t>
      </w:r>
      <w:r>
        <w:rPr>
          <w:spacing w:val="-10"/>
          <w:sz w:val="20"/>
        </w:rPr>
        <w:t> </w:t>
      </w:r>
      <w:r>
        <w:rPr>
          <w:sz w:val="20"/>
        </w:rPr>
        <w:t>use</w:t>
      </w:r>
      <w:r>
        <w:rPr>
          <w:spacing w:val="-10"/>
          <w:sz w:val="20"/>
        </w:rPr>
        <w:t> </w:t>
      </w:r>
      <w:r>
        <w:rPr>
          <w:sz w:val="20"/>
        </w:rPr>
        <w:t>qualifying</w:t>
      </w:r>
      <w:r>
        <w:rPr>
          <w:spacing w:val="-12"/>
          <w:sz w:val="20"/>
        </w:rPr>
        <w:t> </w:t>
      </w:r>
      <w:r>
        <w:rPr>
          <w:sz w:val="20"/>
        </w:rPr>
        <w:t>terms</w:t>
      </w:r>
      <w:r>
        <w:rPr>
          <w:spacing w:val="-11"/>
          <w:sz w:val="20"/>
        </w:rPr>
        <w:t> </w:t>
      </w:r>
      <w:r>
        <w:rPr>
          <w:sz w:val="20"/>
        </w:rPr>
        <w:t>or</w:t>
      </w:r>
      <w:r>
        <w:rPr>
          <w:spacing w:val="-9"/>
          <w:sz w:val="20"/>
        </w:rPr>
        <w:t> </w:t>
      </w:r>
      <w:r>
        <w:rPr>
          <w:sz w:val="20"/>
        </w:rPr>
        <w:t>phrases</w:t>
      </w:r>
      <w:r>
        <w:rPr>
          <w:spacing w:val="-11"/>
          <w:sz w:val="20"/>
        </w:rPr>
        <w:t> </w:t>
      </w:r>
      <w:r>
        <w:rPr>
          <w:sz w:val="20"/>
        </w:rPr>
        <w:t>(e.g.,</w:t>
      </w:r>
      <w:r>
        <w:rPr>
          <w:spacing w:val="-11"/>
          <w:sz w:val="20"/>
        </w:rPr>
        <w:t> </w:t>
      </w:r>
      <w:r>
        <w:rPr>
          <w:sz w:val="20"/>
        </w:rPr>
        <w:t>“Approximate</w:t>
      </w:r>
      <w:r>
        <w:rPr>
          <w:spacing w:val="-10"/>
          <w:sz w:val="20"/>
        </w:rPr>
        <w:t> </w:t>
      </w:r>
      <w:r>
        <w:rPr>
          <w:sz w:val="20"/>
        </w:rPr>
        <w:t>Size,”</w:t>
      </w:r>
      <w:r>
        <w:rPr>
          <w:spacing w:val="-10"/>
          <w:sz w:val="20"/>
        </w:rPr>
        <w:t> </w:t>
      </w:r>
      <w:r>
        <w:rPr>
          <w:sz w:val="20"/>
        </w:rPr>
        <w:t>“Size</w:t>
      </w:r>
      <w:r>
        <w:rPr>
          <w:spacing w:val="-8"/>
          <w:sz w:val="20"/>
        </w:rPr>
        <w:t> </w:t>
      </w:r>
      <w:r>
        <w:rPr>
          <w:sz w:val="20"/>
        </w:rPr>
        <w:t>when</w:t>
      </w:r>
      <w:r>
        <w:rPr>
          <w:spacing w:val="-11"/>
          <w:sz w:val="20"/>
        </w:rPr>
        <w:t> </w:t>
      </w:r>
      <w:r>
        <w:rPr>
          <w:sz w:val="20"/>
        </w:rPr>
        <w:t>Wet,”</w:t>
      </w:r>
      <w:r>
        <w:rPr>
          <w:spacing w:val="-10"/>
          <w:sz w:val="20"/>
        </w:rPr>
        <w:t> </w:t>
      </w:r>
      <w:r>
        <w:rPr>
          <w:sz w:val="20"/>
        </w:rPr>
        <w:t>“Up</w:t>
      </w:r>
      <w:r>
        <w:rPr>
          <w:spacing w:val="-9"/>
          <w:sz w:val="20"/>
        </w:rPr>
        <w:t> </w:t>
      </w:r>
      <w:r>
        <w:rPr>
          <w:sz w:val="20"/>
        </w:rPr>
        <w:t>to</w:t>
      </w:r>
      <w:r>
        <w:rPr>
          <w:spacing w:val="-11"/>
          <w:sz w:val="20"/>
        </w:rPr>
        <w:t> </w:t>
      </w:r>
      <w:r>
        <w:rPr>
          <w:sz w:val="20"/>
        </w:rPr>
        <w:t>20</w:t>
      </w:r>
      <w:r>
        <w:rPr>
          <w:spacing w:val="-3"/>
          <w:sz w:val="20"/>
        </w:rPr>
        <w:t> </w:t>
      </w:r>
      <w:r>
        <w:rPr>
          <w:sz w:val="20"/>
        </w:rPr>
        <w:t>%</w:t>
      </w:r>
      <w:r>
        <w:rPr>
          <w:spacing w:val="-12"/>
          <w:sz w:val="20"/>
        </w:rPr>
        <w:t> </w:t>
      </w:r>
      <w:r>
        <w:rPr>
          <w:sz w:val="20"/>
        </w:rPr>
        <w:t>Larger When</w:t>
      </w:r>
      <w:r>
        <w:rPr>
          <w:spacing w:val="-2"/>
          <w:sz w:val="20"/>
        </w:rPr>
        <w:t> </w:t>
      </w:r>
      <w:r>
        <w:rPr>
          <w:sz w:val="20"/>
        </w:rPr>
        <w:t>Wet”).</w:t>
      </w:r>
    </w:p>
    <w:p>
      <w:pPr>
        <w:pStyle w:val="BodyText"/>
        <w:spacing w:before="7"/>
      </w:pPr>
    </w:p>
    <w:p>
      <w:pPr>
        <w:pStyle w:val="ListParagraph"/>
        <w:numPr>
          <w:ilvl w:val="1"/>
          <w:numId w:val="24"/>
        </w:numPr>
        <w:tabs>
          <w:tab w:pos="1259" w:val="left" w:leader="none"/>
          <w:tab w:pos="1260" w:val="left" w:leader="none"/>
        </w:tabs>
        <w:spacing w:line="240" w:lineRule="auto" w:before="0" w:after="0"/>
        <w:ind w:left="1259" w:right="0" w:hanging="360"/>
        <w:jc w:val="left"/>
        <w:rPr>
          <w:sz w:val="20"/>
        </w:rPr>
      </w:pPr>
      <w:r>
        <w:rPr>
          <w:sz w:val="20"/>
        </w:rPr>
        <w:t>Do not use unacceptable symbols (e.g., using (</w:t>
      </w:r>
      <w:r>
        <w:rPr>
          <w:rFonts w:ascii="Century" w:hAnsi="Century"/>
          <w:sz w:val="20"/>
        </w:rPr>
        <w:t>"</w:t>
      </w:r>
      <w:r>
        <w:rPr>
          <w:sz w:val="20"/>
        </w:rPr>
        <w:t>) as a symbol for inches is not</w:t>
      </w:r>
      <w:r>
        <w:rPr>
          <w:spacing w:val="-6"/>
          <w:sz w:val="20"/>
        </w:rPr>
        <w:t> </w:t>
      </w:r>
      <w:r>
        <w:rPr>
          <w:sz w:val="20"/>
        </w:rPr>
        <w:t>acceptable).</w:t>
      </w:r>
    </w:p>
    <w:p>
      <w:pPr>
        <w:pStyle w:val="BodyText"/>
        <w:spacing w:before="2"/>
        <w:rPr>
          <w:sz w:val="21"/>
        </w:rPr>
      </w:pPr>
    </w:p>
    <w:p>
      <w:pPr>
        <w:pStyle w:val="ListParagraph"/>
        <w:numPr>
          <w:ilvl w:val="3"/>
          <w:numId w:val="21"/>
        </w:numPr>
        <w:tabs>
          <w:tab w:pos="1380" w:val="left" w:leader="none"/>
        </w:tabs>
        <w:spacing w:line="240" w:lineRule="auto" w:before="0" w:after="0"/>
        <w:ind w:left="539" w:right="416" w:firstLine="0"/>
        <w:jc w:val="both"/>
        <w:rPr>
          <w:sz w:val="20"/>
        </w:rPr>
      </w:pPr>
      <w:r>
        <w:rPr>
          <w:b/>
          <w:sz w:val="20"/>
        </w:rPr>
        <w:t>Declaration of Responsibility. </w:t>
      </w:r>
      <w:r>
        <w:rPr>
          <w:sz w:val="20"/>
        </w:rPr>
        <w:t>– The name and address of the manufacturer, packer, or distributor must be conspicuously specified on the label of any package that is kept, offered, exposed for sale, or sold any- where other than the premises where packed. The name shall be the actual corporate name, or, when not incor- porated, the name under which the company does business. This declaration does not have to appear on the principal display</w:t>
      </w:r>
      <w:r>
        <w:rPr>
          <w:spacing w:val="-5"/>
          <w:sz w:val="20"/>
        </w:rPr>
        <w:t> </w:t>
      </w:r>
      <w:r>
        <w:rPr>
          <w:sz w:val="20"/>
        </w:rPr>
        <w:t>panel.</w:t>
      </w:r>
    </w:p>
    <w:p>
      <w:pPr>
        <w:pStyle w:val="BodyText"/>
        <w:spacing w:before="10"/>
      </w:pPr>
    </w:p>
    <w:p>
      <w:pPr>
        <w:pStyle w:val="Heading1"/>
        <w:spacing w:line="229" w:lineRule="exact"/>
        <w:ind w:left="899"/>
      </w:pPr>
      <w:r>
        <w:rPr/>
        <w:t>Example:</w:t>
      </w:r>
    </w:p>
    <w:p>
      <w:pPr>
        <w:pStyle w:val="BodyText"/>
        <w:ind w:left="899" w:right="6785"/>
      </w:pPr>
      <w:r>
        <w:rPr/>
        <w:t>Chamois Tanning Company 8190 Main Road</w:t>
      </w:r>
    </w:p>
    <w:p>
      <w:pPr>
        <w:pStyle w:val="BodyText"/>
        <w:ind w:left="899"/>
      </w:pPr>
      <w:r>
        <w:rPr/>
        <w:t>Tarpon Springs, FL 34568</w:t>
      </w:r>
    </w:p>
    <w:p>
      <w:pPr>
        <w:spacing w:after="0"/>
        <w:sectPr>
          <w:footerReference w:type="even" r:id="rId46"/>
          <w:footerReference w:type="default" r:id="rId47"/>
          <w:pgSz w:w="12240" w:h="15840"/>
          <w:pgMar w:footer="741" w:header="730" w:top="1340" w:bottom="940" w:left="1260" w:right="1020"/>
          <w:pgNumType w:start="282"/>
        </w:sectPr>
      </w:pPr>
    </w:p>
    <w:p>
      <w:pPr>
        <w:pStyle w:val="BodyText"/>
        <w:spacing w:before="1"/>
        <w:rPr>
          <w:sz w:val="17"/>
        </w:rPr>
      </w:pPr>
    </w:p>
    <w:p>
      <w:pPr>
        <w:pStyle w:val="BodyText"/>
        <w:spacing w:before="91"/>
        <w:ind w:left="539" w:right="416"/>
        <w:jc w:val="both"/>
      </w:pPr>
      <w:r>
        <w:rPr/>
        <w:t>The</w:t>
      </w:r>
      <w:r>
        <w:rPr>
          <w:spacing w:val="-5"/>
        </w:rPr>
        <w:t> </w:t>
      </w:r>
      <w:r>
        <w:rPr/>
        <w:t>address</w:t>
      </w:r>
      <w:r>
        <w:rPr>
          <w:spacing w:val="-6"/>
        </w:rPr>
        <w:t> </w:t>
      </w:r>
      <w:r>
        <w:rPr/>
        <w:t>shall</w:t>
      </w:r>
      <w:r>
        <w:rPr>
          <w:spacing w:val="-6"/>
        </w:rPr>
        <w:t> </w:t>
      </w:r>
      <w:r>
        <w:rPr/>
        <w:t>include</w:t>
      </w:r>
      <w:r>
        <w:rPr>
          <w:spacing w:val="-4"/>
        </w:rPr>
        <w:t> </w:t>
      </w:r>
      <w:r>
        <w:rPr/>
        <w:t>street</w:t>
      </w:r>
      <w:r>
        <w:rPr>
          <w:spacing w:val="-6"/>
        </w:rPr>
        <w:t> </w:t>
      </w:r>
      <w:r>
        <w:rPr/>
        <w:t>address,</w:t>
      </w:r>
      <w:r>
        <w:rPr>
          <w:spacing w:val="-5"/>
        </w:rPr>
        <w:t> </w:t>
      </w:r>
      <w:r>
        <w:rPr/>
        <w:t>city,</w:t>
      </w:r>
      <w:r>
        <w:rPr>
          <w:spacing w:val="-4"/>
        </w:rPr>
        <w:t> </w:t>
      </w:r>
      <w:r>
        <w:rPr/>
        <w:t>state</w:t>
      </w:r>
      <w:r>
        <w:rPr>
          <w:spacing w:val="-5"/>
        </w:rPr>
        <w:t> </w:t>
      </w:r>
      <w:r>
        <w:rPr/>
        <w:t>(or</w:t>
      </w:r>
      <w:r>
        <w:rPr>
          <w:spacing w:val="-5"/>
        </w:rPr>
        <w:t> </w:t>
      </w:r>
      <w:r>
        <w:rPr/>
        <w:t>country</w:t>
      </w:r>
      <w:r>
        <w:rPr>
          <w:spacing w:val="-6"/>
        </w:rPr>
        <w:t> </w:t>
      </w:r>
      <w:r>
        <w:rPr/>
        <w:t>if</w:t>
      </w:r>
      <w:r>
        <w:rPr>
          <w:spacing w:val="-7"/>
        </w:rPr>
        <w:t> </w:t>
      </w:r>
      <w:r>
        <w:rPr/>
        <w:t>outside</w:t>
      </w:r>
      <w:r>
        <w:rPr>
          <w:spacing w:val="-5"/>
        </w:rPr>
        <w:t> </w:t>
      </w:r>
      <w:r>
        <w:rPr/>
        <w:t>the</w:t>
      </w:r>
      <w:r>
        <w:rPr>
          <w:spacing w:val="-4"/>
        </w:rPr>
        <w:t> </w:t>
      </w:r>
      <w:r>
        <w:rPr/>
        <w:t>United</w:t>
      </w:r>
      <w:r>
        <w:rPr>
          <w:spacing w:val="-4"/>
        </w:rPr>
        <w:t> </w:t>
      </w:r>
      <w:r>
        <w:rPr/>
        <w:t>States),</w:t>
      </w:r>
      <w:r>
        <w:rPr>
          <w:spacing w:val="-5"/>
        </w:rPr>
        <w:t> </w:t>
      </w:r>
      <w:r>
        <w:rPr/>
        <w:t>and</w:t>
      </w:r>
      <w:r>
        <w:rPr>
          <w:spacing w:val="-4"/>
        </w:rPr>
        <w:t> </w:t>
      </w:r>
      <w:r>
        <w:rPr/>
        <w:t>ZIP</w:t>
      </w:r>
      <w:r>
        <w:rPr>
          <w:spacing w:val="-2"/>
        </w:rPr>
        <w:t> </w:t>
      </w:r>
      <w:r>
        <w:rPr/>
        <w:t>Code</w:t>
      </w:r>
      <w:r>
        <w:rPr>
          <w:spacing w:val="-5"/>
        </w:rPr>
        <w:t> </w:t>
      </w:r>
      <w:r>
        <w:rPr/>
        <w:t>(or</w:t>
      </w:r>
      <w:r>
        <w:rPr>
          <w:spacing w:val="-5"/>
        </w:rPr>
        <w:t> </w:t>
      </w:r>
      <w:r>
        <w:rPr/>
        <w:t>the postal code, if any, used in countries other than the United States); however, the street address may be omitted if it is shown in a current city directory or telephone</w:t>
      </w:r>
      <w:r>
        <w:rPr>
          <w:spacing w:val="-13"/>
        </w:rPr>
        <w:t> </w:t>
      </w:r>
      <w:r>
        <w:rPr/>
        <w:t>directory.</w:t>
      </w:r>
    </w:p>
    <w:p>
      <w:pPr>
        <w:pStyle w:val="BodyText"/>
        <w:rPr>
          <w:sz w:val="21"/>
        </w:rPr>
      </w:pPr>
    </w:p>
    <w:p>
      <w:pPr>
        <w:pStyle w:val="Heading1"/>
        <w:ind w:left="539"/>
        <w:jc w:val="both"/>
      </w:pPr>
      <w:r>
        <w:rPr/>
        <w:t>Sample Labels</w:t>
      </w:r>
    </w:p>
    <w:p>
      <w:pPr>
        <w:pStyle w:val="BodyText"/>
        <w:spacing w:before="10"/>
        <w:rPr>
          <w:b/>
        </w:rPr>
      </w:pPr>
    </w:p>
    <w:p>
      <w:pPr>
        <w:pStyle w:val="ListParagraph"/>
        <w:numPr>
          <w:ilvl w:val="0"/>
          <w:numId w:val="25"/>
        </w:numPr>
        <w:tabs>
          <w:tab w:pos="900" w:val="left" w:leader="none"/>
        </w:tabs>
        <w:spacing w:line="240" w:lineRule="auto" w:before="0" w:after="0"/>
        <w:ind w:left="899" w:right="0" w:hanging="360"/>
        <w:jc w:val="both"/>
        <w:rPr>
          <w:sz w:val="20"/>
        </w:rPr>
      </w:pPr>
      <w:r>
        <w:rPr>
          <w:sz w:val="20"/>
        </w:rPr>
        <w:t>If one natural chamois is in a see-through package, the following label would be</w:t>
      </w:r>
      <w:r>
        <w:rPr>
          <w:spacing w:val="-11"/>
          <w:sz w:val="20"/>
        </w:rPr>
        <w:t> </w:t>
      </w:r>
      <w:r>
        <w:rPr>
          <w:sz w:val="20"/>
        </w:rPr>
        <w:t>acceptable:</w:t>
      </w:r>
    </w:p>
    <w:p>
      <w:pPr>
        <w:pStyle w:val="BodyText"/>
        <w:spacing w:before="11"/>
        <w:rPr>
          <w:sz w:val="15"/>
        </w:rPr>
      </w:pPr>
      <w:r>
        <w:rPr/>
        <w:pict>
          <v:group style="position:absolute;margin-left:219.960007pt;margin-top:11.891129pt;width:172pt;height:99.4pt;mso-position-horizontal-relative:page;mso-position-vertical-relative:paragraph;z-index:-184;mso-wrap-distance-left:0;mso-wrap-distance-right:0" coordorigin="4399,238" coordsize="3440,1988">
            <v:line style="position:absolute" from="4409,243" to="7810,243" stroked="true" strokeweight=".481pt" strokecolor="#000000">
              <v:stroke dashstyle="solid"/>
            </v:line>
            <v:line style="position:absolute" from="4404,238" to="4404,2196" stroked="true" strokeweight=".48pt" strokecolor="#000000">
              <v:stroke dashstyle="solid"/>
            </v:line>
            <v:line style="position:absolute" from="4399,2211" to="7810,2211" stroked="true" strokeweight="1.44pt" strokecolor="#000000">
              <v:stroke dashstyle="solid"/>
            </v:line>
            <v:line style="position:absolute" from="7824,238" to="7824,2225" stroked="true" strokeweight="1.44pt" strokecolor="#000000">
              <v:stroke dashstyle="solid"/>
            </v:line>
            <v:shape style="position:absolute;left:4408;top:247;width:3401;height:1949" type="#_x0000_t202" filled="false" stroked="false">
              <v:textbox inset="0,0,0,0">
                <w:txbxContent>
                  <w:p>
                    <w:pPr>
                      <w:spacing w:before="46"/>
                      <w:ind w:left="604" w:right="0" w:firstLine="0"/>
                      <w:jc w:val="left"/>
                      <w:rPr>
                        <w:b/>
                        <w:sz w:val="20"/>
                      </w:rPr>
                    </w:pPr>
                    <w:r>
                      <w:rPr>
                        <w:b/>
                        <w:sz w:val="20"/>
                      </w:rPr>
                      <w:t>Natural Chamois Leather</w:t>
                    </w:r>
                  </w:p>
                  <w:p>
                    <w:pPr>
                      <w:spacing w:line="240" w:lineRule="auto" w:before="8"/>
                      <w:rPr>
                        <w:sz w:val="20"/>
                      </w:rPr>
                    </w:pPr>
                  </w:p>
                  <w:p>
                    <w:pPr>
                      <w:spacing w:before="0"/>
                      <w:ind w:left="852" w:right="843" w:hanging="2"/>
                      <w:jc w:val="center"/>
                      <w:rPr>
                        <w:sz w:val="20"/>
                      </w:rPr>
                    </w:pPr>
                    <w:r>
                      <w:rPr>
                        <w:sz w:val="20"/>
                      </w:rPr>
                      <w:t>Distributed by: Chamois Leather Co. 8190 Main Road</w:t>
                    </w:r>
                  </w:p>
                  <w:p>
                    <w:pPr>
                      <w:spacing w:before="1"/>
                      <w:ind w:left="604" w:right="593" w:firstLine="0"/>
                      <w:jc w:val="center"/>
                      <w:rPr>
                        <w:sz w:val="20"/>
                      </w:rPr>
                    </w:pPr>
                    <w:r>
                      <w:rPr>
                        <w:sz w:val="20"/>
                      </w:rPr>
                      <w:t>Tarpon Springs, FL 34568</w:t>
                    </w:r>
                  </w:p>
                  <w:p>
                    <w:pPr>
                      <w:spacing w:line="240" w:lineRule="auto" w:before="3"/>
                      <w:rPr>
                        <w:sz w:val="20"/>
                      </w:rPr>
                    </w:pPr>
                  </w:p>
                  <w:p>
                    <w:pPr>
                      <w:spacing w:before="0"/>
                      <w:ind w:left="597" w:right="594" w:firstLine="0"/>
                      <w:jc w:val="center"/>
                      <w:rPr>
                        <w:b/>
                        <w:sz w:val="20"/>
                      </w:rPr>
                    </w:pPr>
                    <w:r>
                      <w:rPr>
                        <w:b/>
                        <w:sz w:val="20"/>
                      </w:rPr>
                      <w:t>7 </w:t>
                    </w:r>
                    <w:r>
                      <w:rPr>
                        <w:sz w:val="20"/>
                      </w:rPr>
                      <w:t>ft</w:t>
                    </w:r>
                    <w:r>
                      <w:rPr>
                        <w:position w:val="7"/>
                        <w:sz w:val="13"/>
                      </w:rPr>
                      <w:t>2  </w:t>
                    </w:r>
                    <w:r>
                      <w:rPr>
                        <w:b/>
                        <w:sz w:val="20"/>
                      </w:rPr>
                      <w:t>(65 dm</w:t>
                    </w:r>
                    <w:r>
                      <w:rPr>
                        <w:b/>
                        <w:position w:val="7"/>
                        <w:sz w:val="13"/>
                      </w:rPr>
                      <w:t>2</w:t>
                    </w:r>
                    <w:r>
                      <w:rPr>
                        <w:b/>
                        <w:sz w:val="20"/>
                      </w:rPr>
                      <w:t>)</w:t>
                    </w:r>
                  </w:p>
                </w:txbxContent>
              </v:textbox>
              <w10:wrap type="none"/>
            </v:shape>
            <w10:wrap type="topAndBottom"/>
          </v:group>
        </w:pict>
      </w:r>
    </w:p>
    <w:p>
      <w:pPr>
        <w:pStyle w:val="BodyText"/>
        <w:spacing w:before="2"/>
        <w:rPr>
          <w:sz w:val="9"/>
        </w:rPr>
      </w:pPr>
    </w:p>
    <w:p>
      <w:pPr>
        <w:pStyle w:val="ListParagraph"/>
        <w:numPr>
          <w:ilvl w:val="0"/>
          <w:numId w:val="25"/>
        </w:numPr>
        <w:tabs>
          <w:tab w:pos="899" w:val="left" w:leader="none"/>
          <w:tab w:pos="900" w:val="left" w:leader="none"/>
        </w:tabs>
        <w:spacing w:line="240" w:lineRule="auto" w:before="91" w:after="0"/>
        <w:ind w:left="899" w:right="417" w:hanging="359"/>
        <w:jc w:val="left"/>
        <w:rPr>
          <w:sz w:val="20"/>
        </w:rPr>
      </w:pPr>
      <w:r>
        <w:rPr>
          <w:sz w:val="20"/>
        </w:rPr>
        <w:t>The next sample would apply if one chamois is in a package and the statement of identity does not clearly express the fact the package only contains one</w:t>
      </w:r>
      <w:r>
        <w:rPr>
          <w:spacing w:val="-5"/>
          <w:sz w:val="20"/>
        </w:rPr>
        <w:t> </w:t>
      </w:r>
      <w:r>
        <w:rPr>
          <w:sz w:val="20"/>
        </w:rPr>
        <w:t>unit.</w:t>
      </w:r>
    </w:p>
    <w:p>
      <w:pPr>
        <w:pStyle w:val="BodyText"/>
        <w:spacing w:before="2"/>
        <w:rPr>
          <w:sz w:val="16"/>
        </w:rPr>
      </w:pPr>
      <w:r>
        <w:rPr/>
        <w:pict>
          <v:group style="position:absolute;margin-left:219.960007pt;margin-top:12.017392pt;width:172pt;height:99.25pt;mso-position-horizontal-relative:page;mso-position-vertical-relative:paragraph;z-index:-136;mso-wrap-distance-left:0;mso-wrap-distance-right:0" coordorigin="4399,240" coordsize="3440,1985">
            <v:line style="position:absolute" from="4409,245" to="7810,245" stroked="true" strokeweight=".48pt" strokecolor="#000000">
              <v:stroke dashstyle="solid"/>
            </v:line>
            <v:line style="position:absolute" from="4404,240" to="4404,2196" stroked="true" strokeweight=".48pt" strokecolor="#000000">
              <v:stroke dashstyle="solid"/>
            </v:line>
            <v:line style="position:absolute" from="4399,2211" to="7810,2211" stroked="true" strokeweight="1.44pt" strokecolor="#000000">
              <v:stroke dashstyle="solid"/>
            </v:line>
            <v:line style="position:absolute" from="7824,240" to="7824,2225" stroked="true" strokeweight="1.44pt" strokecolor="#000000">
              <v:stroke dashstyle="solid"/>
            </v:line>
            <v:shape style="position:absolute;left:4408;top:249;width:3401;height:1947" type="#_x0000_t202" filled="false" stroked="false">
              <v:textbox inset="0,0,0,0">
                <w:txbxContent>
                  <w:p>
                    <w:pPr>
                      <w:spacing w:before="43"/>
                      <w:ind w:left="601" w:right="594" w:firstLine="0"/>
                      <w:jc w:val="center"/>
                      <w:rPr>
                        <w:b/>
                        <w:sz w:val="20"/>
                      </w:rPr>
                    </w:pPr>
                    <w:r>
                      <w:rPr>
                        <w:b/>
                        <w:sz w:val="20"/>
                      </w:rPr>
                      <w:t>Chamois</w:t>
                    </w:r>
                  </w:p>
                  <w:p>
                    <w:pPr>
                      <w:spacing w:line="240" w:lineRule="auto" w:before="8"/>
                      <w:rPr>
                        <w:sz w:val="20"/>
                      </w:rPr>
                    </w:pPr>
                  </w:p>
                  <w:p>
                    <w:pPr>
                      <w:spacing w:before="0"/>
                      <w:ind w:left="604" w:right="594" w:firstLine="0"/>
                      <w:jc w:val="center"/>
                      <w:rPr>
                        <w:sz w:val="20"/>
                      </w:rPr>
                    </w:pPr>
                    <w:r>
                      <w:rPr>
                        <w:sz w:val="20"/>
                      </w:rPr>
                      <w:t>Chamois Leather Company 8190 Main Road</w:t>
                    </w:r>
                  </w:p>
                  <w:p>
                    <w:pPr>
                      <w:spacing w:before="1"/>
                      <w:ind w:left="604" w:right="590" w:firstLine="0"/>
                      <w:jc w:val="center"/>
                      <w:rPr>
                        <w:sz w:val="20"/>
                      </w:rPr>
                    </w:pPr>
                    <w:r>
                      <w:rPr>
                        <w:sz w:val="20"/>
                      </w:rPr>
                      <w:t>Tarpon Springs, FL 34568 One Chamois</w:t>
                    </w:r>
                  </w:p>
                  <w:p>
                    <w:pPr>
                      <w:spacing w:line="240" w:lineRule="auto" w:before="6"/>
                      <w:rPr>
                        <w:sz w:val="20"/>
                      </w:rPr>
                    </w:pPr>
                  </w:p>
                  <w:p>
                    <w:pPr>
                      <w:spacing w:before="0"/>
                      <w:ind w:left="1238" w:right="0" w:firstLine="0"/>
                      <w:jc w:val="left"/>
                      <w:rPr>
                        <w:b/>
                        <w:sz w:val="20"/>
                      </w:rPr>
                    </w:pPr>
                    <w:r>
                      <w:rPr>
                        <w:b/>
                        <w:sz w:val="20"/>
                      </w:rPr>
                      <w:t>3 </w:t>
                    </w:r>
                    <w:r>
                      <w:rPr>
                        <w:sz w:val="20"/>
                      </w:rPr>
                      <w:t>ft</w:t>
                    </w:r>
                    <w:r>
                      <w:rPr>
                        <w:position w:val="7"/>
                        <w:sz w:val="13"/>
                      </w:rPr>
                      <w:t>2 </w:t>
                    </w:r>
                    <w:r>
                      <w:rPr>
                        <w:b/>
                        <w:sz w:val="20"/>
                      </w:rPr>
                      <w:t>(27.8 dm</w:t>
                    </w:r>
                    <w:r>
                      <w:rPr>
                        <w:b/>
                        <w:position w:val="7"/>
                        <w:sz w:val="13"/>
                      </w:rPr>
                      <w:t>2</w:t>
                    </w:r>
                    <w:r>
                      <w:rPr>
                        <w:b/>
                        <w:sz w:val="20"/>
                      </w:rPr>
                      <w:t>)</w:t>
                    </w:r>
                  </w:p>
                </w:txbxContent>
              </v:textbox>
              <w10:wrap type="none"/>
            </v:shape>
            <w10:wrap type="topAndBottom"/>
          </v:group>
        </w:pict>
      </w:r>
    </w:p>
    <w:p>
      <w:pPr>
        <w:pStyle w:val="BodyText"/>
        <w:spacing w:before="7"/>
        <w:rPr>
          <w:sz w:val="19"/>
        </w:rPr>
      </w:pPr>
    </w:p>
    <w:p>
      <w:pPr>
        <w:pStyle w:val="Heading1"/>
        <w:numPr>
          <w:ilvl w:val="2"/>
          <w:numId w:val="12"/>
        </w:numPr>
        <w:tabs>
          <w:tab w:pos="833" w:val="left" w:leader="none"/>
        </w:tabs>
        <w:spacing w:line="240" w:lineRule="auto" w:before="91" w:after="0"/>
        <w:ind w:left="832" w:right="0" w:hanging="652"/>
        <w:jc w:val="left"/>
      </w:pPr>
      <w:bookmarkStart w:name="_bookmark29" w:id="53"/>
      <w:bookmarkEnd w:id="53"/>
      <w:r>
        <w:rPr>
          <w:b w:val="0"/>
        </w:rPr>
      </w:r>
      <w:bookmarkStart w:name="_bookmark29" w:id="54"/>
      <w:bookmarkEnd w:id="54"/>
      <w:r>
        <w:rPr/>
        <w:t>L</w:t>
      </w:r>
      <w:r>
        <w:rPr/>
        <w:t>abeling Guidelines for Natural and Synthetic</w:t>
      </w:r>
      <w:r>
        <w:rPr>
          <w:spacing w:val="1"/>
        </w:rPr>
        <w:t> </w:t>
      </w:r>
      <w:r>
        <w:rPr/>
        <w:t>Sponges.</w:t>
      </w:r>
    </w:p>
    <w:p>
      <w:pPr>
        <w:pStyle w:val="BodyText"/>
        <w:ind w:left="180"/>
      </w:pPr>
      <w:r>
        <w:rPr/>
        <w:t>(L&amp;R, 1999, p. L&amp;R 31)</w:t>
      </w:r>
    </w:p>
    <w:p>
      <w:pPr>
        <w:pStyle w:val="BodyText"/>
        <w:spacing w:before="8"/>
      </w:pPr>
    </w:p>
    <w:p>
      <w:pPr>
        <w:pStyle w:val="BodyText"/>
        <w:ind w:left="179" w:right="416"/>
        <w:jc w:val="both"/>
      </w:pPr>
      <w:r>
        <w:rPr/>
        <w:t>These</w:t>
      </w:r>
      <w:r>
        <w:rPr>
          <w:spacing w:val="-3"/>
        </w:rPr>
        <w:t> </w:t>
      </w:r>
      <w:r>
        <w:rPr/>
        <w:t>requirements</w:t>
      </w:r>
      <w:r>
        <w:rPr>
          <w:spacing w:val="-4"/>
        </w:rPr>
        <w:t> </w:t>
      </w:r>
      <w:r>
        <w:rPr/>
        <w:t>are</w:t>
      </w:r>
      <w:r>
        <w:rPr>
          <w:spacing w:val="-3"/>
        </w:rPr>
        <w:t> </w:t>
      </w:r>
      <w:r>
        <w:rPr/>
        <w:t>based</w:t>
      </w:r>
      <w:r>
        <w:rPr>
          <w:spacing w:val="-4"/>
        </w:rPr>
        <w:t> </w:t>
      </w:r>
      <w:r>
        <w:rPr/>
        <w:t>on</w:t>
      </w:r>
      <w:r>
        <w:rPr>
          <w:spacing w:val="-4"/>
        </w:rPr>
        <w:t> </w:t>
      </w:r>
      <w:r>
        <w:rPr/>
        <w:t>the</w:t>
      </w:r>
      <w:r>
        <w:rPr>
          <w:spacing w:val="-3"/>
        </w:rPr>
        <w:t> </w:t>
      </w:r>
      <w:r>
        <w:rPr/>
        <w:t>Uniform</w:t>
      </w:r>
      <w:r>
        <w:rPr>
          <w:spacing w:val="-7"/>
        </w:rPr>
        <w:t> </w:t>
      </w:r>
      <w:r>
        <w:rPr/>
        <w:t>Packaging</w:t>
      </w:r>
      <w:r>
        <w:rPr>
          <w:spacing w:val="-4"/>
        </w:rPr>
        <w:t> </w:t>
      </w:r>
      <w:r>
        <w:rPr/>
        <w:t>and Labeling</w:t>
      </w:r>
      <w:r>
        <w:rPr>
          <w:spacing w:val="-4"/>
        </w:rPr>
        <w:t> </w:t>
      </w:r>
      <w:r>
        <w:rPr/>
        <w:t>Regulation</w:t>
      </w:r>
      <w:r>
        <w:rPr>
          <w:spacing w:val="-4"/>
        </w:rPr>
        <w:t> </w:t>
      </w:r>
      <w:r>
        <w:rPr/>
        <w:t>in</w:t>
      </w:r>
      <w:r>
        <w:rPr>
          <w:spacing w:val="-4"/>
        </w:rPr>
        <w:t> </w:t>
      </w:r>
      <w:r>
        <w:rPr/>
        <w:t>NIST</w:t>
      </w:r>
      <w:r>
        <w:rPr>
          <w:spacing w:val="-2"/>
        </w:rPr>
        <w:t> </w:t>
      </w:r>
      <w:r>
        <w:rPr/>
        <w:t>Handbook</w:t>
      </w:r>
      <w:r>
        <w:rPr>
          <w:spacing w:val="-5"/>
        </w:rPr>
        <w:t> </w:t>
      </w:r>
      <w:r>
        <w:rPr/>
        <w:t>130,</w:t>
      </w:r>
      <w:r>
        <w:rPr>
          <w:spacing w:val="-4"/>
        </w:rPr>
        <w:t> </w:t>
      </w:r>
      <w:r>
        <w:rPr/>
        <w:t>“Uniform Laws and Regulations” and regulations and guidelines of the Federal Trade Commission. All indicated dimensions and</w:t>
      </w:r>
      <w:r>
        <w:rPr>
          <w:spacing w:val="-8"/>
        </w:rPr>
        <w:t> </w:t>
      </w:r>
      <w:r>
        <w:rPr/>
        <w:t>conversions</w:t>
      </w:r>
      <w:r>
        <w:rPr>
          <w:spacing w:val="-6"/>
        </w:rPr>
        <w:t> </w:t>
      </w:r>
      <w:r>
        <w:rPr/>
        <w:t>from</w:t>
      </w:r>
      <w:r>
        <w:rPr>
          <w:spacing w:val="-9"/>
        </w:rPr>
        <w:t> </w:t>
      </w:r>
      <w:r>
        <w:rPr/>
        <w:t>metric</w:t>
      </w:r>
      <w:r>
        <w:rPr>
          <w:spacing w:val="-7"/>
        </w:rPr>
        <w:t> </w:t>
      </w:r>
      <w:r>
        <w:rPr/>
        <w:t>to</w:t>
      </w:r>
      <w:r>
        <w:rPr>
          <w:spacing w:val="-7"/>
        </w:rPr>
        <w:t> </w:t>
      </w:r>
      <w:r>
        <w:rPr/>
        <w:t>U.S.</w:t>
      </w:r>
      <w:r>
        <w:rPr>
          <w:spacing w:val="-7"/>
        </w:rPr>
        <w:t> </w:t>
      </w:r>
      <w:r>
        <w:rPr/>
        <w:t>customary</w:t>
      </w:r>
      <w:r>
        <w:rPr>
          <w:spacing w:val="-9"/>
        </w:rPr>
        <w:t> </w:t>
      </w:r>
      <w:r>
        <w:rPr/>
        <w:t>units</w:t>
      </w:r>
      <w:r>
        <w:rPr>
          <w:spacing w:val="-9"/>
        </w:rPr>
        <w:t> </w:t>
      </w:r>
      <w:r>
        <w:rPr/>
        <w:t>are</w:t>
      </w:r>
      <w:r>
        <w:rPr>
          <w:spacing w:val="-7"/>
        </w:rPr>
        <w:t> </w:t>
      </w:r>
      <w:r>
        <w:rPr/>
        <w:t>approximate</w:t>
      </w:r>
      <w:r>
        <w:rPr>
          <w:spacing w:val="-8"/>
        </w:rPr>
        <w:t> </w:t>
      </w:r>
      <w:r>
        <w:rPr/>
        <w:t>only</w:t>
      </w:r>
      <w:r>
        <w:rPr>
          <w:spacing w:val="-10"/>
        </w:rPr>
        <w:t> </w:t>
      </w:r>
      <w:r>
        <w:rPr/>
        <w:t>and</w:t>
      </w:r>
      <w:r>
        <w:rPr>
          <w:spacing w:val="-8"/>
        </w:rPr>
        <w:t> </w:t>
      </w:r>
      <w:r>
        <w:rPr/>
        <w:t>are</w:t>
      </w:r>
      <w:r>
        <w:rPr>
          <w:spacing w:val="-7"/>
        </w:rPr>
        <w:t> </w:t>
      </w:r>
      <w:r>
        <w:rPr/>
        <w:t>used</w:t>
      </w:r>
      <w:r>
        <w:rPr>
          <w:spacing w:val="-7"/>
        </w:rPr>
        <w:t> </w:t>
      </w:r>
      <w:r>
        <w:rPr/>
        <w:t>for</w:t>
      </w:r>
      <w:r>
        <w:rPr>
          <w:spacing w:val="-7"/>
        </w:rPr>
        <w:t> </w:t>
      </w:r>
      <w:r>
        <w:rPr/>
        <w:t>illustration</w:t>
      </w:r>
      <w:r>
        <w:rPr>
          <w:spacing w:val="-9"/>
        </w:rPr>
        <w:t> </w:t>
      </w:r>
      <w:r>
        <w:rPr/>
        <w:t>purposes</w:t>
      </w:r>
      <w:r>
        <w:rPr>
          <w:spacing w:val="-9"/>
        </w:rPr>
        <w:t> </w:t>
      </w:r>
      <w:r>
        <w:rPr/>
        <w:t>only.</w:t>
      </w:r>
    </w:p>
    <w:p>
      <w:pPr>
        <w:pStyle w:val="BodyText"/>
        <w:rPr>
          <w:sz w:val="21"/>
        </w:rPr>
      </w:pPr>
    </w:p>
    <w:p>
      <w:pPr>
        <w:pStyle w:val="Heading1"/>
      </w:pPr>
      <w:r>
        <w:rPr/>
        <w:t>General</w:t>
      </w:r>
    </w:p>
    <w:p>
      <w:pPr>
        <w:pStyle w:val="BodyText"/>
        <w:spacing w:before="10"/>
        <w:rPr>
          <w:b/>
        </w:rPr>
      </w:pPr>
    </w:p>
    <w:p>
      <w:pPr>
        <w:pStyle w:val="BodyText"/>
        <w:ind w:left="179" w:right="417"/>
        <w:jc w:val="both"/>
      </w:pPr>
      <w:r>
        <w:rPr/>
        <w:t>The</w:t>
      </w:r>
      <w:r>
        <w:rPr>
          <w:spacing w:val="-9"/>
        </w:rPr>
        <w:t> </w:t>
      </w:r>
      <w:r>
        <w:rPr/>
        <w:t>following</w:t>
      </w:r>
      <w:r>
        <w:rPr>
          <w:spacing w:val="-10"/>
        </w:rPr>
        <w:t> </w:t>
      </w:r>
      <w:r>
        <w:rPr/>
        <w:t>information</w:t>
      </w:r>
      <w:r>
        <w:rPr>
          <w:spacing w:val="-8"/>
        </w:rPr>
        <w:t> </w:t>
      </w:r>
      <w:r>
        <w:rPr/>
        <w:t>must</w:t>
      </w:r>
      <w:r>
        <w:rPr>
          <w:spacing w:val="-9"/>
        </w:rPr>
        <w:t> </w:t>
      </w:r>
      <w:r>
        <w:rPr/>
        <w:t>be</w:t>
      </w:r>
      <w:r>
        <w:rPr>
          <w:spacing w:val="-8"/>
        </w:rPr>
        <w:t> </w:t>
      </w:r>
      <w:r>
        <w:rPr/>
        <w:t>declared</w:t>
      </w:r>
      <w:r>
        <w:rPr>
          <w:spacing w:val="-8"/>
        </w:rPr>
        <w:t> </w:t>
      </w:r>
      <w:r>
        <w:rPr/>
        <w:t>on</w:t>
      </w:r>
      <w:r>
        <w:rPr>
          <w:spacing w:val="-10"/>
        </w:rPr>
        <w:t> </w:t>
      </w:r>
      <w:r>
        <w:rPr/>
        <w:t>the</w:t>
      </w:r>
      <w:r>
        <w:rPr>
          <w:spacing w:val="-9"/>
        </w:rPr>
        <w:t> </w:t>
      </w:r>
      <w:r>
        <w:rPr/>
        <w:t>principal</w:t>
      </w:r>
      <w:r>
        <w:rPr>
          <w:spacing w:val="-6"/>
        </w:rPr>
        <w:t> </w:t>
      </w:r>
      <w:r>
        <w:rPr/>
        <w:t>display</w:t>
      </w:r>
      <w:r>
        <w:rPr>
          <w:spacing w:val="-13"/>
        </w:rPr>
        <w:t> </w:t>
      </w:r>
      <w:r>
        <w:rPr/>
        <w:t>panel</w:t>
      </w:r>
      <w:r>
        <w:rPr>
          <w:spacing w:val="-9"/>
        </w:rPr>
        <w:t> </w:t>
      </w:r>
      <w:r>
        <w:rPr/>
        <w:t>(PDP)</w:t>
      </w:r>
      <w:r>
        <w:rPr>
          <w:spacing w:val="-8"/>
        </w:rPr>
        <w:t> </w:t>
      </w:r>
      <w:r>
        <w:rPr/>
        <w:t>of</w:t>
      </w:r>
      <w:r>
        <w:rPr>
          <w:spacing w:val="-10"/>
        </w:rPr>
        <w:t> </w:t>
      </w:r>
      <w:r>
        <w:rPr/>
        <w:t>a</w:t>
      </w:r>
      <w:r>
        <w:rPr>
          <w:spacing w:val="-9"/>
        </w:rPr>
        <w:t> </w:t>
      </w:r>
      <w:r>
        <w:rPr/>
        <w:t>package</w:t>
      </w:r>
      <w:r>
        <w:rPr>
          <w:spacing w:val="-9"/>
        </w:rPr>
        <w:t> </w:t>
      </w:r>
      <w:r>
        <w:rPr/>
        <w:t>of</w:t>
      </w:r>
      <w:r>
        <w:rPr>
          <w:spacing w:val="-8"/>
        </w:rPr>
        <w:t> </w:t>
      </w:r>
      <w:r>
        <w:rPr/>
        <w:t>sponge(s).</w:t>
      </w:r>
      <w:r>
        <w:rPr>
          <w:spacing w:val="34"/>
        </w:rPr>
        <w:t> </w:t>
      </w:r>
      <w:r>
        <w:rPr/>
        <w:t>The</w:t>
      </w:r>
      <w:r>
        <w:rPr>
          <w:spacing w:val="-9"/>
        </w:rPr>
        <w:t> </w:t>
      </w:r>
      <w:r>
        <w:rPr/>
        <w:t>PDP is the part of label (or package) most likely to be displayed, presented, shown to or examined by consumers. A tag or spot label may be</w:t>
      </w:r>
      <w:r>
        <w:rPr>
          <w:spacing w:val="-2"/>
        </w:rPr>
        <w:t> </w:t>
      </w:r>
      <w:r>
        <w:rPr/>
        <w:t>used.</w:t>
      </w:r>
    </w:p>
    <w:p>
      <w:pPr>
        <w:pStyle w:val="BodyText"/>
        <w:spacing w:before="9"/>
      </w:pPr>
    </w:p>
    <w:p>
      <w:pPr>
        <w:pStyle w:val="ListParagraph"/>
        <w:numPr>
          <w:ilvl w:val="0"/>
          <w:numId w:val="26"/>
        </w:numPr>
        <w:tabs>
          <w:tab w:pos="900" w:val="left" w:leader="none"/>
          <w:tab w:pos="901" w:val="left" w:leader="none"/>
        </w:tabs>
        <w:spacing w:line="240" w:lineRule="auto" w:before="0" w:after="0"/>
        <w:ind w:left="180" w:right="0" w:firstLine="360"/>
        <w:jc w:val="left"/>
        <w:rPr>
          <w:sz w:val="20"/>
        </w:rPr>
      </w:pPr>
      <w:r>
        <w:rPr>
          <w:sz w:val="20"/>
        </w:rPr>
        <w:t>Identity – what the package</w:t>
      </w:r>
      <w:r>
        <w:rPr>
          <w:spacing w:val="-2"/>
          <w:sz w:val="20"/>
        </w:rPr>
        <w:t> </w:t>
      </w:r>
      <w:r>
        <w:rPr>
          <w:sz w:val="20"/>
        </w:rPr>
        <w:t>contains</w:t>
      </w:r>
    </w:p>
    <w:p>
      <w:pPr>
        <w:pStyle w:val="BodyText"/>
        <w:spacing w:before="10"/>
      </w:pPr>
    </w:p>
    <w:p>
      <w:pPr>
        <w:pStyle w:val="ListParagraph"/>
        <w:numPr>
          <w:ilvl w:val="0"/>
          <w:numId w:val="26"/>
        </w:numPr>
        <w:tabs>
          <w:tab w:pos="900" w:val="left" w:leader="none"/>
          <w:tab w:pos="901" w:val="left" w:leader="none"/>
        </w:tabs>
        <w:spacing w:line="491" w:lineRule="auto" w:before="1" w:after="0"/>
        <w:ind w:left="180" w:right="1592" w:firstLine="360"/>
        <w:jc w:val="left"/>
        <w:rPr>
          <w:sz w:val="20"/>
        </w:rPr>
      </w:pPr>
      <w:r>
        <w:rPr>
          <w:sz w:val="20"/>
        </w:rPr>
        <w:t>Net Quantity of Contents – how many items in the package and the dimensions of the item(s) The following information may appear anywhere on the</w:t>
      </w:r>
      <w:r>
        <w:rPr>
          <w:spacing w:val="-5"/>
          <w:sz w:val="20"/>
        </w:rPr>
        <w:t> </w:t>
      </w:r>
      <w:r>
        <w:rPr>
          <w:sz w:val="20"/>
        </w:rPr>
        <w:t>package.</w:t>
      </w:r>
    </w:p>
    <w:p>
      <w:pPr>
        <w:pStyle w:val="ListParagraph"/>
        <w:numPr>
          <w:ilvl w:val="0"/>
          <w:numId w:val="26"/>
        </w:numPr>
        <w:tabs>
          <w:tab w:pos="899" w:val="left" w:leader="none"/>
          <w:tab w:pos="900" w:val="left" w:leader="none"/>
        </w:tabs>
        <w:spacing w:line="228" w:lineRule="exact" w:before="0" w:after="0"/>
        <w:ind w:left="899" w:right="0" w:hanging="360"/>
        <w:jc w:val="left"/>
        <w:rPr>
          <w:sz w:val="20"/>
        </w:rPr>
      </w:pPr>
      <w:r>
        <w:rPr>
          <w:sz w:val="20"/>
        </w:rPr>
        <w:t>Responsibility – the name of the processor or</w:t>
      </w:r>
      <w:r>
        <w:rPr>
          <w:spacing w:val="-5"/>
          <w:sz w:val="20"/>
        </w:rPr>
        <w:t> </w:t>
      </w:r>
      <w:r>
        <w:rPr>
          <w:sz w:val="20"/>
        </w:rPr>
        <w:t>distributor</w:t>
      </w:r>
    </w:p>
    <w:p>
      <w:pPr>
        <w:spacing w:after="0" w:line="228" w:lineRule="exact"/>
        <w:jc w:val="left"/>
        <w:rPr>
          <w:sz w:val="20"/>
        </w:rPr>
        <w:sectPr>
          <w:pgSz w:w="12240" w:h="15840"/>
          <w:pgMar w:header="730" w:footer="740" w:top="1340" w:bottom="940" w:left="1260" w:right="1020"/>
        </w:sectPr>
      </w:pPr>
    </w:p>
    <w:p>
      <w:pPr>
        <w:pStyle w:val="Heading1"/>
        <w:numPr>
          <w:ilvl w:val="3"/>
          <w:numId w:val="27"/>
        </w:numPr>
        <w:tabs>
          <w:tab w:pos="1342" w:val="left" w:leader="none"/>
        </w:tabs>
        <w:spacing w:line="240" w:lineRule="auto" w:before="88" w:after="0"/>
        <w:ind w:left="1341" w:right="0" w:hanging="802"/>
        <w:jc w:val="left"/>
      </w:pPr>
      <w:r>
        <w:rPr/>
        <w:t>Declaration of</w:t>
      </w:r>
      <w:r>
        <w:rPr>
          <w:spacing w:val="-3"/>
        </w:rPr>
        <w:t> </w:t>
      </w:r>
      <w:r>
        <w:rPr/>
        <w:t>Identity.</w:t>
      </w:r>
    </w:p>
    <w:p>
      <w:pPr>
        <w:pStyle w:val="BodyText"/>
        <w:spacing w:before="10"/>
        <w:rPr>
          <w:b/>
        </w:rPr>
      </w:pPr>
    </w:p>
    <w:p>
      <w:pPr>
        <w:pStyle w:val="ListParagraph"/>
        <w:numPr>
          <w:ilvl w:val="4"/>
          <w:numId w:val="27"/>
        </w:numPr>
        <w:tabs>
          <w:tab w:pos="1260" w:val="left" w:leader="none"/>
        </w:tabs>
        <w:spacing w:line="240" w:lineRule="auto" w:before="1" w:after="0"/>
        <w:ind w:left="1259" w:right="416" w:hanging="360"/>
        <w:jc w:val="both"/>
        <w:rPr>
          <w:sz w:val="20"/>
        </w:rPr>
      </w:pPr>
      <w:r>
        <w:rPr>
          <w:sz w:val="20"/>
        </w:rPr>
        <w:t>A</w:t>
      </w:r>
      <w:r>
        <w:rPr>
          <w:spacing w:val="-14"/>
          <w:sz w:val="20"/>
        </w:rPr>
        <w:t> </w:t>
      </w:r>
      <w:r>
        <w:rPr>
          <w:sz w:val="20"/>
        </w:rPr>
        <w:t>declaration</w:t>
      </w:r>
      <w:r>
        <w:rPr>
          <w:spacing w:val="-10"/>
          <w:sz w:val="20"/>
        </w:rPr>
        <w:t> </w:t>
      </w:r>
      <w:r>
        <w:rPr>
          <w:sz w:val="20"/>
        </w:rPr>
        <w:t>of</w:t>
      </w:r>
      <w:r>
        <w:rPr>
          <w:spacing w:val="-13"/>
          <w:sz w:val="20"/>
        </w:rPr>
        <w:t> </w:t>
      </w:r>
      <w:r>
        <w:rPr>
          <w:sz w:val="20"/>
        </w:rPr>
        <w:t>identity</w:t>
      </w:r>
      <w:r>
        <w:rPr>
          <w:spacing w:val="-13"/>
          <w:sz w:val="20"/>
        </w:rPr>
        <w:t> </w:t>
      </w:r>
      <w:r>
        <w:rPr>
          <w:sz w:val="20"/>
        </w:rPr>
        <w:t>that</w:t>
      </w:r>
      <w:r>
        <w:rPr>
          <w:spacing w:val="-12"/>
          <w:sz w:val="20"/>
        </w:rPr>
        <w:t> </w:t>
      </w:r>
      <w:r>
        <w:rPr>
          <w:sz w:val="20"/>
        </w:rPr>
        <w:t>clearly</w:t>
      </w:r>
      <w:r>
        <w:rPr>
          <w:spacing w:val="-15"/>
          <w:sz w:val="20"/>
        </w:rPr>
        <w:t> </w:t>
      </w:r>
      <w:r>
        <w:rPr>
          <w:sz w:val="20"/>
        </w:rPr>
        <w:t>describes</w:t>
      </w:r>
      <w:r>
        <w:rPr>
          <w:spacing w:val="-12"/>
          <w:sz w:val="20"/>
        </w:rPr>
        <w:t> </w:t>
      </w:r>
      <w:r>
        <w:rPr>
          <w:sz w:val="20"/>
        </w:rPr>
        <w:t>the</w:t>
      </w:r>
      <w:r>
        <w:rPr>
          <w:spacing w:val="-11"/>
          <w:sz w:val="20"/>
        </w:rPr>
        <w:t> </w:t>
      </w:r>
      <w:r>
        <w:rPr>
          <w:sz w:val="20"/>
        </w:rPr>
        <w:t>origin</w:t>
      </w:r>
      <w:r>
        <w:rPr>
          <w:spacing w:val="-13"/>
          <w:sz w:val="20"/>
        </w:rPr>
        <w:t> </w:t>
      </w:r>
      <w:r>
        <w:rPr>
          <w:sz w:val="20"/>
        </w:rPr>
        <w:t>and</w:t>
      </w:r>
      <w:r>
        <w:rPr>
          <w:spacing w:val="-8"/>
          <w:sz w:val="20"/>
        </w:rPr>
        <w:t> </w:t>
      </w:r>
      <w:r>
        <w:rPr>
          <w:sz w:val="20"/>
        </w:rPr>
        <w:t>other</w:t>
      </w:r>
      <w:r>
        <w:rPr>
          <w:spacing w:val="-11"/>
          <w:sz w:val="20"/>
        </w:rPr>
        <w:t> </w:t>
      </w:r>
      <w:r>
        <w:rPr>
          <w:sz w:val="20"/>
        </w:rPr>
        <w:t>relevant</w:t>
      </w:r>
      <w:r>
        <w:rPr>
          <w:spacing w:val="-12"/>
          <w:sz w:val="20"/>
        </w:rPr>
        <w:t> </w:t>
      </w:r>
      <w:r>
        <w:rPr>
          <w:sz w:val="20"/>
        </w:rPr>
        <w:t>information</w:t>
      </w:r>
      <w:r>
        <w:rPr>
          <w:spacing w:val="-13"/>
          <w:sz w:val="20"/>
        </w:rPr>
        <w:t> </w:t>
      </w:r>
      <w:r>
        <w:rPr>
          <w:sz w:val="20"/>
        </w:rPr>
        <w:t>about</w:t>
      </w:r>
      <w:r>
        <w:rPr>
          <w:spacing w:val="-12"/>
          <w:sz w:val="20"/>
        </w:rPr>
        <w:t> </w:t>
      </w:r>
      <w:r>
        <w:rPr>
          <w:sz w:val="20"/>
        </w:rPr>
        <w:t>the</w:t>
      </w:r>
      <w:r>
        <w:rPr>
          <w:spacing w:val="-11"/>
          <w:sz w:val="20"/>
        </w:rPr>
        <w:t> </w:t>
      </w:r>
      <w:r>
        <w:rPr>
          <w:sz w:val="20"/>
        </w:rPr>
        <w:t>sponge must appear on the label of each package. The identity of a sponge must include information about its origin</w:t>
      </w:r>
      <w:r>
        <w:rPr>
          <w:spacing w:val="-7"/>
          <w:sz w:val="20"/>
        </w:rPr>
        <w:t> </w:t>
      </w:r>
      <w:r>
        <w:rPr>
          <w:sz w:val="20"/>
        </w:rPr>
        <w:t>(i.e.,</w:t>
      </w:r>
      <w:r>
        <w:rPr>
          <w:spacing w:val="-5"/>
          <w:sz w:val="20"/>
        </w:rPr>
        <w:t> </w:t>
      </w:r>
      <w:r>
        <w:rPr>
          <w:sz w:val="20"/>
        </w:rPr>
        <w:t>is</w:t>
      </w:r>
      <w:r>
        <w:rPr>
          <w:spacing w:val="-7"/>
          <w:sz w:val="20"/>
        </w:rPr>
        <w:t> </w:t>
      </w:r>
      <w:r>
        <w:rPr>
          <w:sz w:val="20"/>
        </w:rPr>
        <w:t>it</w:t>
      </w:r>
      <w:r>
        <w:rPr>
          <w:spacing w:val="-6"/>
          <w:sz w:val="20"/>
        </w:rPr>
        <w:t> </w:t>
      </w:r>
      <w:r>
        <w:rPr>
          <w:sz w:val="20"/>
        </w:rPr>
        <w:t>a</w:t>
      </w:r>
      <w:r>
        <w:rPr>
          <w:spacing w:val="-7"/>
          <w:sz w:val="20"/>
        </w:rPr>
        <w:t> </w:t>
      </w:r>
      <w:r>
        <w:rPr>
          <w:sz w:val="20"/>
        </w:rPr>
        <w:t>natural</w:t>
      </w:r>
      <w:r>
        <w:rPr>
          <w:spacing w:val="-6"/>
          <w:sz w:val="20"/>
        </w:rPr>
        <w:t> </w:t>
      </w:r>
      <w:r>
        <w:rPr>
          <w:sz w:val="20"/>
        </w:rPr>
        <w:t>or</w:t>
      </w:r>
      <w:r>
        <w:rPr>
          <w:spacing w:val="-5"/>
          <w:sz w:val="20"/>
        </w:rPr>
        <w:t> </w:t>
      </w:r>
      <w:r>
        <w:rPr>
          <w:sz w:val="20"/>
        </w:rPr>
        <w:t>synthetic</w:t>
      </w:r>
      <w:r>
        <w:rPr>
          <w:spacing w:val="-6"/>
          <w:sz w:val="20"/>
        </w:rPr>
        <w:t> </w:t>
      </w:r>
      <w:r>
        <w:rPr>
          <w:sz w:val="20"/>
        </w:rPr>
        <w:t>sponge).</w:t>
      </w:r>
      <w:r>
        <w:rPr>
          <w:spacing w:val="40"/>
          <w:sz w:val="20"/>
        </w:rPr>
        <w:t> </w:t>
      </w:r>
      <w:r>
        <w:rPr>
          <w:sz w:val="20"/>
        </w:rPr>
        <w:t>The</w:t>
      </w:r>
      <w:r>
        <w:rPr>
          <w:spacing w:val="-5"/>
          <w:sz w:val="20"/>
        </w:rPr>
        <w:t> </w:t>
      </w:r>
      <w:r>
        <w:rPr>
          <w:sz w:val="20"/>
        </w:rPr>
        <w:t>identity</w:t>
      </w:r>
      <w:r>
        <w:rPr>
          <w:spacing w:val="-7"/>
          <w:sz w:val="20"/>
        </w:rPr>
        <w:t> </w:t>
      </w:r>
      <w:r>
        <w:rPr>
          <w:sz w:val="20"/>
        </w:rPr>
        <w:t>shall</w:t>
      </w:r>
      <w:r>
        <w:rPr>
          <w:spacing w:val="-6"/>
          <w:sz w:val="20"/>
        </w:rPr>
        <w:t> </w:t>
      </w:r>
      <w:r>
        <w:rPr>
          <w:sz w:val="20"/>
        </w:rPr>
        <w:t>be</w:t>
      </w:r>
      <w:r>
        <w:rPr>
          <w:spacing w:val="-5"/>
          <w:sz w:val="20"/>
        </w:rPr>
        <w:t> </w:t>
      </w:r>
      <w:r>
        <w:rPr>
          <w:sz w:val="20"/>
        </w:rPr>
        <w:t>in</w:t>
      </w:r>
      <w:r>
        <w:rPr>
          <w:spacing w:val="-7"/>
          <w:sz w:val="20"/>
        </w:rPr>
        <w:t> </w:t>
      </w:r>
      <w:r>
        <w:rPr>
          <w:sz w:val="20"/>
        </w:rPr>
        <w:t>terms</w:t>
      </w:r>
      <w:r>
        <w:rPr>
          <w:spacing w:val="-6"/>
          <w:sz w:val="20"/>
        </w:rPr>
        <w:t> </w:t>
      </w:r>
      <w:r>
        <w:rPr>
          <w:sz w:val="20"/>
        </w:rPr>
        <w:t>of</w:t>
      </w:r>
      <w:r>
        <w:rPr>
          <w:spacing w:val="-7"/>
          <w:sz w:val="20"/>
        </w:rPr>
        <w:t> </w:t>
      </w:r>
      <w:r>
        <w:rPr>
          <w:sz w:val="20"/>
        </w:rPr>
        <w:t>(i)</w:t>
      </w:r>
      <w:r>
        <w:rPr>
          <w:spacing w:val="-2"/>
          <w:sz w:val="20"/>
        </w:rPr>
        <w:t> </w:t>
      </w:r>
      <w:r>
        <w:rPr>
          <w:sz w:val="20"/>
        </w:rPr>
        <w:t>the</w:t>
      </w:r>
      <w:r>
        <w:rPr>
          <w:spacing w:val="-5"/>
          <w:sz w:val="20"/>
        </w:rPr>
        <w:t> </w:t>
      </w:r>
      <w:r>
        <w:rPr>
          <w:sz w:val="20"/>
        </w:rPr>
        <w:t>name</w:t>
      </w:r>
      <w:r>
        <w:rPr>
          <w:spacing w:val="-5"/>
          <w:sz w:val="20"/>
        </w:rPr>
        <w:t> </w:t>
      </w:r>
      <w:r>
        <w:rPr>
          <w:sz w:val="20"/>
        </w:rPr>
        <w:t>specified</w:t>
      </w:r>
      <w:r>
        <w:rPr>
          <w:spacing w:val="-4"/>
          <w:sz w:val="20"/>
        </w:rPr>
        <w:t> </w:t>
      </w:r>
      <w:r>
        <w:rPr>
          <w:sz w:val="20"/>
        </w:rPr>
        <w:t>in or</w:t>
      </w:r>
      <w:r>
        <w:rPr>
          <w:spacing w:val="-6"/>
          <w:sz w:val="20"/>
        </w:rPr>
        <w:t> </w:t>
      </w:r>
      <w:r>
        <w:rPr>
          <w:sz w:val="20"/>
        </w:rPr>
        <w:t>required</w:t>
      </w:r>
      <w:r>
        <w:rPr>
          <w:spacing w:val="-6"/>
          <w:sz w:val="20"/>
        </w:rPr>
        <w:t> </w:t>
      </w:r>
      <w:r>
        <w:rPr>
          <w:sz w:val="20"/>
        </w:rPr>
        <w:t>by</w:t>
      </w:r>
      <w:r>
        <w:rPr>
          <w:spacing w:val="-10"/>
          <w:sz w:val="20"/>
        </w:rPr>
        <w:t> </w:t>
      </w:r>
      <w:r>
        <w:rPr>
          <w:sz w:val="20"/>
        </w:rPr>
        <w:t>applicable</w:t>
      </w:r>
      <w:r>
        <w:rPr>
          <w:spacing w:val="-6"/>
          <w:sz w:val="20"/>
        </w:rPr>
        <w:t> </w:t>
      </w:r>
      <w:r>
        <w:rPr>
          <w:sz w:val="20"/>
        </w:rPr>
        <w:t>federal</w:t>
      </w:r>
      <w:r>
        <w:rPr>
          <w:spacing w:val="-7"/>
          <w:sz w:val="20"/>
        </w:rPr>
        <w:t> </w:t>
      </w:r>
      <w:r>
        <w:rPr>
          <w:sz w:val="20"/>
        </w:rPr>
        <w:t>or</w:t>
      </w:r>
      <w:r>
        <w:rPr>
          <w:spacing w:val="-6"/>
          <w:sz w:val="20"/>
        </w:rPr>
        <w:t> </w:t>
      </w:r>
      <w:r>
        <w:rPr>
          <w:sz w:val="20"/>
        </w:rPr>
        <w:t>state</w:t>
      </w:r>
      <w:r>
        <w:rPr>
          <w:spacing w:val="-6"/>
          <w:sz w:val="20"/>
        </w:rPr>
        <w:t> </w:t>
      </w:r>
      <w:r>
        <w:rPr>
          <w:sz w:val="20"/>
        </w:rPr>
        <w:t>law</w:t>
      </w:r>
      <w:r>
        <w:rPr>
          <w:spacing w:val="-9"/>
          <w:sz w:val="20"/>
        </w:rPr>
        <w:t> </w:t>
      </w:r>
      <w:r>
        <w:rPr>
          <w:sz w:val="20"/>
        </w:rPr>
        <w:t>or</w:t>
      </w:r>
      <w:r>
        <w:rPr>
          <w:spacing w:val="-6"/>
          <w:sz w:val="20"/>
        </w:rPr>
        <w:t> </w:t>
      </w:r>
      <w:r>
        <w:rPr>
          <w:sz w:val="20"/>
        </w:rPr>
        <w:t>regulation,</w:t>
      </w:r>
      <w:r>
        <w:rPr>
          <w:spacing w:val="-6"/>
          <w:sz w:val="20"/>
        </w:rPr>
        <w:t> </w:t>
      </w:r>
      <w:r>
        <w:rPr>
          <w:sz w:val="20"/>
        </w:rPr>
        <w:t>or</w:t>
      </w:r>
      <w:r>
        <w:rPr>
          <w:spacing w:val="-6"/>
          <w:sz w:val="20"/>
        </w:rPr>
        <w:t> </w:t>
      </w:r>
      <w:r>
        <w:rPr>
          <w:sz w:val="20"/>
        </w:rPr>
        <w:t>(ii)</w:t>
      </w:r>
      <w:r>
        <w:rPr>
          <w:spacing w:val="-2"/>
          <w:sz w:val="20"/>
        </w:rPr>
        <w:t> </w:t>
      </w:r>
      <w:r>
        <w:rPr>
          <w:sz w:val="20"/>
        </w:rPr>
        <w:t>the</w:t>
      </w:r>
      <w:r>
        <w:rPr>
          <w:spacing w:val="-7"/>
          <w:sz w:val="20"/>
        </w:rPr>
        <w:t> </w:t>
      </w:r>
      <w:r>
        <w:rPr>
          <w:sz w:val="20"/>
        </w:rPr>
        <w:t>common</w:t>
      </w:r>
      <w:r>
        <w:rPr>
          <w:spacing w:val="-8"/>
          <w:sz w:val="20"/>
        </w:rPr>
        <w:t> </w:t>
      </w:r>
      <w:r>
        <w:rPr>
          <w:sz w:val="20"/>
        </w:rPr>
        <w:t>or</w:t>
      </w:r>
      <w:r>
        <w:rPr>
          <w:spacing w:val="-6"/>
          <w:sz w:val="20"/>
        </w:rPr>
        <w:t> </w:t>
      </w:r>
      <w:r>
        <w:rPr>
          <w:sz w:val="20"/>
        </w:rPr>
        <w:t>usual</w:t>
      </w:r>
      <w:r>
        <w:rPr>
          <w:spacing w:val="-5"/>
          <w:sz w:val="20"/>
        </w:rPr>
        <w:t> </w:t>
      </w:r>
      <w:r>
        <w:rPr>
          <w:sz w:val="20"/>
        </w:rPr>
        <w:t>name,</w:t>
      </w:r>
      <w:r>
        <w:rPr>
          <w:spacing w:val="-6"/>
          <w:sz w:val="20"/>
        </w:rPr>
        <w:t> </w:t>
      </w:r>
      <w:r>
        <w:rPr>
          <w:sz w:val="20"/>
        </w:rPr>
        <w:t>or</w:t>
      </w:r>
      <w:r>
        <w:rPr>
          <w:spacing w:val="-6"/>
          <w:sz w:val="20"/>
        </w:rPr>
        <w:t> </w:t>
      </w:r>
      <w:r>
        <w:rPr>
          <w:sz w:val="20"/>
        </w:rPr>
        <w:t>(iii)</w:t>
      </w:r>
      <w:r>
        <w:rPr>
          <w:spacing w:val="-1"/>
          <w:sz w:val="20"/>
        </w:rPr>
        <w:t> </w:t>
      </w:r>
      <w:r>
        <w:rPr>
          <w:sz w:val="20"/>
        </w:rPr>
        <w:t>the generic name or other appropriate</w:t>
      </w:r>
      <w:r>
        <w:rPr>
          <w:spacing w:val="3"/>
          <w:sz w:val="20"/>
        </w:rPr>
        <w:t> </w:t>
      </w:r>
      <w:r>
        <w:rPr>
          <w:sz w:val="20"/>
        </w:rPr>
        <w:t>description.</w:t>
      </w:r>
    </w:p>
    <w:p>
      <w:pPr>
        <w:pStyle w:val="BodyText"/>
        <w:spacing w:before="9"/>
      </w:pPr>
    </w:p>
    <w:p>
      <w:pPr>
        <w:pStyle w:val="Heading1"/>
        <w:ind w:left="1259"/>
      </w:pPr>
      <w:r>
        <w:rPr/>
        <w:t>Example:</w:t>
      </w:r>
    </w:p>
    <w:p>
      <w:pPr>
        <w:pStyle w:val="BodyText"/>
        <w:spacing w:before="11"/>
        <w:rPr>
          <w:b/>
        </w:rPr>
      </w:pPr>
    </w:p>
    <w:p>
      <w:pPr>
        <w:pStyle w:val="BodyText"/>
        <w:ind w:left="1259"/>
      </w:pPr>
      <w:r>
        <w:rPr/>
        <w:t>Sea Wool Sponge, Rock Island Sponge, Sea Grass Sponge, Sea Yellow Sponge, or Atlantic Silk Sponge</w:t>
      </w:r>
    </w:p>
    <w:p>
      <w:pPr>
        <w:pStyle w:val="BodyText"/>
        <w:spacing w:before="10"/>
      </w:pPr>
    </w:p>
    <w:p>
      <w:pPr>
        <w:pStyle w:val="ListParagraph"/>
        <w:numPr>
          <w:ilvl w:val="5"/>
          <w:numId w:val="27"/>
        </w:numPr>
        <w:tabs>
          <w:tab w:pos="1619" w:val="left" w:leader="none"/>
          <w:tab w:pos="1621" w:val="left" w:leader="none"/>
        </w:tabs>
        <w:spacing w:line="240" w:lineRule="auto" w:before="0" w:after="0"/>
        <w:ind w:left="1619" w:right="0" w:hanging="359"/>
        <w:jc w:val="left"/>
        <w:rPr>
          <w:sz w:val="20"/>
        </w:rPr>
      </w:pPr>
      <w:r>
        <w:rPr>
          <w:sz w:val="20"/>
        </w:rPr>
        <w:t>Origin - Natural or</w:t>
      </w:r>
      <w:r>
        <w:rPr>
          <w:spacing w:val="-3"/>
          <w:sz w:val="20"/>
        </w:rPr>
        <w:t> </w:t>
      </w:r>
      <w:r>
        <w:rPr>
          <w:sz w:val="20"/>
        </w:rPr>
        <w:t>Synthetic</w:t>
      </w:r>
    </w:p>
    <w:p>
      <w:pPr>
        <w:pStyle w:val="BodyText"/>
        <w:spacing w:before="8"/>
      </w:pPr>
    </w:p>
    <w:p>
      <w:pPr>
        <w:pStyle w:val="ListParagraph"/>
        <w:numPr>
          <w:ilvl w:val="5"/>
          <w:numId w:val="27"/>
        </w:numPr>
        <w:tabs>
          <w:tab w:pos="1619" w:val="left" w:leader="none"/>
          <w:tab w:pos="1620" w:val="left" w:leader="none"/>
        </w:tabs>
        <w:spacing w:line="240" w:lineRule="auto" w:before="0" w:after="0"/>
        <w:ind w:left="1619" w:right="421" w:hanging="360"/>
        <w:jc w:val="left"/>
        <w:rPr>
          <w:sz w:val="20"/>
        </w:rPr>
      </w:pPr>
      <w:r>
        <w:rPr>
          <w:sz w:val="20"/>
        </w:rPr>
        <w:t>For natural sponges, the label must specify if they are “Cut” or “Form.” “Cut” sponges are those that have been cut into halves, quarters, or fourths while “forms” are whole</w:t>
      </w:r>
      <w:r>
        <w:rPr>
          <w:spacing w:val="-4"/>
          <w:sz w:val="20"/>
        </w:rPr>
        <w:t> </w:t>
      </w:r>
      <w:r>
        <w:rPr>
          <w:sz w:val="20"/>
        </w:rPr>
        <w:t>sponges.</w:t>
      </w:r>
    </w:p>
    <w:p>
      <w:pPr>
        <w:pStyle w:val="BodyText"/>
        <w:spacing w:before="11"/>
      </w:pPr>
    </w:p>
    <w:p>
      <w:pPr>
        <w:pStyle w:val="ListParagraph"/>
        <w:numPr>
          <w:ilvl w:val="5"/>
          <w:numId w:val="27"/>
        </w:numPr>
        <w:tabs>
          <w:tab w:pos="1619" w:val="left" w:leader="none"/>
          <w:tab w:pos="1620" w:val="left" w:leader="none"/>
        </w:tabs>
        <w:spacing w:line="240" w:lineRule="auto" w:before="0" w:after="0"/>
        <w:ind w:left="1619" w:right="0" w:hanging="360"/>
        <w:jc w:val="left"/>
        <w:rPr>
          <w:sz w:val="20"/>
        </w:rPr>
      </w:pPr>
      <w:r>
        <w:rPr>
          <w:sz w:val="20"/>
        </w:rPr>
        <w:t>For natural sponges, indicate type of sponge (e.g., “silk,” “seawool,” or</w:t>
      </w:r>
      <w:r>
        <w:rPr>
          <w:spacing w:val="-7"/>
          <w:sz w:val="20"/>
        </w:rPr>
        <w:t> </w:t>
      </w:r>
      <w:r>
        <w:rPr>
          <w:sz w:val="20"/>
        </w:rPr>
        <w:t>“yellow”)</w:t>
      </w:r>
    </w:p>
    <w:p>
      <w:pPr>
        <w:pStyle w:val="BodyText"/>
        <w:spacing w:before="10"/>
      </w:pPr>
    </w:p>
    <w:p>
      <w:pPr>
        <w:pStyle w:val="ListParagraph"/>
        <w:numPr>
          <w:ilvl w:val="4"/>
          <w:numId w:val="27"/>
        </w:numPr>
        <w:tabs>
          <w:tab w:pos="1259" w:val="left" w:leader="none"/>
          <w:tab w:pos="1260" w:val="left" w:leader="none"/>
        </w:tabs>
        <w:spacing w:line="240" w:lineRule="auto" w:before="0" w:after="0"/>
        <w:ind w:left="1259" w:right="0" w:hanging="360"/>
        <w:jc w:val="left"/>
        <w:rPr>
          <w:sz w:val="20"/>
        </w:rPr>
      </w:pPr>
      <w:r>
        <w:rPr>
          <w:sz w:val="20"/>
        </w:rPr>
        <w:t>Identifiers</w:t>
      </w:r>
    </w:p>
    <w:p>
      <w:pPr>
        <w:pStyle w:val="BodyText"/>
        <w:spacing w:before="10"/>
      </w:pPr>
    </w:p>
    <w:p>
      <w:pPr>
        <w:pStyle w:val="ListParagraph"/>
        <w:numPr>
          <w:ilvl w:val="5"/>
          <w:numId w:val="27"/>
        </w:numPr>
        <w:tabs>
          <w:tab w:pos="1619" w:val="left" w:leader="none"/>
          <w:tab w:pos="1620" w:val="left" w:leader="none"/>
        </w:tabs>
        <w:spacing w:line="240" w:lineRule="auto" w:before="1" w:after="0"/>
        <w:ind w:left="1619" w:right="418" w:hanging="360"/>
        <w:jc w:val="left"/>
        <w:rPr>
          <w:sz w:val="20"/>
        </w:rPr>
      </w:pPr>
      <w:r>
        <w:rPr>
          <w:sz w:val="20"/>
        </w:rPr>
        <w:t>Terms</w:t>
      </w:r>
      <w:r>
        <w:rPr>
          <w:spacing w:val="-5"/>
          <w:sz w:val="20"/>
        </w:rPr>
        <w:t> </w:t>
      </w:r>
      <w:r>
        <w:rPr>
          <w:sz w:val="20"/>
        </w:rPr>
        <w:t>which</w:t>
      </w:r>
      <w:r>
        <w:rPr>
          <w:spacing w:val="-6"/>
          <w:sz w:val="20"/>
        </w:rPr>
        <w:t> </w:t>
      </w:r>
      <w:r>
        <w:rPr>
          <w:sz w:val="20"/>
        </w:rPr>
        <w:t>indicate</w:t>
      </w:r>
      <w:r>
        <w:rPr>
          <w:spacing w:val="-4"/>
          <w:sz w:val="20"/>
        </w:rPr>
        <w:t> </w:t>
      </w:r>
      <w:r>
        <w:rPr>
          <w:sz w:val="20"/>
        </w:rPr>
        <w:t>locations</w:t>
      </w:r>
      <w:r>
        <w:rPr>
          <w:spacing w:val="-6"/>
          <w:sz w:val="20"/>
        </w:rPr>
        <w:t> </w:t>
      </w:r>
      <w:r>
        <w:rPr>
          <w:sz w:val="20"/>
        </w:rPr>
        <w:t>of</w:t>
      </w:r>
      <w:r>
        <w:rPr>
          <w:spacing w:val="-6"/>
          <w:sz w:val="20"/>
        </w:rPr>
        <w:t> </w:t>
      </w:r>
      <w:r>
        <w:rPr>
          <w:sz w:val="20"/>
        </w:rPr>
        <w:t>origin</w:t>
      </w:r>
      <w:r>
        <w:rPr>
          <w:spacing w:val="-7"/>
          <w:sz w:val="20"/>
        </w:rPr>
        <w:t> </w:t>
      </w:r>
      <w:r>
        <w:rPr>
          <w:sz w:val="20"/>
        </w:rPr>
        <w:t>on</w:t>
      </w:r>
      <w:r>
        <w:rPr>
          <w:spacing w:val="-4"/>
          <w:sz w:val="20"/>
        </w:rPr>
        <w:t> </w:t>
      </w:r>
      <w:r>
        <w:rPr>
          <w:sz w:val="20"/>
        </w:rPr>
        <w:t>some</w:t>
      </w:r>
      <w:r>
        <w:rPr>
          <w:spacing w:val="-4"/>
          <w:sz w:val="20"/>
        </w:rPr>
        <w:t> </w:t>
      </w:r>
      <w:r>
        <w:rPr>
          <w:sz w:val="20"/>
        </w:rPr>
        <w:t>natural</w:t>
      </w:r>
      <w:r>
        <w:rPr>
          <w:spacing w:val="-6"/>
          <w:sz w:val="20"/>
        </w:rPr>
        <w:t> </w:t>
      </w:r>
      <w:r>
        <w:rPr>
          <w:sz w:val="20"/>
        </w:rPr>
        <w:t>sponges</w:t>
      </w:r>
      <w:r>
        <w:rPr>
          <w:spacing w:val="-5"/>
          <w:sz w:val="20"/>
        </w:rPr>
        <w:t> </w:t>
      </w:r>
      <w:r>
        <w:rPr>
          <w:sz w:val="20"/>
        </w:rPr>
        <w:t>(e.g.,</w:t>
      </w:r>
      <w:r>
        <w:rPr>
          <w:spacing w:val="-5"/>
          <w:sz w:val="20"/>
        </w:rPr>
        <w:t> </w:t>
      </w:r>
      <w:r>
        <w:rPr>
          <w:sz w:val="20"/>
        </w:rPr>
        <w:t>“Atlantic</w:t>
      </w:r>
      <w:r>
        <w:rPr>
          <w:spacing w:val="-5"/>
          <w:sz w:val="20"/>
        </w:rPr>
        <w:t> </w:t>
      </w:r>
      <w:r>
        <w:rPr>
          <w:sz w:val="20"/>
        </w:rPr>
        <w:t>Sea</w:t>
      </w:r>
      <w:r>
        <w:rPr>
          <w:spacing w:val="-4"/>
          <w:sz w:val="20"/>
        </w:rPr>
        <w:t> </w:t>
      </w:r>
      <w:r>
        <w:rPr>
          <w:sz w:val="20"/>
        </w:rPr>
        <w:t>Sponge”)</w:t>
      </w:r>
      <w:r>
        <w:rPr>
          <w:spacing w:val="-5"/>
          <w:sz w:val="20"/>
        </w:rPr>
        <w:t> </w:t>
      </w:r>
      <w:r>
        <w:rPr>
          <w:sz w:val="20"/>
        </w:rPr>
        <w:t>are permitted to be used for identification if they accurately describe the source of the</w:t>
      </w:r>
      <w:r>
        <w:rPr>
          <w:spacing w:val="-24"/>
          <w:sz w:val="20"/>
        </w:rPr>
        <w:t> </w:t>
      </w:r>
      <w:r>
        <w:rPr>
          <w:sz w:val="20"/>
        </w:rPr>
        <w:t>sponge.</w:t>
      </w:r>
    </w:p>
    <w:p>
      <w:pPr>
        <w:pStyle w:val="BodyText"/>
        <w:spacing w:before="8"/>
      </w:pPr>
    </w:p>
    <w:p>
      <w:pPr>
        <w:pStyle w:val="ListParagraph"/>
        <w:numPr>
          <w:ilvl w:val="5"/>
          <w:numId w:val="27"/>
        </w:numPr>
        <w:tabs>
          <w:tab w:pos="1620" w:val="left" w:leader="none"/>
        </w:tabs>
        <w:spacing w:line="240" w:lineRule="auto" w:before="0" w:after="0"/>
        <w:ind w:left="1619" w:right="415" w:hanging="360"/>
        <w:jc w:val="both"/>
        <w:rPr>
          <w:sz w:val="20"/>
        </w:rPr>
      </w:pPr>
      <w:r>
        <w:rPr>
          <w:sz w:val="20"/>
        </w:rPr>
        <w:t>Use</w:t>
      </w:r>
      <w:r>
        <w:rPr>
          <w:spacing w:val="-10"/>
          <w:sz w:val="20"/>
        </w:rPr>
        <w:t> </w:t>
      </w:r>
      <w:r>
        <w:rPr>
          <w:sz w:val="20"/>
        </w:rPr>
        <w:t>of</w:t>
      </w:r>
      <w:r>
        <w:rPr>
          <w:spacing w:val="-9"/>
          <w:sz w:val="20"/>
        </w:rPr>
        <w:t> </w:t>
      </w:r>
      <w:r>
        <w:rPr>
          <w:sz w:val="20"/>
        </w:rPr>
        <w:t>terms</w:t>
      </w:r>
      <w:r>
        <w:rPr>
          <w:spacing w:val="-10"/>
          <w:sz w:val="20"/>
        </w:rPr>
        <w:t> </w:t>
      </w:r>
      <w:r>
        <w:rPr>
          <w:sz w:val="20"/>
        </w:rPr>
        <w:t>that</w:t>
      </w:r>
      <w:r>
        <w:rPr>
          <w:spacing w:val="-8"/>
          <w:sz w:val="20"/>
        </w:rPr>
        <w:t> </w:t>
      </w:r>
      <w:r>
        <w:rPr>
          <w:sz w:val="20"/>
        </w:rPr>
        <w:t>may</w:t>
      </w:r>
      <w:r>
        <w:rPr>
          <w:spacing w:val="-10"/>
          <w:sz w:val="20"/>
        </w:rPr>
        <w:t> </w:t>
      </w:r>
      <w:r>
        <w:rPr>
          <w:sz w:val="20"/>
        </w:rPr>
        <w:t>be</w:t>
      </w:r>
      <w:r>
        <w:rPr>
          <w:spacing w:val="-10"/>
          <w:sz w:val="20"/>
        </w:rPr>
        <w:t> </w:t>
      </w:r>
      <w:r>
        <w:rPr>
          <w:sz w:val="20"/>
        </w:rPr>
        <w:t>interpreted</w:t>
      </w:r>
      <w:r>
        <w:rPr>
          <w:spacing w:val="-8"/>
          <w:sz w:val="20"/>
        </w:rPr>
        <w:t> </w:t>
      </w:r>
      <w:r>
        <w:rPr>
          <w:sz w:val="20"/>
        </w:rPr>
        <w:t>by</w:t>
      </w:r>
      <w:r>
        <w:rPr>
          <w:spacing w:val="-14"/>
          <w:sz w:val="20"/>
        </w:rPr>
        <w:t> </w:t>
      </w:r>
      <w:r>
        <w:rPr>
          <w:sz w:val="20"/>
        </w:rPr>
        <w:t>consumers</w:t>
      </w:r>
      <w:r>
        <w:rPr>
          <w:spacing w:val="-8"/>
          <w:sz w:val="20"/>
        </w:rPr>
        <w:t> </w:t>
      </w:r>
      <w:r>
        <w:rPr>
          <w:sz w:val="20"/>
        </w:rPr>
        <w:t>to</w:t>
      </w:r>
      <w:r>
        <w:rPr>
          <w:spacing w:val="-9"/>
          <w:sz w:val="20"/>
        </w:rPr>
        <w:t> </w:t>
      </w:r>
      <w:r>
        <w:rPr>
          <w:sz w:val="20"/>
        </w:rPr>
        <w:t>imply</w:t>
      </w:r>
      <w:r>
        <w:rPr>
          <w:spacing w:val="-8"/>
          <w:sz w:val="20"/>
        </w:rPr>
        <w:t> </w:t>
      </w:r>
      <w:r>
        <w:rPr>
          <w:sz w:val="20"/>
        </w:rPr>
        <w:t>quality,</w:t>
      </w:r>
      <w:r>
        <w:rPr>
          <w:spacing w:val="-7"/>
          <w:sz w:val="20"/>
        </w:rPr>
        <w:t> </w:t>
      </w:r>
      <w:r>
        <w:rPr>
          <w:sz w:val="20"/>
        </w:rPr>
        <w:t>durability,</w:t>
      </w:r>
      <w:r>
        <w:rPr>
          <w:spacing w:val="-7"/>
          <w:sz w:val="20"/>
        </w:rPr>
        <w:t> </w:t>
      </w:r>
      <w:r>
        <w:rPr>
          <w:sz w:val="20"/>
        </w:rPr>
        <w:t>or</w:t>
      </w:r>
      <w:r>
        <w:rPr>
          <w:spacing w:val="-8"/>
          <w:sz w:val="20"/>
        </w:rPr>
        <w:t> </w:t>
      </w:r>
      <w:r>
        <w:rPr>
          <w:sz w:val="20"/>
        </w:rPr>
        <w:t>“expert”</w:t>
      </w:r>
      <w:r>
        <w:rPr>
          <w:spacing w:val="-8"/>
          <w:sz w:val="20"/>
        </w:rPr>
        <w:t> </w:t>
      </w:r>
      <w:r>
        <w:rPr>
          <w:sz w:val="20"/>
        </w:rPr>
        <w:t>endorse- ment (e.g., “professional quality sponge”) are permitted as identifiers if they are not misleading. However, terms that imply quality should be used with care if they are not based on a recognized grading system. Use of terms to describe sponge texture such as “fine,” “medium,” or “coarse” are acceptable.</w:t>
      </w:r>
    </w:p>
    <w:p>
      <w:pPr>
        <w:pStyle w:val="BodyText"/>
        <w:spacing w:before="10"/>
      </w:pPr>
    </w:p>
    <w:p>
      <w:pPr>
        <w:pStyle w:val="ListParagraph"/>
        <w:numPr>
          <w:ilvl w:val="3"/>
          <w:numId w:val="27"/>
        </w:numPr>
        <w:tabs>
          <w:tab w:pos="1327" w:val="left" w:leader="none"/>
        </w:tabs>
        <w:spacing w:line="240" w:lineRule="auto" w:before="0" w:after="0"/>
        <w:ind w:left="539" w:right="415" w:firstLine="0"/>
        <w:jc w:val="left"/>
        <w:rPr>
          <w:sz w:val="20"/>
        </w:rPr>
      </w:pPr>
      <w:r>
        <w:rPr>
          <w:b/>
          <w:sz w:val="20"/>
        </w:rPr>
        <w:t>Declaration</w:t>
      </w:r>
      <w:r>
        <w:rPr>
          <w:b/>
          <w:spacing w:val="-13"/>
          <w:sz w:val="20"/>
        </w:rPr>
        <w:t> </w:t>
      </w:r>
      <w:r>
        <w:rPr>
          <w:b/>
          <w:sz w:val="20"/>
        </w:rPr>
        <w:t>of</w:t>
      </w:r>
      <w:r>
        <w:rPr>
          <w:b/>
          <w:spacing w:val="-9"/>
          <w:sz w:val="20"/>
        </w:rPr>
        <w:t> </w:t>
      </w:r>
      <w:r>
        <w:rPr>
          <w:b/>
          <w:sz w:val="20"/>
        </w:rPr>
        <w:t>Net</w:t>
      </w:r>
      <w:r>
        <w:rPr>
          <w:b/>
          <w:spacing w:val="-12"/>
          <w:sz w:val="20"/>
        </w:rPr>
        <w:t> </w:t>
      </w:r>
      <w:r>
        <w:rPr>
          <w:b/>
          <w:sz w:val="20"/>
        </w:rPr>
        <w:t>Quantity</w:t>
      </w:r>
      <w:r>
        <w:rPr>
          <w:b/>
          <w:spacing w:val="-9"/>
          <w:sz w:val="20"/>
        </w:rPr>
        <w:t> </w:t>
      </w:r>
      <w:r>
        <w:rPr>
          <w:b/>
          <w:sz w:val="20"/>
        </w:rPr>
        <w:t>of</w:t>
      </w:r>
      <w:r>
        <w:rPr>
          <w:b/>
          <w:spacing w:val="-9"/>
          <w:sz w:val="20"/>
        </w:rPr>
        <w:t> </w:t>
      </w:r>
      <w:r>
        <w:rPr>
          <w:b/>
          <w:sz w:val="20"/>
        </w:rPr>
        <w:t>Contents.</w:t>
      </w:r>
      <w:r>
        <w:rPr>
          <w:b/>
          <w:spacing w:val="-11"/>
          <w:sz w:val="20"/>
        </w:rPr>
        <w:t> </w:t>
      </w:r>
      <w:r>
        <w:rPr>
          <w:sz w:val="20"/>
        </w:rPr>
        <w:t>–</w:t>
      </w:r>
      <w:r>
        <w:rPr>
          <w:spacing w:val="-11"/>
          <w:sz w:val="20"/>
        </w:rPr>
        <w:t> </w:t>
      </w:r>
      <w:r>
        <w:rPr>
          <w:sz w:val="20"/>
        </w:rPr>
        <w:t>The</w:t>
      </w:r>
      <w:r>
        <w:rPr>
          <w:spacing w:val="-10"/>
          <w:sz w:val="20"/>
        </w:rPr>
        <w:t> </w:t>
      </w:r>
      <w:r>
        <w:rPr>
          <w:sz w:val="20"/>
        </w:rPr>
        <w:t>following</w:t>
      </w:r>
      <w:r>
        <w:rPr>
          <w:spacing w:val="-11"/>
          <w:sz w:val="20"/>
        </w:rPr>
        <w:t> </w:t>
      </w:r>
      <w:r>
        <w:rPr>
          <w:sz w:val="20"/>
        </w:rPr>
        <w:t>information</w:t>
      </w:r>
      <w:r>
        <w:rPr>
          <w:spacing w:val="-9"/>
          <w:sz w:val="20"/>
        </w:rPr>
        <w:t> </w:t>
      </w:r>
      <w:r>
        <w:rPr>
          <w:sz w:val="20"/>
        </w:rPr>
        <w:t>must</w:t>
      </w:r>
      <w:r>
        <w:rPr>
          <w:spacing w:val="-10"/>
          <w:sz w:val="20"/>
        </w:rPr>
        <w:t> </w:t>
      </w:r>
      <w:r>
        <w:rPr>
          <w:sz w:val="20"/>
        </w:rPr>
        <w:t>appear</w:t>
      </w:r>
      <w:r>
        <w:rPr>
          <w:spacing w:val="-9"/>
          <w:sz w:val="20"/>
        </w:rPr>
        <w:t> </w:t>
      </w:r>
      <w:r>
        <w:rPr>
          <w:sz w:val="20"/>
        </w:rPr>
        <w:t>on</w:t>
      </w:r>
      <w:r>
        <w:rPr>
          <w:spacing w:val="-11"/>
          <w:sz w:val="20"/>
        </w:rPr>
        <w:t> </w:t>
      </w:r>
      <w:r>
        <w:rPr>
          <w:sz w:val="20"/>
        </w:rPr>
        <w:t>the</w:t>
      </w:r>
      <w:r>
        <w:rPr>
          <w:spacing w:val="-10"/>
          <w:sz w:val="20"/>
        </w:rPr>
        <w:t> </w:t>
      </w:r>
      <w:r>
        <w:rPr>
          <w:sz w:val="20"/>
        </w:rPr>
        <w:t>lower</w:t>
      </w:r>
      <w:r>
        <w:rPr>
          <w:spacing w:val="-9"/>
          <w:sz w:val="20"/>
        </w:rPr>
        <w:t> </w:t>
      </w:r>
      <w:r>
        <w:rPr>
          <w:sz w:val="20"/>
        </w:rPr>
        <w:t>30</w:t>
      </w:r>
      <w:r>
        <w:rPr>
          <w:spacing w:val="-2"/>
          <w:sz w:val="20"/>
        </w:rPr>
        <w:t> </w:t>
      </w:r>
      <w:r>
        <w:rPr>
          <w:sz w:val="20"/>
        </w:rPr>
        <w:t>% of the principal display panel of all</w:t>
      </w:r>
      <w:r>
        <w:rPr>
          <w:spacing w:val="-5"/>
          <w:sz w:val="20"/>
        </w:rPr>
        <w:t> </w:t>
      </w:r>
      <w:r>
        <w:rPr>
          <w:sz w:val="20"/>
        </w:rPr>
        <w:t>packages:</w:t>
      </w:r>
    </w:p>
    <w:p>
      <w:pPr>
        <w:pStyle w:val="BodyText"/>
        <w:spacing w:before="11"/>
      </w:pPr>
    </w:p>
    <w:p>
      <w:pPr>
        <w:pStyle w:val="ListParagraph"/>
        <w:numPr>
          <w:ilvl w:val="0"/>
          <w:numId w:val="28"/>
        </w:numPr>
        <w:tabs>
          <w:tab w:pos="1259" w:val="left" w:leader="none"/>
          <w:tab w:pos="1260" w:val="left" w:leader="none"/>
        </w:tabs>
        <w:spacing w:line="240" w:lineRule="auto" w:before="0" w:after="0"/>
        <w:ind w:left="1259" w:right="0" w:hanging="360"/>
        <w:jc w:val="left"/>
        <w:rPr>
          <w:sz w:val="20"/>
        </w:rPr>
      </w:pPr>
      <w:r>
        <w:rPr>
          <w:sz w:val="20"/>
        </w:rPr>
        <w:t>Count</w:t>
      </w:r>
    </w:p>
    <w:p>
      <w:pPr>
        <w:pStyle w:val="BodyText"/>
        <w:spacing w:before="10"/>
      </w:pPr>
    </w:p>
    <w:p>
      <w:pPr>
        <w:pStyle w:val="BodyText"/>
        <w:ind w:left="1259" w:right="417"/>
        <w:jc w:val="both"/>
      </w:pPr>
      <w:r>
        <w:rPr/>
        <w:t>The package must include a count declaration (e.g., 1 sponge) unless the statement of identity clearly expresses the fact that only one unit is contained in the package. A package containing two or more units shall bear a statement in terms of count (e.g., 2 sponges).</w:t>
      </w:r>
    </w:p>
    <w:p>
      <w:pPr>
        <w:pStyle w:val="BodyText"/>
        <w:spacing w:before="9"/>
      </w:pPr>
    </w:p>
    <w:p>
      <w:pPr>
        <w:pStyle w:val="ListParagraph"/>
        <w:numPr>
          <w:ilvl w:val="0"/>
          <w:numId w:val="28"/>
        </w:numPr>
        <w:tabs>
          <w:tab w:pos="1259" w:val="left" w:leader="none"/>
          <w:tab w:pos="1260" w:val="left" w:leader="none"/>
        </w:tabs>
        <w:spacing w:line="240" w:lineRule="auto" w:before="0" w:after="0"/>
        <w:ind w:left="1259" w:right="0" w:hanging="360"/>
        <w:jc w:val="left"/>
        <w:rPr>
          <w:sz w:val="20"/>
        </w:rPr>
      </w:pPr>
      <w:r>
        <w:rPr>
          <w:sz w:val="20"/>
        </w:rPr>
        <w:t>Dimensions</w:t>
      </w:r>
    </w:p>
    <w:p>
      <w:pPr>
        <w:pStyle w:val="BodyText"/>
        <w:spacing w:before="10"/>
      </w:pPr>
    </w:p>
    <w:p>
      <w:pPr>
        <w:pStyle w:val="BodyText"/>
        <w:spacing w:before="1"/>
        <w:ind w:left="1259"/>
      </w:pPr>
      <w:r>
        <w:rPr/>
        <w:t>The package must include the dimensions of the sponges in inches and centimeters.</w:t>
      </w:r>
    </w:p>
    <w:p>
      <w:pPr>
        <w:pStyle w:val="BodyText"/>
        <w:spacing w:after="1"/>
        <w:rPr>
          <w:sz w:val="21"/>
        </w:rPr>
      </w:pPr>
    </w:p>
    <w:tbl>
      <w:tblPr>
        <w:tblW w:w="0" w:type="auto"/>
        <w:jc w:val="left"/>
        <w:tblInd w:w="16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94"/>
        <w:gridCol w:w="4910"/>
      </w:tblGrid>
      <w:tr>
        <w:trPr>
          <w:trHeight w:val="2430" w:hRule="atLeast"/>
        </w:trPr>
        <w:tc>
          <w:tcPr>
            <w:tcW w:w="3194" w:type="dxa"/>
          </w:tcPr>
          <w:p>
            <w:pPr>
              <w:pStyle w:val="TableParagraph"/>
              <w:spacing w:before="0"/>
              <w:ind w:left="6" w:right="-58"/>
              <w:rPr>
                <w:sz w:val="20"/>
              </w:rPr>
            </w:pPr>
            <w:r>
              <w:rPr>
                <w:sz w:val="20"/>
              </w:rPr>
              <w:drawing>
                <wp:inline distT="0" distB="0" distL="0" distR="0">
                  <wp:extent cx="2018345" cy="1542954"/>
                  <wp:effectExtent l="0" t="0" r="0" b="0"/>
                  <wp:docPr id="13" name="image19.jpeg" descr=""/>
                  <wp:cNvGraphicFramePr>
                    <a:graphicFrameLocks noChangeAspect="1"/>
                  </wp:cNvGraphicFramePr>
                  <a:graphic>
                    <a:graphicData uri="http://schemas.openxmlformats.org/drawingml/2006/picture">
                      <pic:pic>
                        <pic:nvPicPr>
                          <pic:cNvPr id="14" name="image19.jpeg"/>
                          <pic:cNvPicPr/>
                        </pic:nvPicPr>
                        <pic:blipFill>
                          <a:blip r:embed="rId48" cstate="print"/>
                          <a:stretch>
                            <a:fillRect/>
                          </a:stretch>
                        </pic:blipFill>
                        <pic:spPr>
                          <a:xfrm>
                            <a:off x="0" y="0"/>
                            <a:ext cx="2018345" cy="1542954"/>
                          </a:xfrm>
                          <a:prstGeom prst="rect">
                            <a:avLst/>
                          </a:prstGeom>
                        </pic:spPr>
                      </pic:pic>
                    </a:graphicData>
                  </a:graphic>
                </wp:inline>
              </w:drawing>
            </w:r>
            <w:r>
              <w:rPr>
                <w:sz w:val="20"/>
              </w:rPr>
            </w:r>
          </w:p>
        </w:tc>
        <w:tc>
          <w:tcPr>
            <w:tcW w:w="4910" w:type="dxa"/>
            <w:tcBorders>
              <w:top w:val="nil"/>
              <w:bottom w:val="nil"/>
              <w:right w:val="nil"/>
            </w:tcBorders>
          </w:tcPr>
          <w:p>
            <w:pPr>
              <w:pStyle w:val="TableParagraph"/>
              <w:spacing w:line="213" w:lineRule="exact" w:before="0"/>
              <w:ind w:left="427"/>
              <w:rPr>
                <w:sz w:val="20"/>
              </w:rPr>
            </w:pPr>
            <w:r>
              <w:rPr>
                <w:sz w:val="20"/>
              </w:rPr>
              <w:t>To facilitate value comparison and simplify the meas-</w:t>
            </w:r>
          </w:p>
          <w:p>
            <w:pPr>
              <w:pStyle w:val="TableParagraph"/>
              <w:spacing w:before="0"/>
              <w:ind w:left="427" w:right="190"/>
              <w:jc w:val="both"/>
              <w:rPr>
                <w:sz w:val="20"/>
              </w:rPr>
            </w:pPr>
            <w:r>
              <w:rPr>
                <w:sz w:val="20"/>
              </w:rPr>
              <w:t>urement process, sponges should be measured in</w:t>
            </w:r>
            <w:r>
              <w:rPr>
                <w:spacing w:val="-37"/>
                <w:sz w:val="20"/>
              </w:rPr>
              <w:t> </w:t>
            </w:r>
            <w:r>
              <w:rPr>
                <w:sz w:val="20"/>
              </w:rPr>
              <w:t>½ in (1 cm) increments. Dimensions should be rounded down to avoid overstating the size of a</w:t>
            </w:r>
            <w:r>
              <w:rPr>
                <w:spacing w:val="-11"/>
                <w:sz w:val="20"/>
              </w:rPr>
              <w:t> </w:t>
            </w:r>
            <w:r>
              <w:rPr>
                <w:sz w:val="20"/>
              </w:rPr>
              <w:t>sponge.</w:t>
            </w:r>
          </w:p>
          <w:p>
            <w:pPr>
              <w:pStyle w:val="TableParagraph"/>
              <w:spacing w:before="9"/>
              <w:rPr>
                <w:sz w:val="20"/>
              </w:rPr>
            </w:pPr>
          </w:p>
          <w:p>
            <w:pPr>
              <w:pStyle w:val="TableParagraph"/>
              <w:spacing w:before="0"/>
              <w:ind w:left="852"/>
              <w:rPr>
                <w:b/>
                <w:sz w:val="20"/>
              </w:rPr>
            </w:pPr>
            <w:r>
              <w:rPr>
                <w:b/>
                <w:sz w:val="20"/>
              </w:rPr>
              <w:t>Example:</w:t>
            </w:r>
          </w:p>
          <w:p>
            <w:pPr>
              <w:pStyle w:val="TableParagraph"/>
              <w:numPr>
                <w:ilvl w:val="0"/>
                <w:numId w:val="29"/>
              </w:numPr>
              <w:tabs>
                <w:tab w:pos="1211" w:val="left" w:leader="none"/>
                <w:tab w:pos="1213" w:val="left" w:leader="none"/>
              </w:tabs>
              <w:spacing w:line="240" w:lineRule="auto" w:before="0" w:after="0"/>
              <w:ind w:left="1211" w:right="0" w:hanging="359"/>
              <w:jc w:val="left"/>
              <w:rPr>
                <w:sz w:val="20"/>
              </w:rPr>
            </w:pPr>
            <w:r>
              <w:rPr>
                <w:sz w:val="20"/>
              </w:rPr>
              <w:t>6 in, 6½ in, and 7 in for inch</w:t>
            </w:r>
            <w:r>
              <w:rPr>
                <w:spacing w:val="-10"/>
                <w:sz w:val="20"/>
              </w:rPr>
              <w:t> </w:t>
            </w:r>
            <w:r>
              <w:rPr>
                <w:sz w:val="20"/>
              </w:rPr>
              <w:t>declarations;</w:t>
            </w:r>
          </w:p>
          <w:p>
            <w:pPr>
              <w:pStyle w:val="TableParagraph"/>
              <w:spacing w:before="11"/>
              <w:rPr>
                <w:sz w:val="20"/>
              </w:rPr>
            </w:pPr>
          </w:p>
          <w:p>
            <w:pPr>
              <w:pStyle w:val="TableParagraph"/>
              <w:numPr>
                <w:ilvl w:val="0"/>
                <w:numId w:val="29"/>
              </w:numPr>
              <w:tabs>
                <w:tab w:pos="1211" w:val="left" w:leader="none"/>
                <w:tab w:pos="1212" w:val="left" w:leader="none"/>
              </w:tabs>
              <w:spacing w:line="240" w:lineRule="auto" w:before="0" w:after="0"/>
              <w:ind w:left="1211" w:right="190" w:hanging="360"/>
              <w:jc w:val="left"/>
              <w:rPr>
                <w:sz w:val="20"/>
              </w:rPr>
            </w:pPr>
            <w:r>
              <w:rPr>
                <w:sz w:val="20"/>
              </w:rPr>
              <w:t>15 cm, 16 cm, and 17 cm for metric decla- rations</w:t>
            </w:r>
          </w:p>
        </w:tc>
      </w:tr>
    </w:tbl>
    <w:p>
      <w:pPr>
        <w:spacing w:after="0" w:line="240" w:lineRule="auto"/>
        <w:jc w:val="left"/>
        <w:rPr>
          <w:sz w:val="20"/>
        </w:rPr>
        <w:sectPr>
          <w:pgSz w:w="12240" w:h="15840"/>
          <w:pgMar w:header="730" w:footer="741" w:top="1340" w:bottom="940" w:left="1260" w:right="1020"/>
        </w:sectPr>
      </w:pPr>
    </w:p>
    <w:p>
      <w:pPr>
        <w:pStyle w:val="BodyText"/>
        <w:spacing w:before="1"/>
        <w:rPr>
          <w:sz w:val="17"/>
        </w:rPr>
      </w:pPr>
    </w:p>
    <w:p>
      <w:pPr>
        <w:pStyle w:val="ListParagraph"/>
        <w:numPr>
          <w:ilvl w:val="0"/>
          <w:numId w:val="28"/>
        </w:numPr>
        <w:tabs>
          <w:tab w:pos="1260" w:val="left" w:leader="none"/>
        </w:tabs>
        <w:spacing w:line="240" w:lineRule="auto" w:before="91" w:after="0"/>
        <w:ind w:left="1259" w:right="419" w:hanging="360"/>
        <w:jc w:val="both"/>
        <w:rPr>
          <w:sz w:val="20"/>
        </w:rPr>
      </w:pPr>
      <w:r>
        <w:rPr>
          <w:sz w:val="20"/>
        </w:rPr>
        <w:t>Synthetic sponges: the dimensions shall include length × width × height (thickness). Either unit of measure</w:t>
      </w:r>
      <w:r>
        <w:rPr>
          <w:spacing w:val="-3"/>
          <w:sz w:val="20"/>
        </w:rPr>
        <w:t> </w:t>
      </w:r>
      <w:r>
        <w:rPr>
          <w:sz w:val="20"/>
        </w:rPr>
        <w:t>can</w:t>
      </w:r>
      <w:r>
        <w:rPr>
          <w:spacing w:val="-4"/>
          <w:sz w:val="20"/>
        </w:rPr>
        <w:t> </w:t>
      </w:r>
      <w:r>
        <w:rPr>
          <w:sz w:val="20"/>
        </w:rPr>
        <w:t>be</w:t>
      </w:r>
      <w:r>
        <w:rPr>
          <w:spacing w:val="-3"/>
          <w:sz w:val="20"/>
        </w:rPr>
        <w:t> </w:t>
      </w:r>
      <w:r>
        <w:rPr>
          <w:sz w:val="20"/>
        </w:rPr>
        <w:t>the</w:t>
      </w:r>
      <w:r>
        <w:rPr>
          <w:spacing w:val="-3"/>
          <w:sz w:val="20"/>
        </w:rPr>
        <w:t> </w:t>
      </w:r>
      <w:r>
        <w:rPr>
          <w:sz w:val="20"/>
        </w:rPr>
        <w:t>primary</w:t>
      </w:r>
      <w:r>
        <w:rPr>
          <w:spacing w:val="-7"/>
          <w:sz w:val="20"/>
        </w:rPr>
        <w:t> </w:t>
      </w:r>
      <w:r>
        <w:rPr>
          <w:sz w:val="20"/>
        </w:rPr>
        <w:t>declaration</w:t>
      </w:r>
      <w:r>
        <w:rPr>
          <w:spacing w:val="-3"/>
          <w:sz w:val="20"/>
        </w:rPr>
        <w:t> </w:t>
      </w:r>
      <w:r>
        <w:rPr>
          <w:sz w:val="20"/>
        </w:rPr>
        <w:t>(e.g.,</w:t>
      </w:r>
      <w:r>
        <w:rPr>
          <w:spacing w:val="-2"/>
          <w:sz w:val="20"/>
        </w:rPr>
        <w:t> </w:t>
      </w:r>
      <w:r>
        <w:rPr>
          <w:sz w:val="20"/>
        </w:rPr>
        <w:t>the metric</w:t>
      </w:r>
      <w:r>
        <w:rPr>
          <w:spacing w:val="-3"/>
          <w:sz w:val="20"/>
        </w:rPr>
        <w:t> </w:t>
      </w:r>
      <w:r>
        <w:rPr>
          <w:sz w:val="20"/>
        </w:rPr>
        <w:t>or</w:t>
      </w:r>
      <w:r>
        <w:rPr>
          <w:spacing w:val="-2"/>
          <w:sz w:val="20"/>
        </w:rPr>
        <w:t> </w:t>
      </w:r>
      <w:r>
        <w:rPr>
          <w:sz w:val="20"/>
        </w:rPr>
        <w:t>U.S.</w:t>
      </w:r>
      <w:r>
        <w:rPr>
          <w:spacing w:val="-2"/>
          <w:sz w:val="20"/>
        </w:rPr>
        <w:t> </w:t>
      </w:r>
      <w:r>
        <w:rPr>
          <w:sz w:val="20"/>
        </w:rPr>
        <w:t>customary</w:t>
      </w:r>
      <w:r>
        <w:rPr>
          <w:spacing w:val="-5"/>
          <w:sz w:val="20"/>
        </w:rPr>
        <w:t> </w:t>
      </w:r>
      <w:r>
        <w:rPr>
          <w:sz w:val="20"/>
        </w:rPr>
        <w:t>units</w:t>
      </w:r>
      <w:r>
        <w:rPr>
          <w:spacing w:val="-4"/>
          <w:sz w:val="20"/>
        </w:rPr>
        <w:t> </w:t>
      </w:r>
      <w:r>
        <w:rPr>
          <w:sz w:val="20"/>
        </w:rPr>
        <w:t>can</w:t>
      </w:r>
      <w:r>
        <w:rPr>
          <w:spacing w:val="-3"/>
          <w:sz w:val="20"/>
        </w:rPr>
        <w:t> </w:t>
      </w:r>
      <w:r>
        <w:rPr>
          <w:sz w:val="20"/>
        </w:rPr>
        <w:t>be</w:t>
      </w:r>
      <w:r>
        <w:rPr>
          <w:spacing w:val="-3"/>
          <w:sz w:val="20"/>
        </w:rPr>
        <w:t> </w:t>
      </w:r>
      <w:r>
        <w:rPr>
          <w:sz w:val="20"/>
        </w:rPr>
        <w:t>presented</w:t>
      </w:r>
      <w:r>
        <w:rPr>
          <w:spacing w:val="-2"/>
          <w:sz w:val="20"/>
        </w:rPr>
        <w:t> </w:t>
      </w:r>
      <w:r>
        <w:rPr>
          <w:sz w:val="20"/>
        </w:rPr>
        <w:t>first).</w:t>
      </w:r>
    </w:p>
    <w:p>
      <w:pPr>
        <w:pStyle w:val="BodyText"/>
        <w:spacing w:before="11"/>
      </w:pPr>
    </w:p>
    <w:p>
      <w:pPr>
        <w:pStyle w:val="BodyText"/>
        <w:ind w:left="1619"/>
      </w:pPr>
      <w:r>
        <w:rPr/>
        <w:t>1 sponge 17 × 10 × 5 cm (7 × 4 × 2 in)</w:t>
      </w:r>
    </w:p>
    <w:p>
      <w:pPr>
        <w:pStyle w:val="BodyText"/>
        <w:spacing w:before="10"/>
      </w:pPr>
    </w:p>
    <w:p>
      <w:pPr>
        <w:pStyle w:val="ListParagraph"/>
        <w:numPr>
          <w:ilvl w:val="0"/>
          <w:numId w:val="28"/>
        </w:numPr>
        <w:tabs>
          <w:tab w:pos="1260" w:val="left" w:leader="none"/>
        </w:tabs>
        <w:spacing w:line="240" w:lineRule="auto" w:before="0" w:after="0"/>
        <w:ind w:left="1259" w:right="416" w:hanging="360"/>
        <w:jc w:val="both"/>
        <w:rPr>
          <w:sz w:val="20"/>
        </w:rPr>
      </w:pPr>
      <w:r>
        <w:rPr>
          <w:sz w:val="20"/>
        </w:rPr>
        <w:t>Natural sponges: the declaration shall be a single measurement representing the maximum dimension of one axis of a sponge that is passed through a circular template. When measured, the sponge is “clas- sified” as a specific size when at least three (including two opposing) points of the sponge touch the template</w:t>
      </w:r>
      <w:r>
        <w:rPr>
          <w:spacing w:val="-12"/>
          <w:sz w:val="20"/>
        </w:rPr>
        <w:t> </w:t>
      </w:r>
      <w:r>
        <w:rPr>
          <w:sz w:val="20"/>
        </w:rPr>
        <w:t>(e.g.,</w:t>
      </w:r>
      <w:r>
        <w:rPr>
          <w:spacing w:val="-11"/>
          <w:sz w:val="20"/>
        </w:rPr>
        <w:t> </w:t>
      </w:r>
      <w:r>
        <w:rPr>
          <w:sz w:val="20"/>
        </w:rPr>
        <w:t>see</w:t>
      </w:r>
      <w:r>
        <w:rPr>
          <w:spacing w:val="-9"/>
          <w:sz w:val="20"/>
        </w:rPr>
        <w:t> </w:t>
      </w:r>
      <w:r>
        <w:rPr>
          <w:sz w:val="20"/>
        </w:rPr>
        <w:t>graphic</w:t>
      </w:r>
      <w:r>
        <w:rPr>
          <w:spacing w:val="-12"/>
          <w:sz w:val="20"/>
        </w:rPr>
        <w:t> </w:t>
      </w:r>
      <w:r>
        <w:rPr>
          <w:sz w:val="20"/>
        </w:rPr>
        <w:t>on</w:t>
      </w:r>
      <w:r>
        <w:rPr>
          <w:spacing w:val="-13"/>
          <w:sz w:val="20"/>
        </w:rPr>
        <w:t> </w:t>
      </w:r>
      <w:r>
        <w:rPr>
          <w:sz w:val="20"/>
        </w:rPr>
        <w:t>the</w:t>
      </w:r>
      <w:r>
        <w:rPr>
          <w:spacing w:val="-11"/>
          <w:sz w:val="20"/>
        </w:rPr>
        <w:t> </w:t>
      </w:r>
      <w:r>
        <w:rPr>
          <w:sz w:val="20"/>
        </w:rPr>
        <w:t>following</w:t>
      </w:r>
      <w:r>
        <w:rPr>
          <w:spacing w:val="-13"/>
          <w:sz w:val="20"/>
        </w:rPr>
        <w:t> </w:t>
      </w:r>
      <w:r>
        <w:rPr>
          <w:sz w:val="20"/>
        </w:rPr>
        <w:t>page</w:t>
      </w:r>
      <w:r>
        <w:rPr>
          <w:spacing w:val="-10"/>
          <w:sz w:val="20"/>
        </w:rPr>
        <w:t> </w:t>
      </w:r>
      <w:r>
        <w:rPr>
          <w:sz w:val="20"/>
        </w:rPr>
        <w:t>where</w:t>
      </w:r>
      <w:r>
        <w:rPr>
          <w:spacing w:val="-11"/>
          <w:sz w:val="20"/>
        </w:rPr>
        <w:t> </w:t>
      </w:r>
      <w:r>
        <w:rPr>
          <w:sz w:val="20"/>
        </w:rPr>
        <w:t>the</w:t>
      </w:r>
      <w:r>
        <w:rPr>
          <w:spacing w:val="-11"/>
          <w:sz w:val="20"/>
        </w:rPr>
        <w:t> </w:t>
      </w:r>
      <w:r>
        <w:rPr>
          <w:sz w:val="20"/>
        </w:rPr>
        <w:t>sample</w:t>
      </w:r>
      <w:r>
        <w:rPr>
          <w:spacing w:val="-12"/>
          <w:sz w:val="20"/>
        </w:rPr>
        <w:t> </w:t>
      </w:r>
      <w:r>
        <w:rPr>
          <w:sz w:val="20"/>
        </w:rPr>
        <w:t>sponge</w:t>
      </w:r>
      <w:r>
        <w:rPr>
          <w:spacing w:val="-11"/>
          <w:sz w:val="20"/>
        </w:rPr>
        <w:t> </w:t>
      </w:r>
      <w:r>
        <w:rPr>
          <w:sz w:val="20"/>
        </w:rPr>
        <w:t>is</w:t>
      </w:r>
      <w:r>
        <w:rPr>
          <w:spacing w:val="-12"/>
          <w:sz w:val="20"/>
        </w:rPr>
        <w:t> </w:t>
      </w:r>
      <w:r>
        <w:rPr>
          <w:sz w:val="20"/>
        </w:rPr>
        <w:t>designated</w:t>
      </w:r>
      <w:r>
        <w:rPr>
          <w:spacing w:val="-10"/>
          <w:sz w:val="20"/>
        </w:rPr>
        <w:t> </w:t>
      </w:r>
      <w:r>
        <w:rPr>
          <w:sz w:val="20"/>
        </w:rPr>
        <w:t>as</w:t>
      </w:r>
      <w:r>
        <w:rPr>
          <w:spacing w:val="-13"/>
          <w:sz w:val="20"/>
        </w:rPr>
        <w:t> </w:t>
      </w:r>
      <w:r>
        <w:rPr>
          <w:sz w:val="20"/>
        </w:rPr>
        <w:t>a</w:t>
      </w:r>
      <w:r>
        <w:rPr>
          <w:spacing w:val="-11"/>
          <w:sz w:val="20"/>
        </w:rPr>
        <w:t> </w:t>
      </w:r>
      <w:r>
        <w:rPr>
          <w:sz w:val="20"/>
        </w:rPr>
        <w:t>7</w:t>
      </w:r>
      <w:r>
        <w:rPr>
          <w:spacing w:val="-3"/>
          <w:sz w:val="20"/>
        </w:rPr>
        <w:t> </w:t>
      </w:r>
      <w:r>
        <w:rPr>
          <w:sz w:val="20"/>
        </w:rPr>
        <w:t>in</w:t>
      </w:r>
      <w:r>
        <w:rPr>
          <w:spacing w:val="-13"/>
          <w:sz w:val="20"/>
        </w:rPr>
        <w:t> </w:t>
      </w:r>
      <w:r>
        <w:rPr>
          <w:sz w:val="20"/>
        </w:rPr>
        <w:t>[17</w:t>
      </w:r>
      <w:r>
        <w:rPr>
          <w:spacing w:val="-2"/>
          <w:sz w:val="20"/>
        </w:rPr>
        <w:t> </w:t>
      </w:r>
      <w:r>
        <w:rPr>
          <w:spacing w:val="-3"/>
          <w:sz w:val="20"/>
        </w:rPr>
        <w:t>cm] </w:t>
      </w:r>
      <w:r>
        <w:rPr>
          <w:sz w:val="20"/>
        </w:rPr>
        <w:t>sponge).</w:t>
      </w:r>
    </w:p>
    <w:p>
      <w:pPr>
        <w:pStyle w:val="BodyText"/>
        <w:spacing w:before="10"/>
      </w:pPr>
    </w:p>
    <w:p>
      <w:pPr>
        <w:pStyle w:val="BodyText"/>
        <w:ind w:left="899" w:right="417"/>
        <w:jc w:val="both"/>
      </w:pPr>
      <w:r>
        <w:rPr/>
        <w:t>As the following pictures show, natural sponges are irregular in size and shape and have traditionally been measured</w:t>
      </w:r>
      <w:r>
        <w:rPr>
          <w:spacing w:val="-7"/>
        </w:rPr>
        <w:t> </w:t>
      </w:r>
      <w:r>
        <w:rPr/>
        <w:t>using</w:t>
      </w:r>
      <w:r>
        <w:rPr>
          <w:spacing w:val="-7"/>
        </w:rPr>
        <w:t> </w:t>
      </w:r>
      <w:r>
        <w:rPr/>
        <w:t>this</w:t>
      </w:r>
      <w:r>
        <w:rPr>
          <w:spacing w:val="-9"/>
        </w:rPr>
        <w:t> </w:t>
      </w:r>
      <w:r>
        <w:rPr/>
        <w:t>procedure.</w:t>
      </w:r>
      <w:r>
        <w:rPr>
          <w:spacing w:val="35"/>
        </w:rPr>
        <w:t> </w:t>
      </w:r>
      <w:r>
        <w:rPr/>
        <w:t>It</w:t>
      </w:r>
      <w:r>
        <w:rPr>
          <w:spacing w:val="-8"/>
        </w:rPr>
        <w:t> </w:t>
      </w:r>
      <w:r>
        <w:rPr/>
        <w:t>is</w:t>
      </w:r>
      <w:r>
        <w:rPr>
          <w:spacing w:val="-8"/>
        </w:rPr>
        <w:t> </w:t>
      </w:r>
      <w:r>
        <w:rPr/>
        <w:t>difficult</w:t>
      </w:r>
      <w:r>
        <w:rPr>
          <w:spacing w:val="-8"/>
        </w:rPr>
        <w:t> </w:t>
      </w:r>
      <w:r>
        <w:rPr/>
        <w:t>to</w:t>
      </w:r>
      <w:r>
        <w:rPr>
          <w:spacing w:val="-7"/>
        </w:rPr>
        <w:t> </w:t>
      </w:r>
      <w:r>
        <w:rPr/>
        <w:t>develop</w:t>
      </w:r>
      <w:r>
        <w:rPr>
          <w:spacing w:val="-7"/>
        </w:rPr>
        <w:t> </w:t>
      </w:r>
      <w:r>
        <w:rPr/>
        <w:t>a</w:t>
      </w:r>
      <w:r>
        <w:rPr>
          <w:spacing w:val="-5"/>
        </w:rPr>
        <w:t> </w:t>
      </w:r>
      <w:r>
        <w:rPr/>
        <w:t>meaningful</w:t>
      </w:r>
      <w:r>
        <w:rPr>
          <w:spacing w:val="-8"/>
        </w:rPr>
        <w:t> </w:t>
      </w:r>
      <w:r>
        <w:rPr/>
        <w:t>or</w:t>
      </w:r>
      <w:r>
        <w:rPr>
          <w:spacing w:val="-7"/>
        </w:rPr>
        <w:t> </w:t>
      </w:r>
      <w:r>
        <w:rPr/>
        <w:t>cost-effective</w:t>
      </w:r>
      <w:r>
        <w:rPr>
          <w:spacing w:val="-5"/>
        </w:rPr>
        <w:t> </w:t>
      </w:r>
      <w:r>
        <w:rPr/>
        <w:t>measurement</w:t>
      </w:r>
      <w:r>
        <w:rPr>
          <w:spacing w:val="-6"/>
        </w:rPr>
        <w:t> </w:t>
      </w:r>
      <w:r>
        <w:rPr/>
        <w:t>process that</w:t>
      </w:r>
      <w:r>
        <w:rPr>
          <w:spacing w:val="-14"/>
        </w:rPr>
        <w:t> </w:t>
      </w:r>
      <w:r>
        <w:rPr/>
        <w:t>would</w:t>
      </w:r>
      <w:r>
        <w:rPr>
          <w:spacing w:val="-14"/>
        </w:rPr>
        <w:t> </w:t>
      </w:r>
      <w:r>
        <w:rPr/>
        <w:t>provide</w:t>
      </w:r>
      <w:r>
        <w:rPr>
          <w:spacing w:val="-15"/>
        </w:rPr>
        <w:t> </w:t>
      </w:r>
      <w:r>
        <w:rPr/>
        <w:t>a</w:t>
      </w:r>
      <w:r>
        <w:rPr>
          <w:spacing w:val="-12"/>
        </w:rPr>
        <w:t> </w:t>
      </w:r>
      <w:r>
        <w:rPr/>
        <w:t>means</w:t>
      </w:r>
      <w:r>
        <w:rPr>
          <w:spacing w:val="-14"/>
        </w:rPr>
        <w:t> </w:t>
      </w:r>
      <w:r>
        <w:rPr/>
        <w:t>of</w:t>
      </w:r>
      <w:r>
        <w:rPr>
          <w:spacing w:val="-14"/>
        </w:rPr>
        <w:t> </w:t>
      </w:r>
      <w:r>
        <w:rPr/>
        <w:t>direct</w:t>
      </w:r>
      <w:r>
        <w:rPr>
          <w:spacing w:val="-15"/>
        </w:rPr>
        <w:t> </w:t>
      </w:r>
      <w:r>
        <w:rPr/>
        <w:t>comparison</w:t>
      </w:r>
      <w:r>
        <w:rPr>
          <w:spacing w:val="-16"/>
        </w:rPr>
        <w:t> </w:t>
      </w:r>
      <w:r>
        <w:rPr/>
        <w:t>between</w:t>
      </w:r>
      <w:r>
        <w:rPr>
          <w:spacing w:val="-14"/>
        </w:rPr>
        <w:t> </w:t>
      </w:r>
      <w:r>
        <w:rPr/>
        <w:t>synthetic</w:t>
      </w:r>
      <w:r>
        <w:rPr>
          <w:spacing w:val="-15"/>
        </w:rPr>
        <w:t> </w:t>
      </w:r>
      <w:r>
        <w:rPr/>
        <w:t>and</w:t>
      </w:r>
      <w:r>
        <w:rPr>
          <w:spacing w:val="-14"/>
        </w:rPr>
        <w:t> </w:t>
      </w:r>
      <w:r>
        <w:rPr/>
        <w:t>natural</w:t>
      </w:r>
      <w:r>
        <w:rPr>
          <w:spacing w:val="-13"/>
        </w:rPr>
        <w:t> </w:t>
      </w:r>
      <w:r>
        <w:rPr/>
        <w:t>sponges</w:t>
      </w:r>
      <w:r>
        <w:rPr>
          <w:spacing w:val="-16"/>
        </w:rPr>
        <w:t> </w:t>
      </w:r>
      <w:r>
        <w:rPr/>
        <w:t>based</w:t>
      </w:r>
      <w:r>
        <w:rPr>
          <w:spacing w:val="-15"/>
        </w:rPr>
        <w:t> </w:t>
      </w:r>
      <w:r>
        <w:rPr/>
        <w:t>on</w:t>
      </w:r>
      <w:r>
        <w:rPr>
          <w:spacing w:val="-16"/>
        </w:rPr>
        <w:t> </w:t>
      </w:r>
      <w:r>
        <w:rPr/>
        <w:t>dimensions. Requiring</w:t>
      </w:r>
      <w:r>
        <w:rPr>
          <w:spacing w:val="-10"/>
        </w:rPr>
        <w:t> </w:t>
      </w:r>
      <w:r>
        <w:rPr/>
        <w:t>declarations,</w:t>
      </w:r>
      <w:r>
        <w:rPr>
          <w:spacing w:val="-8"/>
        </w:rPr>
        <w:t> </w:t>
      </w:r>
      <w:r>
        <w:rPr/>
        <w:t>such</w:t>
      </w:r>
      <w:r>
        <w:rPr>
          <w:spacing w:val="-10"/>
        </w:rPr>
        <w:t> </w:t>
      </w:r>
      <w:r>
        <w:rPr/>
        <w:t>as</w:t>
      </w:r>
      <w:r>
        <w:rPr>
          <w:spacing w:val="-10"/>
        </w:rPr>
        <w:t> </w:t>
      </w:r>
      <w:r>
        <w:rPr/>
        <w:t>average</w:t>
      </w:r>
      <w:r>
        <w:rPr>
          <w:spacing w:val="-8"/>
        </w:rPr>
        <w:t> </w:t>
      </w:r>
      <w:r>
        <w:rPr/>
        <w:t>height,</w:t>
      </w:r>
      <w:r>
        <w:rPr>
          <w:spacing w:val="-8"/>
        </w:rPr>
        <w:t> </w:t>
      </w:r>
      <w:r>
        <w:rPr/>
        <w:t>length,</w:t>
      </w:r>
      <w:r>
        <w:rPr>
          <w:spacing w:val="-8"/>
        </w:rPr>
        <w:t> </w:t>
      </w:r>
      <w:r>
        <w:rPr/>
        <w:t>or</w:t>
      </w:r>
      <w:r>
        <w:rPr>
          <w:spacing w:val="-6"/>
        </w:rPr>
        <w:t> </w:t>
      </w:r>
      <w:r>
        <w:rPr/>
        <w:t>width</w:t>
      </w:r>
      <w:r>
        <w:rPr>
          <w:spacing w:val="-10"/>
        </w:rPr>
        <w:t> </w:t>
      </w:r>
      <w:r>
        <w:rPr/>
        <w:t>of</w:t>
      </w:r>
      <w:r>
        <w:rPr>
          <w:spacing w:val="-10"/>
        </w:rPr>
        <w:t> </w:t>
      </w:r>
      <w:r>
        <w:rPr/>
        <w:t>natural</w:t>
      </w:r>
      <w:r>
        <w:rPr>
          <w:spacing w:val="-9"/>
        </w:rPr>
        <w:t> </w:t>
      </w:r>
      <w:r>
        <w:rPr/>
        <w:t>sponge</w:t>
      </w:r>
      <w:r>
        <w:rPr>
          <w:spacing w:val="-8"/>
        </w:rPr>
        <w:t> </w:t>
      </w:r>
      <w:r>
        <w:rPr/>
        <w:t>procedures</w:t>
      </w:r>
      <w:r>
        <w:rPr>
          <w:spacing w:val="-7"/>
        </w:rPr>
        <w:t> </w:t>
      </w:r>
      <w:r>
        <w:rPr/>
        <w:t>would</w:t>
      </w:r>
      <w:r>
        <w:rPr>
          <w:spacing w:val="-8"/>
        </w:rPr>
        <w:t> </w:t>
      </w:r>
      <w:r>
        <w:rPr/>
        <w:t>increase the costs for industry and</w:t>
      </w:r>
      <w:r>
        <w:rPr>
          <w:spacing w:val="-1"/>
        </w:rPr>
        <w:t> </w:t>
      </w:r>
      <w:r>
        <w:rPr/>
        <w:t>consumers.</w:t>
      </w:r>
    </w:p>
    <w:p>
      <w:pPr>
        <w:pStyle w:val="BodyText"/>
        <w:spacing w:before="10"/>
        <w:rPr>
          <w:sz w:val="16"/>
        </w:rPr>
      </w:pPr>
      <w:r>
        <w:rPr/>
        <w:pict>
          <v:group style="position:absolute;margin-left:143.279999pt;margin-top:12.085869pt;width:160.450pt;height:145.450pt;mso-position-horizontal-relative:page;mso-position-vertical-relative:paragraph;z-index:-112;mso-wrap-distance-left:0;mso-wrap-distance-right:0" coordorigin="2866,242" coordsize="3209,2909">
            <v:shape style="position:absolute;left:2880;top:255;width:3180;height:2880" type="#_x0000_t75" stroked="false">
              <v:imagedata r:id="rId49" o:title=""/>
            </v:shape>
            <v:line style="position:absolute" from="2880,249" to="6060,249" stroked="true" strokeweight=".72pt" strokecolor="#000000">
              <v:stroke dashstyle="solid"/>
            </v:line>
            <v:line style="position:absolute" from="2873,242" to="2873,3151" stroked="true" strokeweight=".72pt" strokecolor="#000000">
              <v:stroke dashstyle="solid"/>
            </v:line>
            <v:line style="position:absolute" from="6067,242" to="6067,3151" stroked="true" strokeweight=".72pt" strokecolor="#000000">
              <v:stroke dashstyle="solid"/>
            </v:line>
            <v:line style="position:absolute" from="2880,3143" to="6060,3143" stroked="true" strokeweight=".72pt" strokecolor="#000000">
              <v:stroke dashstyle="solid"/>
            </v:line>
            <w10:wrap type="topAndBottom"/>
          </v:group>
        </w:pict>
      </w:r>
      <w:r>
        <w:rPr/>
        <w:pict>
          <v:group style="position:absolute;margin-left:366.720001pt;margin-top:12.085869pt;width:145.450pt;height:152.8pt;mso-position-horizontal-relative:page;mso-position-vertical-relative:paragraph;z-index:-88;mso-wrap-distance-left:0;mso-wrap-distance-right:0" coordorigin="7334,242" coordsize="2909,3056">
            <v:shape style="position:absolute;left:7349;top:255;width:2880;height:3027" type="#_x0000_t75" stroked="false">
              <v:imagedata r:id="rId50" o:title=""/>
            </v:shape>
            <v:line style="position:absolute" from="7349,249" to="10229,249" stroked="true" strokeweight=".72pt" strokecolor="#000000">
              <v:stroke dashstyle="solid"/>
            </v:line>
            <v:line style="position:absolute" from="7342,242" to="7342,3297" stroked="true" strokeweight=".72pt" strokecolor="#000000">
              <v:stroke dashstyle="solid"/>
            </v:line>
            <v:line style="position:absolute" from="10236,242" to="10236,3297" stroked="true" strokeweight=".72pt" strokecolor="#000000">
              <v:stroke dashstyle="solid"/>
            </v:line>
            <v:line style="position:absolute" from="7349,3290" to="10229,3290" stroked="true" strokeweight=".72pt" strokecolor="#000000">
              <v:stroke dashstyle="solid"/>
            </v:line>
            <w10:wrap type="topAndBottom"/>
          </v:group>
        </w:pict>
      </w:r>
    </w:p>
    <w:p>
      <w:pPr>
        <w:pStyle w:val="BodyText"/>
        <w:tabs>
          <w:tab w:pos="6767" w:val="left" w:leader="none"/>
        </w:tabs>
        <w:spacing w:line="193" w:lineRule="exact"/>
        <w:ind w:left="2452"/>
      </w:pPr>
      <w:r>
        <w:rPr/>
        <w:t>Sea</w:t>
      </w:r>
      <w:r>
        <w:rPr>
          <w:spacing w:val="-2"/>
        </w:rPr>
        <w:t> </w:t>
      </w:r>
      <w:r>
        <w:rPr/>
        <w:t>Wool</w:t>
      </w:r>
      <w:r>
        <w:rPr>
          <w:spacing w:val="-2"/>
        </w:rPr>
        <w:t> </w:t>
      </w:r>
      <w:r>
        <w:rPr/>
        <w:t>Sponges</w:t>
        <w:tab/>
        <w:t>Sea Grass</w:t>
      </w:r>
      <w:r>
        <w:rPr>
          <w:spacing w:val="-1"/>
        </w:rPr>
        <w:t> </w:t>
      </w:r>
      <w:r>
        <w:rPr/>
        <w:t>Sponges</w:t>
      </w:r>
    </w:p>
    <w:p>
      <w:pPr>
        <w:spacing w:after="0" w:line="193" w:lineRule="exact"/>
        <w:sectPr>
          <w:pgSz w:w="12240" w:h="15840"/>
          <w:pgMar w:header="730" w:footer="740" w:top="1340" w:bottom="940" w:left="1260" w:right="1020"/>
        </w:sectPr>
      </w:pPr>
    </w:p>
    <w:p>
      <w:pPr>
        <w:pStyle w:val="BodyText"/>
        <w:spacing w:before="88"/>
        <w:ind w:left="539" w:right="349"/>
      </w:pPr>
      <w:r>
        <w:rPr/>
        <w:t>This</w:t>
      </w:r>
      <w:r>
        <w:rPr>
          <w:spacing w:val="-13"/>
        </w:rPr>
        <w:t> </w:t>
      </w:r>
      <w:r>
        <w:rPr/>
        <w:t>graphic</w:t>
      </w:r>
      <w:r>
        <w:rPr>
          <w:spacing w:val="-10"/>
        </w:rPr>
        <w:t> </w:t>
      </w:r>
      <w:r>
        <w:rPr/>
        <w:t>illustrates</w:t>
      </w:r>
      <w:r>
        <w:rPr>
          <w:spacing w:val="-12"/>
        </w:rPr>
        <w:t> </w:t>
      </w:r>
      <w:r>
        <w:rPr/>
        <w:t>an</w:t>
      </w:r>
      <w:r>
        <w:rPr>
          <w:spacing w:val="-10"/>
        </w:rPr>
        <w:t> </w:t>
      </w:r>
      <w:r>
        <w:rPr/>
        <w:t>irregular</w:t>
      </w:r>
      <w:r>
        <w:rPr>
          <w:spacing w:val="-9"/>
        </w:rPr>
        <w:t> </w:t>
      </w:r>
      <w:r>
        <w:rPr/>
        <w:t>form</w:t>
      </w:r>
      <w:r>
        <w:rPr>
          <w:spacing w:val="-14"/>
        </w:rPr>
        <w:t> </w:t>
      </w:r>
      <w:r>
        <w:rPr/>
        <w:t>of</w:t>
      </w:r>
      <w:r>
        <w:rPr>
          <w:spacing w:val="-13"/>
        </w:rPr>
        <w:t> </w:t>
      </w:r>
      <w:r>
        <w:rPr/>
        <w:t>a</w:t>
      </w:r>
      <w:r>
        <w:rPr>
          <w:spacing w:val="-9"/>
        </w:rPr>
        <w:t> </w:t>
      </w:r>
      <w:r>
        <w:rPr/>
        <w:t>natural</w:t>
      </w:r>
      <w:r>
        <w:rPr>
          <w:spacing w:val="-10"/>
        </w:rPr>
        <w:t> </w:t>
      </w:r>
      <w:r>
        <w:rPr/>
        <w:t>sponge</w:t>
      </w:r>
      <w:r>
        <w:rPr>
          <w:spacing w:val="-10"/>
        </w:rPr>
        <w:t> </w:t>
      </w:r>
      <w:r>
        <w:rPr/>
        <w:t>passing</w:t>
      </w:r>
      <w:r>
        <w:rPr>
          <w:spacing w:val="-13"/>
        </w:rPr>
        <w:t> </w:t>
      </w:r>
      <w:r>
        <w:rPr/>
        <w:t>through</w:t>
      </w:r>
      <w:r>
        <w:rPr>
          <w:spacing w:val="-11"/>
        </w:rPr>
        <w:t> </w:t>
      </w:r>
      <w:r>
        <w:rPr/>
        <w:t>a</w:t>
      </w:r>
      <w:r>
        <w:rPr>
          <w:spacing w:val="-11"/>
        </w:rPr>
        <w:t> </w:t>
      </w:r>
      <w:r>
        <w:rPr/>
        <w:t>17</w:t>
      </w:r>
      <w:r>
        <w:rPr>
          <w:spacing w:val="-1"/>
        </w:rPr>
        <w:t> </w:t>
      </w:r>
      <w:r>
        <w:rPr/>
        <w:t>cm</w:t>
      </w:r>
      <w:r>
        <w:rPr>
          <w:spacing w:val="-16"/>
        </w:rPr>
        <w:t> </w:t>
      </w:r>
      <w:r>
        <w:rPr/>
        <w:t>(7</w:t>
      </w:r>
      <w:r>
        <w:rPr>
          <w:spacing w:val="-2"/>
        </w:rPr>
        <w:t> </w:t>
      </w:r>
      <w:r>
        <w:rPr/>
        <w:t>in)</w:t>
      </w:r>
      <w:r>
        <w:rPr>
          <w:spacing w:val="-8"/>
        </w:rPr>
        <w:t> </w:t>
      </w:r>
      <w:r>
        <w:rPr/>
        <w:t>template</w:t>
      </w:r>
      <w:r>
        <w:rPr>
          <w:spacing w:val="-12"/>
        </w:rPr>
        <w:t> </w:t>
      </w:r>
      <w:r>
        <w:rPr/>
        <w:t>and</w:t>
      </w:r>
      <w:r>
        <w:rPr>
          <w:spacing w:val="-10"/>
        </w:rPr>
        <w:t> </w:t>
      </w:r>
      <w:r>
        <w:rPr/>
        <w:t>touching at least two opposite points. This sponge could be labeled 7</w:t>
      </w:r>
      <w:r>
        <w:rPr>
          <w:spacing w:val="-2"/>
        </w:rPr>
        <w:t> </w:t>
      </w:r>
      <w:r>
        <w:rPr/>
        <w:t>in.</w:t>
      </w:r>
    </w:p>
    <w:p>
      <w:pPr>
        <w:pStyle w:val="BodyText"/>
        <w:spacing w:before="1"/>
        <w:rPr>
          <w:sz w:val="28"/>
        </w:rPr>
      </w:pPr>
      <w:r>
        <w:rPr/>
        <w:drawing>
          <wp:anchor distT="0" distB="0" distL="0" distR="0" allowOverlap="1" layoutInCell="1" locked="0" behindDoc="0" simplePos="0" relativeHeight="40">
            <wp:simplePos x="0" y="0"/>
            <wp:positionH relativeFrom="page">
              <wp:posOffset>1320484</wp:posOffset>
            </wp:positionH>
            <wp:positionV relativeFrom="paragraph">
              <wp:posOffset>230385</wp:posOffset>
            </wp:positionV>
            <wp:extent cx="3686673" cy="2749486"/>
            <wp:effectExtent l="0" t="0" r="0" b="0"/>
            <wp:wrapTopAndBottom/>
            <wp:docPr id="15" name="image22.jpeg" descr="Template illustrating an irregular form of a natural sponge passing through a 17 cm (7 in) template and touching at least two opposite points."/>
            <wp:cNvGraphicFramePr>
              <a:graphicFrameLocks noChangeAspect="1"/>
            </wp:cNvGraphicFramePr>
            <a:graphic>
              <a:graphicData uri="http://schemas.openxmlformats.org/drawingml/2006/picture">
                <pic:pic>
                  <pic:nvPicPr>
                    <pic:cNvPr id="16" name="image22.jpeg"/>
                    <pic:cNvPicPr/>
                  </pic:nvPicPr>
                  <pic:blipFill>
                    <a:blip r:embed="rId51" cstate="print"/>
                    <a:stretch>
                      <a:fillRect/>
                    </a:stretch>
                  </pic:blipFill>
                  <pic:spPr>
                    <a:xfrm>
                      <a:off x="0" y="0"/>
                      <a:ext cx="3686673" cy="2749486"/>
                    </a:xfrm>
                    <a:prstGeom prst="rect">
                      <a:avLst/>
                    </a:prstGeom>
                  </pic:spPr>
                </pic:pic>
              </a:graphicData>
            </a:graphic>
          </wp:anchor>
        </w:drawing>
      </w:r>
    </w:p>
    <w:p>
      <w:pPr>
        <w:pStyle w:val="BodyText"/>
        <w:spacing w:before="5"/>
        <w:rPr>
          <w:sz w:val="19"/>
        </w:rPr>
      </w:pPr>
    </w:p>
    <w:p>
      <w:pPr>
        <w:pStyle w:val="ListParagraph"/>
        <w:numPr>
          <w:ilvl w:val="0"/>
          <w:numId w:val="28"/>
        </w:numPr>
        <w:tabs>
          <w:tab w:pos="1259" w:val="left" w:leader="none"/>
          <w:tab w:pos="1261" w:val="left" w:leader="none"/>
        </w:tabs>
        <w:spacing w:line="240" w:lineRule="auto" w:before="0" w:after="0"/>
        <w:ind w:left="1260" w:right="0" w:hanging="360"/>
        <w:jc w:val="left"/>
        <w:rPr>
          <w:sz w:val="20"/>
        </w:rPr>
      </w:pPr>
      <w:r>
        <w:rPr>
          <w:sz w:val="20"/>
        </w:rPr>
        <w:t>For banana sponges the size will be determined as shown below. This sponge is 17 cm (7</w:t>
      </w:r>
      <w:r>
        <w:rPr>
          <w:spacing w:val="-18"/>
          <w:sz w:val="20"/>
        </w:rPr>
        <w:t> </w:t>
      </w:r>
      <w:r>
        <w:rPr>
          <w:sz w:val="20"/>
        </w:rPr>
        <w:t>in).</w:t>
      </w:r>
    </w:p>
    <w:p>
      <w:pPr>
        <w:pStyle w:val="BodyText"/>
        <w:spacing w:before="10"/>
        <w:rPr>
          <w:sz w:val="23"/>
        </w:rPr>
      </w:pPr>
      <w:r>
        <w:rPr/>
        <w:drawing>
          <wp:anchor distT="0" distB="0" distL="0" distR="0" allowOverlap="1" layoutInCell="1" locked="0" behindDoc="0" simplePos="0" relativeHeight="41">
            <wp:simplePos x="0" y="0"/>
            <wp:positionH relativeFrom="page">
              <wp:posOffset>1461009</wp:posOffset>
            </wp:positionH>
            <wp:positionV relativeFrom="paragraph">
              <wp:posOffset>199329</wp:posOffset>
            </wp:positionV>
            <wp:extent cx="3390304" cy="2668619"/>
            <wp:effectExtent l="0" t="0" r="0" b="0"/>
            <wp:wrapTopAndBottom/>
            <wp:docPr id="17" name="image23.png" descr="Banana sponge sizing - dimensions are determined with the sponge wet, and the use of a measuring template.  "/>
            <wp:cNvGraphicFramePr>
              <a:graphicFrameLocks noChangeAspect="1"/>
            </wp:cNvGraphicFramePr>
            <a:graphic>
              <a:graphicData uri="http://schemas.openxmlformats.org/drawingml/2006/picture">
                <pic:pic>
                  <pic:nvPicPr>
                    <pic:cNvPr id="18" name="image23.png"/>
                    <pic:cNvPicPr/>
                  </pic:nvPicPr>
                  <pic:blipFill>
                    <a:blip r:embed="rId52" cstate="print"/>
                    <a:stretch>
                      <a:fillRect/>
                    </a:stretch>
                  </pic:blipFill>
                  <pic:spPr>
                    <a:xfrm>
                      <a:off x="0" y="0"/>
                      <a:ext cx="3390304" cy="2668619"/>
                    </a:xfrm>
                    <a:prstGeom prst="rect">
                      <a:avLst/>
                    </a:prstGeom>
                  </pic:spPr>
                </pic:pic>
              </a:graphicData>
            </a:graphic>
          </wp:anchor>
        </w:drawing>
      </w:r>
    </w:p>
    <w:p>
      <w:pPr>
        <w:pStyle w:val="BodyText"/>
        <w:rPr>
          <w:sz w:val="22"/>
        </w:rPr>
      </w:pPr>
    </w:p>
    <w:p>
      <w:pPr>
        <w:pStyle w:val="BodyText"/>
        <w:spacing w:before="146"/>
        <w:ind w:left="540"/>
      </w:pPr>
      <w:r>
        <w:rPr/>
        <w:t>Good Measurement Practice</w:t>
      </w:r>
    </w:p>
    <w:p>
      <w:pPr>
        <w:pStyle w:val="BodyText"/>
        <w:spacing w:before="10"/>
      </w:pPr>
    </w:p>
    <w:p>
      <w:pPr>
        <w:pStyle w:val="ListParagraph"/>
        <w:numPr>
          <w:ilvl w:val="0"/>
          <w:numId w:val="28"/>
        </w:numPr>
        <w:tabs>
          <w:tab w:pos="1259" w:val="left" w:leader="none"/>
          <w:tab w:pos="1260" w:val="left" w:leader="none"/>
        </w:tabs>
        <w:spacing w:line="240" w:lineRule="auto" w:before="0" w:after="0"/>
        <w:ind w:left="1259" w:right="0" w:hanging="359"/>
        <w:jc w:val="left"/>
        <w:rPr>
          <w:sz w:val="20"/>
        </w:rPr>
      </w:pPr>
      <w:r>
        <w:rPr>
          <w:sz w:val="20"/>
        </w:rPr>
        <w:t>Dimensions are determined with the sponge</w:t>
      </w:r>
      <w:r>
        <w:rPr>
          <w:spacing w:val="6"/>
          <w:sz w:val="20"/>
        </w:rPr>
        <w:t> </w:t>
      </w:r>
      <w:r>
        <w:rPr>
          <w:sz w:val="20"/>
        </w:rPr>
        <w:t>wet.</w:t>
      </w:r>
    </w:p>
    <w:p>
      <w:pPr>
        <w:pStyle w:val="BodyText"/>
        <w:spacing w:before="8"/>
      </w:pPr>
    </w:p>
    <w:p>
      <w:pPr>
        <w:pStyle w:val="ListParagraph"/>
        <w:numPr>
          <w:ilvl w:val="0"/>
          <w:numId w:val="28"/>
        </w:numPr>
        <w:tabs>
          <w:tab w:pos="1259" w:val="left" w:leader="none"/>
          <w:tab w:pos="1260" w:val="left" w:leader="none"/>
        </w:tabs>
        <w:spacing w:line="240" w:lineRule="auto" w:before="0" w:after="0"/>
        <w:ind w:left="1259" w:right="0" w:hanging="360"/>
        <w:jc w:val="left"/>
        <w:rPr>
          <w:sz w:val="20"/>
        </w:rPr>
      </w:pPr>
      <w:r>
        <w:rPr>
          <w:sz w:val="20"/>
        </w:rPr>
        <w:t>Measuring templates (see photo below for the currently used type</w:t>
      </w:r>
      <w:r>
        <w:rPr>
          <w:spacing w:val="-6"/>
          <w:sz w:val="20"/>
        </w:rPr>
        <w:t> </w:t>
      </w:r>
      <w:r>
        <w:rPr>
          <w:sz w:val="20"/>
        </w:rPr>
        <w:t>templates):</w:t>
      </w:r>
    </w:p>
    <w:p>
      <w:pPr>
        <w:spacing w:after="0" w:line="240" w:lineRule="auto"/>
        <w:jc w:val="left"/>
        <w:rPr>
          <w:sz w:val="20"/>
        </w:rPr>
        <w:sectPr>
          <w:pgSz w:w="12240" w:h="15840"/>
          <w:pgMar w:header="730" w:footer="741" w:top="1340" w:bottom="940" w:left="1260" w:right="1020"/>
        </w:sectPr>
      </w:pPr>
    </w:p>
    <w:p>
      <w:pPr>
        <w:pStyle w:val="BodyText"/>
        <w:spacing w:before="8"/>
        <w:rPr>
          <w:sz w:val="26"/>
        </w:rPr>
      </w:pPr>
    </w:p>
    <w:p>
      <w:pPr>
        <w:pStyle w:val="BodyText"/>
        <w:ind w:left="579"/>
      </w:pPr>
      <w:r>
        <w:rPr/>
        <w:drawing>
          <wp:inline distT="0" distB="0" distL="0" distR="0">
            <wp:extent cx="5282682" cy="2077593"/>
            <wp:effectExtent l="0" t="0" r="0" b="0"/>
            <wp:docPr id="19" name="image24.png" descr="Sponge Template for sizing sponges.  This is a retangular piece of plastic or rigid metal material with various size holes (i.e., 17 cm (7 in), 16 cm (6.5 in), and 15 cm (6in)."/>
            <wp:cNvGraphicFramePr>
              <a:graphicFrameLocks noChangeAspect="1"/>
            </wp:cNvGraphicFramePr>
            <a:graphic>
              <a:graphicData uri="http://schemas.openxmlformats.org/drawingml/2006/picture">
                <pic:pic>
                  <pic:nvPicPr>
                    <pic:cNvPr id="20" name="image24.png"/>
                    <pic:cNvPicPr/>
                  </pic:nvPicPr>
                  <pic:blipFill>
                    <a:blip r:embed="rId53" cstate="print"/>
                    <a:stretch>
                      <a:fillRect/>
                    </a:stretch>
                  </pic:blipFill>
                  <pic:spPr>
                    <a:xfrm>
                      <a:off x="0" y="0"/>
                      <a:ext cx="5282682" cy="2077593"/>
                    </a:xfrm>
                    <a:prstGeom prst="rect">
                      <a:avLst/>
                    </a:prstGeom>
                  </pic:spPr>
                </pic:pic>
              </a:graphicData>
            </a:graphic>
          </wp:inline>
        </w:drawing>
      </w:r>
      <w:r>
        <w:rPr/>
      </w:r>
    </w:p>
    <w:p>
      <w:pPr>
        <w:pStyle w:val="BodyText"/>
      </w:pPr>
    </w:p>
    <w:p>
      <w:pPr>
        <w:pStyle w:val="BodyText"/>
        <w:spacing w:before="6"/>
        <w:rPr>
          <w:sz w:val="21"/>
        </w:rPr>
      </w:pPr>
    </w:p>
    <w:p>
      <w:pPr>
        <w:pStyle w:val="ListParagraph"/>
        <w:numPr>
          <w:ilvl w:val="1"/>
          <w:numId w:val="28"/>
        </w:numPr>
        <w:tabs>
          <w:tab w:pos="1367" w:val="left" w:leader="none"/>
          <w:tab w:pos="1368" w:val="left" w:leader="none"/>
        </w:tabs>
        <w:spacing w:line="240" w:lineRule="auto" w:before="1" w:after="0"/>
        <w:ind w:left="1367" w:right="0" w:hanging="360"/>
        <w:jc w:val="left"/>
        <w:rPr>
          <w:sz w:val="20"/>
        </w:rPr>
      </w:pPr>
      <w:r>
        <w:rPr/>
        <w:pict>
          <v:group style="position:absolute;margin-left:400.450012pt;margin-top:-10.967329pt;width:131.5pt;height:132.4pt;mso-position-horizontal-relative:page;mso-position-vertical-relative:paragraph;z-index:2032" coordorigin="8009,-219" coordsize="2630,2648">
            <v:shape style="position:absolute;left:8019;top:-210;width:2610;height:2628" type="#_x0000_t75" alt="Inspector matching up the sea sponges to sized holes to measure the sponge size." stroked="false">
              <v:imagedata r:id="rId54" o:title=""/>
            </v:shape>
            <v:rect style="position:absolute;left:8014;top:-215;width:2620;height:2638" filled="false" stroked="true" strokeweight=".5pt" strokecolor="#4f81bd">
              <v:stroke dashstyle="solid"/>
            </v:rect>
            <w10:wrap type="none"/>
          </v:group>
        </w:pict>
      </w:r>
      <w:r>
        <w:rPr>
          <w:sz w:val="20"/>
        </w:rPr>
        <w:t>should be constructed of rigid metal or plastic</w:t>
      </w:r>
      <w:r>
        <w:rPr>
          <w:spacing w:val="1"/>
          <w:sz w:val="20"/>
        </w:rPr>
        <w:t> </w:t>
      </w:r>
      <w:r>
        <w:rPr>
          <w:sz w:val="20"/>
        </w:rPr>
        <w:t>material.</w:t>
      </w:r>
    </w:p>
    <w:p>
      <w:pPr>
        <w:pStyle w:val="BodyText"/>
        <w:spacing w:before="10"/>
      </w:pPr>
    </w:p>
    <w:p>
      <w:pPr>
        <w:pStyle w:val="ListParagraph"/>
        <w:numPr>
          <w:ilvl w:val="1"/>
          <w:numId w:val="28"/>
        </w:numPr>
        <w:tabs>
          <w:tab w:pos="1367" w:val="left" w:leader="none"/>
          <w:tab w:pos="1368" w:val="left" w:leader="none"/>
        </w:tabs>
        <w:spacing w:line="240" w:lineRule="auto" w:before="0" w:after="0"/>
        <w:ind w:left="1367" w:right="3479" w:hanging="360"/>
        <w:jc w:val="left"/>
        <w:rPr>
          <w:sz w:val="20"/>
        </w:rPr>
      </w:pPr>
      <w:r>
        <w:rPr>
          <w:sz w:val="20"/>
        </w:rPr>
        <w:t>circular</w:t>
      </w:r>
      <w:r>
        <w:rPr>
          <w:spacing w:val="-10"/>
          <w:sz w:val="20"/>
        </w:rPr>
        <w:t> </w:t>
      </w:r>
      <w:r>
        <w:rPr>
          <w:sz w:val="20"/>
        </w:rPr>
        <w:t>openings</w:t>
      </w:r>
      <w:r>
        <w:rPr>
          <w:spacing w:val="-9"/>
          <w:sz w:val="20"/>
        </w:rPr>
        <w:t> </w:t>
      </w:r>
      <w:r>
        <w:rPr>
          <w:sz w:val="20"/>
        </w:rPr>
        <w:t>should</w:t>
      </w:r>
      <w:r>
        <w:rPr>
          <w:spacing w:val="-7"/>
          <w:sz w:val="20"/>
        </w:rPr>
        <w:t> </w:t>
      </w:r>
      <w:r>
        <w:rPr>
          <w:sz w:val="20"/>
        </w:rPr>
        <w:t>graduate</w:t>
      </w:r>
      <w:r>
        <w:rPr>
          <w:spacing w:val="-11"/>
          <w:sz w:val="20"/>
        </w:rPr>
        <w:t> </w:t>
      </w:r>
      <w:r>
        <w:rPr>
          <w:sz w:val="20"/>
        </w:rPr>
        <w:t>in</w:t>
      </w:r>
      <w:r>
        <w:rPr>
          <w:spacing w:val="-11"/>
          <w:sz w:val="20"/>
        </w:rPr>
        <w:t> </w:t>
      </w:r>
      <w:r>
        <w:rPr>
          <w:sz w:val="20"/>
        </w:rPr>
        <w:t>increments</w:t>
      </w:r>
      <w:r>
        <w:rPr>
          <w:spacing w:val="-11"/>
          <w:sz w:val="20"/>
        </w:rPr>
        <w:t> </w:t>
      </w:r>
      <w:r>
        <w:rPr>
          <w:sz w:val="20"/>
        </w:rPr>
        <w:t>of</w:t>
      </w:r>
      <w:r>
        <w:rPr>
          <w:spacing w:val="-12"/>
          <w:sz w:val="20"/>
        </w:rPr>
        <w:t> </w:t>
      </w:r>
      <w:r>
        <w:rPr>
          <w:sz w:val="20"/>
        </w:rPr>
        <w:t>one-half</w:t>
      </w:r>
      <w:r>
        <w:rPr>
          <w:spacing w:val="-12"/>
          <w:sz w:val="20"/>
        </w:rPr>
        <w:t> </w:t>
      </w:r>
      <w:r>
        <w:rPr>
          <w:sz w:val="20"/>
        </w:rPr>
        <w:t>inch (one</w:t>
      </w:r>
      <w:r>
        <w:rPr>
          <w:spacing w:val="-1"/>
          <w:sz w:val="20"/>
        </w:rPr>
        <w:t> </w:t>
      </w:r>
      <w:r>
        <w:rPr>
          <w:sz w:val="20"/>
        </w:rPr>
        <w:t>centimeter).</w:t>
      </w:r>
    </w:p>
    <w:p>
      <w:pPr>
        <w:pStyle w:val="BodyText"/>
        <w:spacing w:before="8"/>
      </w:pPr>
    </w:p>
    <w:p>
      <w:pPr>
        <w:pStyle w:val="ListParagraph"/>
        <w:numPr>
          <w:ilvl w:val="1"/>
          <w:numId w:val="28"/>
        </w:numPr>
        <w:tabs>
          <w:tab w:pos="1367" w:val="left" w:leader="none"/>
          <w:tab w:pos="1368" w:val="left" w:leader="none"/>
        </w:tabs>
        <w:spacing w:line="230" w:lineRule="exact" w:before="0" w:after="0"/>
        <w:ind w:left="1367" w:right="0" w:hanging="360"/>
        <w:jc w:val="left"/>
        <w:rPr>
          <w:sz w:val="20"/>
        </w:rPr>
      </w:pPr>
      <w:r>
        <w:rPr>
          <w:sz w:val="20"/>
        </w:rPr>
        <w:t>The error in the circular openings shall not be greater</w:t>
      </w:r>
      <w:r>
        <w:rPr>
          <w:spacing w:val="1"/>
          <w:sz w:val="20"/>
        </w:rPr>
        <w:t> </w:t>
      </w:r>
      <w:r>
        <w:rPr>
          <w:sz w:val="20"/>
        </w:rPr>
        <w:t>than</w:t>
      </w:r>
    </w:p>
    <w:p>
      <w:pPr>
        <w:pStyle w:val="BodyText"/>
        <w:spacing w:line="232" w:lineRule="auto" w:before="6"/>
        <w:ind w:left="1368" w:right="3478" w:hanging="1"/>
        <w:jc w:val="both"/>
      </w:pPr>
      <w:r>
        <w:rPr>
          <w:position w:val="2"/>
        </w:rPr>
        <w:t>± </w:t>
      </w:r>
      <w:r>
        <w:rPr>
          <w:position w:val="2"/>
          <w:vertAlign w:val="superscript"/>
        </w:rPr>
        <w:t>1</w:t>
      </w:r>
      <w:r>
        <w:rPr>
          <w:position w:val="2"/>
          <w:vertAlign w:val="baseline"/>
        </w:rPr>
        <w:t>/</w:t>
      </w:r>
      <w:r>
        <w:rPr>
          <w:sz w:val="13"/>
          <w:vertAlign w:val="baseline"/>
        </w:rPr>
        <w:t>32 </w:t>
      </w:r>
      <w:r>
        <w:rPr>
          <w:position w:val="2"/>
          <w:vertAlign w:val="baseline"/>
        </w:rPr>
        <w:t>in (± 0.79 mm) as specified in Table 2. Tolerances in Sec- </w:t>
      </w:r>
      <w:r>
        <w:rPr>
          <w:vertAlign w:val="baseline"/>
        </w:rPr>
        <w:t>tion 5.52. Linear Measures of NIST Handbook 44 “Specifica- tions, Tolerances, and Technical Requirements for Weighing and Measuring Devices.”</w:t>
      </w:r>
    </w:p>
    <w:p>
      <w:pPr>
        <w:pStyle w:val="BodyText"/>
        <w:rPr>
          <w:sz w:val="22"/>
        </w:rPr>
      </w:pPr>
    </w:p>
    <w:p>
      <w:pPr>
        <w:pStyle w:val="BodyText"/>
        <w:spacing w:before="131"/>
        <w:ind w:left="540"/>
      </w:pPr>
      <w:r>
        <w:rPr/>
        <w:t>Prohibited Labeling Practices</w:t>
      </w:r>
    </w:p>
    <w:p>
      <w:pPr>
        <w:pStyle w:val="BodyText"/>
        <w:spacing w:before="10"/>
      </w:pPr>
    </w:p>
    <w:p>
      <w:pPr>
        <w:pStyle w:val="ListParagraph"/>
        <w:numPr>
          <w:ilvl w:val="0"/>
          <w:numId w:val="28"/>
        </w:numPr>
        <w:tabs>
          <w:tab w:pos="1260" w:val="left" w:leader="none"/>
          <w:tab w:pos="1261" w:val="left" w:leader="none"/>
        </w:tabs>
        <w:spacing w:line="240" w:lineRule="auto" w:before="0" w:after="0"/>
        <w:ind w:left="1260" w:right="0" w:hanging="360"/>
        <w:jc w:val="left"/>
        <w:rPr>
          <w:sz w:val="20"/>
        </w:rPr>
      </w:pPr>
      <w:r>
        <w:rPr>
          <w:sz w:val="20"/>
        </w:rPr>
        <w:t>Stating country of origin declarations that are not</w:t>
      </w:r>
      <w:r>
        <w:rPr>
          <w:spacing w:val="-12"/>
          <w:sz w:val="20"/>
        </w:rPr>
        <w:t> </w:t>
      </w:r>
      <w:r>
        <w:rPr>
          <w:sz w:val="20"/>
        </w:rPr>
        <w:t>accurate.</w:t>
      </w:r>
    </w:p>
    <w:p>
      <w:pPr>
        <w:pStyle w:val="BodyText"/>
        <w:spacing w:before="9"/>
      </w:pPr>
    </w:p>
    <w:p>
      <w:pPr>
        <w:pStyle w:val="ListParagraph"/>
        <w:numPr>
          <w:ilvl w:val="0"/>
          <w:numId w:val="28"/>
        </w:numPr>
        <w:tabs>
          <w:tab w:pos="1260" w:val="left" w:leader="none"/>
          <w:tab w:pos="1261" w:val="left" w:leader="none"/>
        </w:tabs>
        <w:spacing w:line="240" w:lineRule="auto" w:before="1" w:after="0"/>
        <w:ind w:left="1259" w:right="419" w:hanging="359"/>
        <w:jc w:val="left"/>
        <w:rPr>
          <w:sz w:val="20"/>
        </w:rPr>
      </w:pPr>
      <w:r>
        <w:rPr>
          <w:sz w:val="20"/>
        </w:rPr>
        <w:t>Declaring ranges of dimensions (e.g., 4</w:t>
      </w:r>
      <w:r>
        <w:rPr>
          <w:rFonts w:ascii="Arial" w:hAnsi="Arial"/>
          <w:sz w:val="20"/>
        </w:rPr>
        <w:t>″</w:t>
      </w:r>
      <w:r>
        <w:rPr>
          <w:sz w:val="20"/>
        </w:rPr>
        <w:t>- 5</w:t>
      </w:r>
      <w:r>
        <w:rPr>
          <w:rFonts w:ascii="Arial" w:hAnsi="Arial"/>
          <w:sz w:val="20"/>
        </w:rPr>
        <w:t>″ </w:t>
      </w:r>
      <w:r>
        <w:rPr>
          <w:sz w:val="20"/>
        </w:rPr>
        <w:t>in) or using terms such as “half or semi form” instead of either “cut” or</w:t>
      </w:r>
      <w:r>
        <w:rPr>
          <w:spacing w:val="3"/>
          <w:sz w:val="20"/>
        </w:rPr>
        <w:t> </w:t>
      </w:r>
      <w:r>
        <w:rPr>
          <w:sz w:val="20"/>
        </w:rPr>
        <w:t>“form.”</w:t>
      </w:r>
    </w:p>
    <w:p>
      <w:pPr>
        <w:pStyle w:val="BodyText"/>
        <w:spacing w:before="10"/>
      </w:pPr>
    </w:p>
    <w:p>
      <w:pPr>
        <w:pStyle w:val="ListParagraph"/>
        <w:numPr>
          <w:ilvl w:val="0"/>
          <w:numId w:val="28"/>
        </w:numPr>
        <w:tabs>
          <w:tab w:pos="1259" w:val="left" w:leader="none"/>
          <w:tab w:pos="1260" w:val="left" w:leader="none"/>
        </w:tabs>
        <w:spacing w:line="240" w:lineRule="auto" w:before="1" w:after="0"/>
        <w:ind w:left="1259" w:right="0" w:hanging="360"/>
        <w:jc w:val="left"/>
        <w:rPr>
          <w:sz w:val="20"/>
        </w:rPr>
      </w:pPr>
      <w:r>
        <w:rPr>
          <w:sz w:val="20"/>
        </w:rPr>
        <w:t>Using qualifying terms. (e.g., “Wet Size,” “Approximate” or</w:t>
      </w:r>
      <w:r>
        <w:rPr>
          <w:spacing w:val="1"/>
          <w:sz w:val="20"/>
        </w:rPr>
        <w:t> </w:t>
      </w:r>
      <w:r>
        <w:rPr>
          <w:sz w:val="20"/>
        </w:rPr>
        <w:t>“Jumbo”)</w:t>
      </w:r>
    </w:p>
    <w:p>
      <w:pPr>
        <w:pStyle w:val="BodyText"/>
        <w:spacing w:before="10"/>
      </w:pPr>
    </w:p>
    <w:p>
      <w:pPr>
        <w:pStyle w:val="ListParagraph"/>
        <w:numPr>
          <w:ilvl w:val="0"/>
          <w:numId w:val="28"/>
        </w:numPr>
        <w:tabs>
          <w:tab w:pos="1259" w:val="left" w:leader="none"/>
          <w:tab w:pos="1260" w:val="left" w:leader="none"/>
        </w:tabs>
        <w:spacing w:line="240" w:lineRule="auto" w:before="0" w:after="0"/>
        <w:ind w:left="1259" w:right="0" w:hanging="360"/>
        <w:jc w:val="left"/>
        <w:rPr>
          <w:sz w:val="20"/>
        </w:rPr>
      </w:pPr>
      <w:r>
        <w:rPr>
          <w:sz w:val="20"/>
        </w:rPr>
        <w:t>“Anti-bacterial” claims must meet EPA requirements.</w:t>
      </w:r>
    </w:p>
    <w:p>
      <w:pPr>
        <w:pStyle w:val="BodyText"/>
        <w:spacing w:before="8"/>
      </w:pPr>
    </w:p>
    <w:p>
      <w:pPr>
        <w:pStyle w:val="ListParagraph"/>
        <w:numPr>
          <w:ilvl w:val="0"/>
          <w:numId w:val="28"/>
        </w:numPr>
        <w:tabs>
          <w:tab w:pos="1259" w:val="left" w:leader="none"/>
          <w:tab w:pos="1260" w:val="left" w:leader="none"/>
        </w:tabs>
        <w:spacing w:line="240" w:lineRule="auto" w:before="0" w:after="0"/>
        <w:ind w:left="1259" w:right="0" w:hanging="360"/>
        <w:jc w:val="left"/>
        <w:rPr>
          <w:sz w:val="20"/>
        </w:rPr>
      </w:pPr>
      <w:r>
        <w:rPr>
          <w:sz w:val="20"/>
        </w:rPr>
        <w:t>Using type size that does not meet minimum height</w:t>
      </w:r>
      <w:r>
        <w:rPr>
          <w:spacing w:val="-2"/>
          <w:sz w:val="20"/>
        </w:rPr>
        <w:t> </w:t>
      </w:r>
      <w:r>
        <w:rPr>
          <w:sz w:val="20"/>
        </w:rPr>
        <w:t>requirements.</w:t>
      </w:r>
    </w:p>
    <w:p>
      <w:pPr>
        <w:pStyle w:val="BodyText"/>
        <w:spacing w:before="10"/>
      </w:pPr>
    </w:p>
    <w:p>
      <w:pPr>
        <w:pStyle w:val="ListParagraph"/>
        <w:numPr>
          <w:ilvl w:val="0"/>
          <w:numId w:val="28"/>
        </w:numPr>
        <w:tabs>
          <w:tab w:pos="1259" w:val="left" w:leader="none"/>
          <w:tab w:pos="1260" w:val="left" w:leader="none"/>
        </w:tabs>
        <w:spacing w:line="240" w:lineRule="auto" w:before="0" w:after="0"/>
        <w:ind w:left="1259" w:right="0" w:hanging="360"/>
        <w:jc w:val="left"/>
        <w:rPr>
          <w:sz w:val="20"/>
        </w:rPr>
      </w:pPr>
      <w:r>
        <w:rPr>
          <w:sz w:val="20"/>
        </w:rPr>
        <w:t>Using unacceptable symbols (e.g., using (") as a symbol for inches is not</w:t>
      </w:r>
      <w:r>
        <w:rPr>
          <w:spacing w:val="-6"/>
          <w:sz w:val="20"/>
        </w:rPr>
        <w:t> </w:t>
      </w:r>
      <w:r>
        <w:rPr>
          <w:sz w:val="20"/>
        </w:rPr>
        <w:t>acceptable).</w:t>
      </w:r>
    </w:p>
    <w:p>
      <w:pPr>
        <w:pStyle w:val="BodyText"/>
        <w:spacing w:before="10"/>
      </w:pPr>
    </w:p>
    <w:p>
      <w:pPr>
        <w:pStyle w:val="ListParagraph"/>
        <w:numPr>
          <w:ilvl w:val="3"/>
          <w:numId w:val="27"/>
        </w:numPr>
        <w:tabs>
          <w:tab w:pos="1320" w:val="left" w:leader="none"/>
        </w:tabs>
        <w:spacing w:line="240" w:lineRule="auto" w:before="1" w:after="0"/>
        <w:ind w:left="539" w:right="417" w:firstLine="0"/>
        <w:jc w:val="both"/>
        <w:rPr>
          <w:sz w:val="20"/>
        </w:rPr>
      </w:pPr>
      <w:r>
        <w:rPr>
          <w:b/>
          <w:sz w:val="20"/>
        </w:rPr>
        <w:t>Declaration</w:t>
      </w:r>
      <w:r>
        <w:rPr>
          <w:b/>
          <w:spacing w:val="-15"/>
          <w:sz w:val="20"/>
        </w:rPr>
        <w:t> </w:t>
      </w:r>
      <w:r>
        <w:rPr>
          <w:b/>
          <w:sz w:val="20"/>
        </w:rPr>
        <w:t>of</w:t>
      </w:r>
      <w:r>
        <w:rPr>
          <w:b/>
          <w:spacing w:val="-14"/>
          <w:sz w:val="20"/>
        </w:rPr>
        <w:t> </w:t>
      </w:r>
      <w:r>
        <w:rPr>
          <w:b/>
          <w:sz w:val="20"/>
        </w:rPr>
        <w:t>Responsibility.</w:t>
      </w:r>
      <w:r>
        <w:rPr>
          <w:b/>
          <w:spacing w:val="-13"/>
          <w:sz w:val="20"/>
        </w:rPr>
        <w:t> </w:t>
      </w:r>
      <w:r>
        <w:rPr>
          <w:sz w:val="20"/>
        </w:rPr>
        <w:t>–</w:t>
      </w:r>
      <w:r>
        <w:rPr>
          <w:spacing w:val="-14"/>
          <w:sz w:val="20"/>
        </w:rPr>
        <w:t> </w:t>
      </w:r>
      <w:r>
        <w:rPr>
          <w:sz w:val="20"/>
        </w:rPr>
        <w:t>The</w:t>
      </w:r>
      <w:r>
        <w:rPr>
          <w:spacing w:val="-14"/>
          <w:sz w:val="20"/>
        </w:rPr>
        <w:t> </w:t>
      </w:r>
      <w:r>
        <w:rPr>
          <w:sz w:val="20"/>
        </w:rPr>
        <w:t>name</w:t>
      </w:r>
      <w:r>
        <w:rPr>
          <w:spacing w:val="-15"/>
          <w:sz w:val="20"/>
        </w:rPr>
        <w:t> </w:t>
      </w:r>
      <w:r>
        <w:rPr>
          <w:sz w:val="20"/>
        </w:rPr>
        <w:t>and</w:t>
      </w:r>
      <w:r>
        <w:rPr>
          <w:spacing w:val="-14"/>
          <w:sz w:val="20"/>
        </w:rPr>
        <w:t> </w:t>
      </w:r>
      <w:r>
        <w:rPr>
          <w:sz w:val="20"/>
        </w:rPr>
        <w:t>address</w:t>
      </w:r>
      <w:r>
        <w:rPr>
          <w:spacing w:val="-15"/>
          <w:sz w:val="20"/>
        </w:rPr>
        <w:t> </w:t>
      </w:r>
      <w:r>
        <w:rPr>
          <w:sz w:val="20"/>
        </w:rPr>
        <w:t>of</w:t>
      </w:r>
      <w:r>
        <w:rPr>
          <w:spacing w:val="-14"/>
          <w:sz w:val="20"/>
        </w:rPr>
        <w:t> </w:t>
      </w:r>
      <w:r>
        <w:rPr>
          <w:sz w:val="20"/>
        </w:rPr>
        <w:t>the</w:t>
      </w:r>
      <w:r>
        <w:rPr>
          <w:spacing w:val="-11"/>
          <w:sz w:val="20"/>
        </w:rPr>
        <w:t> </w:t>
      </w:r>
      <w:r>
        <w:rPr>
          <w:sz w:val="20"/>
        </w:rPr>
        <w:t>processor</w:t>
      </w:r>
      <w:r>
        <w:rPr>
          <w:spacing w:val="-14"/>
          <w:sz w:val="20"/>
        </w:rPr>
        <w:t> </w:t>
      </w:r>
      <w:r>
        <w:rPr>
          <w:sz w:val="20"/>
        </w:rPr>
        <w:t>or</w:t>
      </w:r>
      <w:r>
        <w:rPr>
          <w:spacing w:val="-14"/>
          <w:sz w:val="20"/>
        </w:rPr>
        <w:t> </w:t>
      </w:r>
      <w:r>
        <w:rPr>
          <w:sz w:val="20"/>
        </w:rPr>
        <w:t>distributor</w:t>
      </w:r>
      <w:r>
        <w:rPr>
          <w:spacing w:val="-11"/>
          <w:sz w:val="20"/>
        </w:rPr>
        <w:t> </w:t>
      </w:r>
      <w:r>
        <w:rPr>
          <w:sz w:val="20"/>
        </w:rPr>
        <w:t>must</w:t>
      </w:r>
      <w:r>
        <w:rPr>
          <w:spacing w:val="-15"/>
          <w:sz w:val="20"/>
        </w:rPr>
        <w:t> </w:t>
      </w:r>
      <w:r>
        <w:rPr>
          <w:sz w:val="20"/>
        </w:rPr>
        <w:t>be</w:t>
      </w:r>
      <w:r>
        <w:rPr>
          <w:spacing w:val="-14"/>
          <w:sz w:val="20"/>
        </w:rPr>
        <w:t> </w:t>
      </w:r>
      <w:r>
        <w:rPr>
          <w:sz w:val="20"/>
        </w:rPr>
        <w:t>specified on the label of any package that is kept, offered, or exposed for sale, or sold anywhere other than the premises where packed. The name shall be the actual corporate name or, when not incorporated, the name under which the business is</w:t>
      </w:r>
      <w:r>
        <w:rPr>
          <w:spacing w:val="-3"/>
          <w:sz w:val="20"/>
        </w:rPr>
        <w:t> </w:t>
      </w:r>
      <w:r>
        <w:rPr>
          <w:sz w:val="20"/>
        </w:rPr>
        <w:t>conducted.</w:t>
      </w:r>
    </w:p>
    <w:p>
      <w:pPr>
        <w:pStyle w:val="BodyText"/>
        <w:spacing w:before="9"/>
      </w:pPr>
    </w:p>
    <w:p>
      <w:pPr>
        <w:pStyle w:val="Heading1"/>
        <w:ind w:left="899"/>
      </w:pPr>
      <w:r>
        <w:rPr/>
        <w:t>Example:</w:t>
      </w:r>
    </w:p>
    <w:p>
      <w:pPr>
        <w:pStyle w:val="BodyText"/>
        <w:ind w:left="899"/>
      </w:pPr>
      <w:r>
        <w:rPr/>
        <w:t>Processed by</w:t>
      </w:r>
    </w:p>
    <w:p>
      <w:pPr>
        <w:pStyle w:val="BodyText"/>
        <w:spacing w:before="1"/>
        <w:ind w:left="899" w:right="6807"/>
      </w:pPr>
      <w:r>
        <w:rPr/>
        <w:t>Argonaut Sponge Company 8190 Main Road</w:t>
      </w:r>
    </w:p>
    <w:p>
      <w:pPr>
        <w:pStyle w:val="BodyText"/>
        <w:spacing w:before="1"/>
        <w:ind w:left="899"/>
      </w:pPr>
      <w:r>
        <w:rPr/>
        <w:t>Tarpon Springs, Florida 34568</w:t>
      </w:r>
    </w:p>
    <w:p>
      <w:pPr>
        <w:spacing w:after="0"/>
        <w:sectPr>
          <w:pgSz w:w="12240" w:h="15840"/>
          <w:pgMar w:header="730" w:footer="740" w:top="1340" w:bottom="940" w:left="1260" w:right="1020"/>
        </w:sectPr>
      </w:pPr>
    </w:p>
    <w:p>
      <w:pPr>
        <w:pStyle w:val="BodyText"/>
        <w:spacing w:before="88"/>
        <w:ind w:left="539" w:right="416"/>
        <w:jc w:val="both"/>
      </w:pPr>
      <w:r>
        <w:rPr/>
        <w:t>The</w:t>
      </w:r>
      <w:r>
        <w:rPr>
          <w:spacing w:val="-5"/>
        </w:rPr>
        <w:t> </w:t>
      </w:r>
      <w:r>
        <w:rPr/>
        <w:t>address</w:t>
      </w:r>
      <w:r>
        <w:rPr>
          <w:spacing w:val="-6"/>
        </w:rPr>
        <w:t> </w:t>
      </w:r>
      <w:r>
        <w:rPr/>
        <w:t>shall</w:t>
      </w:r>
      <w:r>
        <w:rPr>
          <w:spacing w:val="-6"/>
        </w:rPr>
        <w:t> </w:t>
      </w:r>
      <w:r>
        <w:rPr/>
        <w:t>include</w:t>
      </w:r>
      <w:r>
        <w:rPr>
          <w:spacing w:val="-4"/>
        </w:rPr>
        <w:t> </w:t>
      </w:r>
      <w:r>
        <w:rPr/>
        <w:t>street</w:t>
      </w:r>
      <w:r>
        <w:rPr>
          <w:spacing w:val="-6"/>
        </w:rPr>
        <w:t> </w:t>
      </w:r>
      <w:r>
        <w:rPr/>
        <w:t>address,</w:t>
      </w:r>
      <w:r>
        <w:rPr>
          <w:spacing w:val="-5"/>
        </w:rPr>
        <w:t> </w:t>
      </w:r>
      <w:r>
        <w:rPr/>
        <w:t>city,</w:t>
      </w:r>
      <w:r>
        <w:rPr>
          <w:spacing w:val="-4"/>
        </w:rPr>
        <w:t> </w:t>
      </w:r>
      <w:r>
        <w:rPr/>
        <w:t>state</w:t>
      </w:r>
      <w:r>
        <w:rPr>
          <w:spacing w:val="-5"/>
        </w:rPr>
        <w:t> </w:t>
      </w:r>
      <w:r>
        <w:rPr/>
        <w:t>(or</w:t>
      </w:r>
      <w:r>
        <w:rPr>
          <w:spacing w:val="-5"/>
        </w:rPr>
        <w:t> </w:t>
      </w:r>
      <w:r>
        <w:rPr/>
        <w:t>country</w:t>
      </w:r>
      <w:r>
        <w:rPr>
          <w:spacing w:val="-6"/>
        </w:rPr>
        <w:t> </w:t>
      </w:r>
      <w:r>
        <w:rPr/>
        <w:t>if</w:t>
      </w:r>
      <w:r>
        <w:rPr>
          <w:spacing w:val="-7"/>
        </w:rPr>
        <w:t> </w:t>
      </w:r>
      <w:r>
        <w:rPr/>
        <w:t>outside</w:t>
      </w:r>
      <w:r>
        <w:rPr>
          <w:spacing w:val="-5"/>
        </w:rPr>
        <w:t> </w:t>
      </w:r>
      <w:r>
        <w:rPr/>
        <w:t>the</w:t>
      </w:r>
      <w:r>
        <w:rPr>
          <w:spacing w:val="-4"/>
        </w:rPr>
        <w:t> </w:t>
      </w:r>
      <w:r>
        <w:rPr/>
        <w:t>United</w:t>
      </w:r>
      <w:r>
        <w:rPr>
          <w:spacing w:val="-4"/>
        </w:rPr>
        <w:t> </w:t>
      </w:r>
      <w:r>
        <w:rPr/>
        <w:t>States),</w:t>
      </w:r>
      <w:r>
        <w:rPr>
          <w:spacing w:val="-5"/>
        </w:rPr>
        <w:t> </w:t>
      </w:r>
      <w:r>
        <w:rPr/>
        <w:t>and</w:t>
      </w:r>
      <w:r>
        <w:rPr>
          <w:spacing w:val="-4"/>
        </w:rPr>
        <w:t> </w:t>
      </w:r>
      <w:r>
        <w:rPr/>
        <w:t>ZIP</w:t>
      </w:r>
      <w:r>
        <w:rPr>
          <w:spacing w:val="-2"/>
        </w:rPr>
        <w:t> </w:t>
      </w:r>
      <w:r>
        <w:rPr/>
        <w:t>Code</w:t>
      </w:r>
      <w:r>
        <w:rPr>
          <w:spacing w:val="-5"/>
        </w:rPr>
        <w:t> </w:t>
      </w:r>
      <w:r>
        <w:rPr/>
        <w:t>(or</w:t>
      </w:r>
      <w:r>
        <w:rPr>
          <w:spacing w:val="-5"/>
        </w:rPr>
        <w:t> </w:t>
      </w:r>
      <w:r>
        <w:rPr/>
        <w:t>the postal code, if any, used in countries other than the United States); however, the street address may be omitted if this is shown in a current city directory or telephone</w:t>
      </w:r>
      <w:r>
        <w:rPr>
          <w:spacing w:val="-11"/>
        </w:rPr>
        <w:t> </w:t>
      </w:r>
      <w:r>
        <w:rPr/>
        <w:t>directory.</w:t>
      </w:r>
    </w:p>
    <w:p>
      <w:pPr>
        <w:pStyle w:val="BodyText"/>
        <w:spacing w:before="9"/>
      </w:pPr>
    </w:p>
    <w:p>
      <w:pPr>
        <w:pStyle w:val="Heading1"/>
        <w:ind w:left="539"/>
      </w:pPr>
      <w:r>
        <w:rPr/>
        <w:t>Sample Labels</w:t>
      </w:r>
    </w:p>
    <w:p>
      <w:pPr>
        <w:pStyle w:val="BodyText"/>
        <w:spacing w:before="10"/>
        <w:rPr>
          <w:b/>
        </w:rPr>
      </w:pP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90"/>
        <w:gridCol w:w="377"/>
        <w:gridCol w:w="4733"/>
      </w:tblGrid>
      <w:tr>
        <w:trPr>
          <w:trHeight w:val="1835" w:hRule="atLeast"/>
        </w:trPr>
        <w:tc>
          <w:tcPr>
            <w:tcW w:w="4390" w:type="dxa"/>
            <w:tcBorders>
              <w:top w:val="single" w:sz="4" w:space="0" w:color="000000"/>
              <w:left w:val="single" w:sz="4" w:space="0" w:color="000000"/>
              <w:bottom w:val="single" w:sz="12" w:space="0" w:color="000000"/>
              <w:right w:val="single" w:sz="12" w:space="0" w:color="000000"/>
            </w:tcBorders>
          </w:tcPr>
          <w:p>
            <w:pPr>
              <w:pStyle w:val="TableParagraph"/>
              <w:spacing w:before="144"/>
              <w:ind w:left="1377"/>
              <w:rPr>
                <w:b/>
                <w:sz w:val="20"/>
              </w:rPr>
            </w:pPr>
            <w:r>
              <w:rPr>
                <w:b/>
                <w:sz w:val="20"/>
              </w:rPr>
              <w:t>Yellow Sponge Cut</w:t>
            </w:r>
          </w:p>
          <w:p>
            <w:pPr>
              <w:pStyle w:val="TableParagraph"/>
              <w:spacing w:before="9"/>
              <w:rPr>
                <w:b/>
                <w:sz w:val="18"/>
              </w:rPr>
            </w:pPr>
          </w:p>
          <w:p>
            <w:pPr>
              <w:pStyle w:val="TableParagraph"/>
              <w:spacing w:line="228" w:lineRule="auto" w:before="0"/>
              <w:ind w:left="918" w:right="897"/>
              <w:jc w:val="center"/>
              <w:rPr>
                <w:sz w:val="20"/>
              </w:rPr>
            </w:pPr>
            <w:r>
              <w:rPr>
                <w:sz w:val="20"/>
              </w:rPr>
              <w:t>Argonaut Sponge Company 8190 Main Road</w:t>
            </w:r>
          </w:p>
          <w:p>
            <w:pPr>
              <w:pStyle w:val="TableParagraph"/>
              <w:spacing w:line="220" w:lineRule="exact" w:before="0"/>
              <w:ind w:left="918" w:right="897"/>
              <w:jc w:val="center"/>
              <w:rPr>
                <w:sz w:val="20"/>
              </w:rPr>
            </w:pPr>
            <w:r>
              <w:rPr>
                <w:sz w:val="20"/>
              </w:rPr>
              <w:t>Tarpon Springs, FL 34568</w:t>
            </w:r>
          </w:p>
          <w:p>
            <w:pPr>
              <w:pStyle w:val="TableParagraph"/>
              <w:spacing w:before="0"/>
              <w:rPr>
                <w:b/>
                <w:sz w:val="18"/>
              </w:rPr>
            </w:pPr>
          </w:p>
          <w:p>
            <w:pPr>
              <w:pStyle w:val="TableParagraph"/>
              <w:spacing w:before="0"/>
              <w:ind w:left="918" w:right="900"/>
              <w:jc w:val="center"/>
              <w:rPr>
                <w:b/>
                <w:sz w:val="20"/>
              </w:rPr>
            </w:pPr>
            <w:r>
              <w:rPr>
                <w:b/>
                <w:sz w:val="20"/>
              </w:rPr>
              <w:t>One - 17.5 cm (7 in)</w:t>
            </w:r>
          </w:p>
        </w:tc>
        <w:tc>
          <w:tcPr>
            <w:tcW w:w="377" w:type="dxa"/>
            <w:tcBorders>
              <w:left w:val="single" w:sz="12" w:space="0" w:color="000000"/>
            </w:tcBorders>
          </w:tcPr>
          <w:p>
            <w:pPr>
              <w:pStyle w:val="TableParagraph"/>
              <w:spacing w:before="0"/>
              <w:rPr>
                <w:sz w:val="18"/>
              </w:rPr>
            </w:pPr>
          </w:p>
        </w:tc>
        <w:tc>
          <w:tcPr>
            <w:tcW w:w="4733" w:type="dxa"/>
          </w:tcPr>
          <w:p>
            <w:pPr>
              <w:pStyle w:val="TableParagraph"/>
              <w:spacing w:line="228" w:lineRule="auto"/>
              <w:ind w:left="119" w:right="6"/>
              <w:jc w:val="both"/>
              <w:rPr>
                <w:sz w:val="20"/>
              </w:rPr>
            </w:pPr>
            <w:r>
              <w:rPr>
                <w:sz w:val="20"/>
              </w:rPr>
              <w:t>If</w:t>
            </w:r>
            <w:r>
              <w:rPr>
                <w:spacing w:val="-13"/>
                <w:sz w:val="20"/>
              </w:rPr>
              <w:t> </w:t>
            </w:r>
            <w:r>
              <w:rPr>
                <w:sz w:val="20"/>
              </w:rPr>
              <w:t>a</w:t>
            </w:r>
            <w:r>
              <w:rPr>
                <w:spacing w:val="-9"/>
                <w:sz w:val="20"/>
              </w:rPr>
              <w:t> </w:t>
            </w:r>
            <w:r>
              <w:rPr>
                <w:sz w:val="20"/>
              </w:rPr>
              <w:t>natural</w:t>
            </w:r>
            <w:r>
              <w:rPr>
                <w:spacing w:val="-10"/>
                <w:sz w:val="20"/>
              </w:rPr>
              <w:t> </w:t>
            </w:r>
            <w:r>
              <w:rPr>
                <w:sz w:val="20"/>
              </w:rPr>
              <w:t>sponge</w:t>
            </w:r>
            <w:r>
              <w:rPr>
                <w:spacing w:val="-11"/>
                <w:sz w:val="20"/>
              </w:rPr>
              <w:t> </w:t>
            </w:r>
            <w:r>
              <w:rPr>
                <w:sz w:val="20"/>
              </w:rPr>
              <w:t>is</w:t>
            </w:r>
            <w:r>
              <w:rPr>
                <w:spacing w:val="-10"/>
                <w:sz w:val="20"/>
              </w:rPr>
              <w:t> </w:t>
            </w:r>
            <w:r>
              <w:rPr>
                <w:sz w:val="20"/>
              </w:rPr>
              <w:t>in</w:t>
            </w:r>
            <w:r>
              <w:rPr>
                <w:spacing w:val="-13"/>
                <w:sz w:val="20"/>
              </w:rPr>
              <w:t> </w:t>
            </w:r>
            <w:r>
              <w:rPr>
                <w:sz w:val="20"/>
              </w:rPr>
              <w:t>a</w:t>
            </w:r>
            <w:r>
              <w:rPr>
                <w:spacing w:val="-9"/>
                <w:sz w:val="20"/>
              </w:rPr>
              <w:t> </w:t>
            </w:r>
            <w:r>
              <w:rPr>
                <w:sz w:val="20"/>
              </w:rPr>
              <w:t>box,</w:t>
            </w:r>
            <w:r>
              <w:rPr>
                <w:spacing w:val="-9"/>
                <w:sz w:val="20"/>
              </w:rPr>
              <w:t> </w:t>
            </w:r>
            <w:r>
              <w:rPr>
                <w:sz w:val="20"/>
              </w:rPr>
              <w:t>carton,</w:t>
            </w:r>
            <w:r>
              <w:rPr>
                <w:spacing w:val="-11"/>
                <w:sz w:val="20"/>
              </w:rPr>
              <w:t> </w:t>
            </w:r>
            <w:r>
              <w:rPr>
                <w:sz w:val="20"/>
              </w:rPr>
              <w:t>or</w:t>
            </w:r>
            <w:r>
              <w:rPr>
                <w:spacing w:val="-11"/>
                <w:sz w:val="20"/>
              </w:rPr>
              <w:t> </w:t>
            </w:r>
            <w:r>
              <w:rPr>
                <w:sz w:val="20"/>
              </w:rPr>
              <w:t>package</w:t>
            </w:r>
            <w:r>
              <w:rPr>
                <w:spacing w:val="-11"/>
                <w:sz w:val="20"/>
              </w:rPr>
              <w:t> </w:t>
            </w:r>
            <w:r>
              <w:rPr>
                <w:sz w:val="20"/>
              </w:rPr>
              <w:t>that</w:t>
            </w:r>
            <w:r>
              <w:rPr>
                <w:spacing w:val="-12"/>
                <w:sz w:val="20"/>
              </w:rPr>
              <w:t> </w:t>
            </w:r>
            <w:r>
              <w:rPr>
                <w:sz w:val="20"/>
              </w:rPr>
              <w:t>does not</w:t>
            </w:r>
            <w:r>
              <w:rPr>
                <w:spacing w:val="-5"/>
                <w:sz w:val="20"/>
              </w:rPr>
              <w:t> </w:t>
            </w:r>
            <w:r>
              <w:rPr>
                <w:sz w:val="20"/>
              </w:rPr>
              <w:t>permit</w:t>
            </w:r>
            <w:r>
              <w:rPr>
                <w:spacing w:val="-4"/>
                <w:sz w:val="20"/>
              </w:rPr>
              <w:t> </w:t>
            </w:r>
            <w:r>
              <w:rPr>
                <w:sz w:val="20"/>
              </w:rPr>
              <w:t>consumers</w:t>
            </w:r>
            <w:r>
              <w:rPr>
                <w:spacing w:val="-5"/>
                <w:sz w:val="20"/>
              </w:rPr>
              <w:t> </w:t>
            </w:r>
            <w:r>
              <w:rPr>
                <w:sz w:val="20"/>
              </w:rPr>
              <w:t>to</w:t>
            </w:r>
            <w:r>
              <w:rPr>
                <w:spacing w:val="-2"/>
                <w:sz w:val="20"/>
              </w:rPr>
              <w:t> </w:t>
            </w:r>
            <w:r>
              <w:rPr>
                <w:sz w:val="20"/>
              </w:rPr>
              <w:t>see</w:t>
            </w:r>
            <w:r>
              <w:rPr>
                <w:spacing w:val="-2"/>
                <w:sz w:val="20"/>
              </w:rPr>
              <w:t> </w:t>
            </w:r>
            <w:r>
              <w:rPr>
                <w:sz w:val="20"/>
              </w:rPr>
              <w:t>how</w:t>
            </w:r>
            <w:r>
              <w:rPr>
                <w:spacing w:val="-6"/>
                <w:sz w:val="20"/>
              </w:rPr>
              <w:t> </w:t>
            </w:r>
            <w:r>
              <w:rPr>
                <w:sz w:val="20"/>
              </w:rPr>
              <w:t>many</w:t>
            </w:r>
            <w:r>
              <w:rPr>
                <w:spacing w:val="-3"/>
                <w:sz w:val="20"/>
              </w:rPr>
              <w:t> </w:t>
            </w:r>
            <w:r>
              <w:rPr>
                <w:sz w:val="20"/>
              </w:rPr>
              <w:t>sponges</w:t>
            </w:r>
            <w:r>
              <w:rPr>
                <w:spacing w:val="-4"/>
                <w:sz w:val="20"/>
              </w:rPr>
              <w:t> </w:t>
            </w:r>
            <w:r>
              <w:rPr>
                <w:sz w:val="20"/>
              </w:rPr>
              <w:t>are</w:t>
            </w:r>
            <w:r>
              <w:rPr>
                <w:spacing w:val="-4"/>
                <w:sz w:val="20"/>
              </w:rPr>
              <w:t> </w:t>
            </w:r>
            <w:r>
              <w:rPr>
                <w:sz w:val="20"/>
              </w:rPr>
              <w:t>in</w:t>
            </w:r>
            <w:r>
              <w:rPr>
                <w:spacing w:val="-5"/>
                <w:sz w:val="20"/>
              </w:rPr>
              <w:t> </w:t>
            </w:r>
            <w:r>
              <w:rPr>
                <w:sz w:val="20"/>
              </w:rPr>
              <w:t>the box, the package must include a count declaration (e.g.,  1 sponge) unless the statement of identity clearly ex- presses</w:t>
            </w:r>
            <w:r>
              <w:rPr>
                <w:spacing w:val="-11"/>
                <w:sz w:val="20"/>
              </w:rPr>
              <w:t> </w:t>
            </w:r>
            <w:r>
              <w:rPr>
                <w:sz w:val="20"/>
              </w:rPr>
              <w:t>the</w:t>
            </w:r>
            <w:r>
              <w:rPr>
                <w:spacing w:val="-6"/>
                <w:sz w:val="20"/>
              </w:rPr>
              <w:t> </w:t>
            </w:r>
            <w:r>
              <w:rPr>
                <w:sz w:val="20"/>
              </w:rPr>
              <w:t>fact</w:t>
            </w:r>
            <w:r>
              <w:rPr>
                <w:spacing w:val="-9"/>
                <w:sz w:val="20"/>
              </w:rPr>
              <w:t> </w:t>
            </w:r>
            <w:r>
              <w:rPr>
                <w:sz w:val="20"/>
              </w:rPr>
              <w:t>that</w:t>
            </w:r>
            <w:r>
              <w:rPr>
                <w:spacing w:val="-9"/>
                <w:sz w:val="20"/>
              </w:rPr>
              <w:t> </w:t>
            </w:r>
            <w:r>
              <w:rPr>
                <w:sz w:val="20"/>
              </w:rPr>
              <w:t>only</w:t>
            </w:r>
            <w:r>
              <w:rPr>
                <w:spacing w:val="-10"/>
                <w:sz w:val="20"/>
              </w:rPr>
              <w:t> </w:t>
            </w:r>
            <w:r>
              <w:rPr>
                <w:sz w:val="20"/>
              </w:rPr>
              <w:t>one</w:t>
            </w:r>
            <w:r>
              <w:rPr>
                <w:spacing w:val="-6"/>
                <w:sz w:val="20"/>
              </w:rPr>
              <w:t> </w:t>
            </w:r>
            <w:r>
              <w:rPr>
                <w:sz w:val="20"/>
              </w:rPr>
              <w:t>unit</w:t>
            </w:r>
            <w:r>
              <w:rPr>
                <w:spacing w:val="-10"/>
                <w:sz w:val="20"/>
              </w:rPr>
              <w:t> </w:t>
            </w:r>
            <w:r>
              <w:rPr>
                <w:sz w:val="20"/>
              </w:rPr>
              <w:t>is</w:t>
            </w:r>
            <w:r>
              <w:rPr>
                <w:spacing w:val="-10"/>
                <w:sz w:val="20"/>
              </w:rPr>
              <w:t> </w:t>
            </w:r>
            <w:r>
              <w:rPr>
                <w:sz w:val="20"/>
              </w:rPr>
              <w:t>contained</w:t>
            </w:r>
            <w:r>
              <w:rPr>
                <w:spacing w:val="-8"/>
                <w:sz w:val="20"/>
              </w:rPr>
              <w:t> </w:t>
            </w:r>
            <w:r>
              <w:rPr>
                <w:sz w:val="20"/>
              </w:rPr>
              <w:t>in</w:t>
            </w:r>
            <w:r>
              <w:rPr>
                <w:spacing w:val="-10"/>
                <w:sz w:val="20"/>
              </w:rPr>
              <w:t> </w:t>
            </w:r>
            <w:r>
              <w:rPr>
                <w:sz w:val="20"/>
              </w:rPr>
              <w:t>the</w:t>
            </w:r>
            <w:r>
              <w:rPr>
                <w:spacing w:val="-9"/>
                <w:sz w:val="20"/>
              </w:rPr>
              <w:t> </w:t>
            </w:r>
            <w:r>
              <w:rPr>
                <w:sz w:val="20"/>
              </w:rPr>
              <w:t>pack- age. A package containing two or more units shall bear a statement in terms of count (e.g., 2 sponges). The follow- ing sample label would</w:t>
            </w:r>
            <w:r>
              <w:rPr>
                <w:spacing w:val="2"/>
                <w:sz w:val="20"/>
              </w:rPr>
              <w:t> </w:t>
            </w:r>
            <w:r>
              <w:rPr>
                <w:sz w:val="20"/>
              </w:rPr>
              <w:t>apply.</w:t>
            </w:r>
          </w:p>
        </w:tc>
      </w:tr>
      <w:tr>
        <w:trPr>
          <w:trHeight w:val="304" w:hRule="atLeast"/>
        </w:trPr>
        <w:tc>
          <w:tcPr>
            <w:tcW w:w="4390" w:type="dxa"/>
            <w:tcBorders>
              <w:top w:val="single" w:sz="12" w:space="0" w:color="000000"/>
              <w:bottom w:val="single" w:sz="4" w:space="0" w:color="000000"/>
            </w:tcBorders>
          </w:tcPr>
          <w:p>
            <w:pPr>
              <w:pStyle w:val="TableParagraph"/>
              <w:spacing w:before="0"/>
              <w:rPr>
                <w:sz w:val="18"/>
              </w:rPr>
            </w:pPr>
          </w:p>
        </w:tc>
        <w:tc>
          <w:tcPr>
            <w:tcW w:w="377" w:type="dxa"/>
          </w:tcPr>
          <w:p>
            <w:pPr>
              <w:pStyle w:val="TableParagraph"/>
              <w:spacing w:before="0"/>
              <w:rPr>
                <w:sz w:val="18"/>
              </w:rPr>
            </w:pPr>
          </w:p>
        </w:tc>
        <w:tc>
          <w:tcPr>
            <w:tcW w:w="4733" w:type="dxa"/>
            <w:tcBorders>
              <w:bottom w:val="single" w:sz="4" w:space="0" w:color="000000"/>
            </w:tcBorders>
          </w:tcPr>
          <w:p>
            <w:pPr>
              <w:pStyle w:val="TableParagraph"/>
              <w:spacing w:before="0"/>
              <w:rPr>
                <w:sz w:val="18"/>
              </w:rPr>
            </w:pPr>
          </w:p>
        </w:tc>
      </w:tr>
      <w:tr>
        <w:trPr>
          <w:trHeight w:val="1976" w:hRule="atLeast"/>
        </w:trPr>
        <w:tc>
          <w:tcPr>
            <w:tcW w:w="4390" w:type="dxa"/>
            <w:tcBorders>
              <w:top w:val="single" w:sz="4" w:space="0" w:color="000000"/>
              <w:left w:val="single" w:sz="4" w:space="0" w:color="000000"/>
              <w:bottom w:val="single" w:sz="12" w:space="0" w:color="000000"/>
              <w:right w:val="single" w:sz="12" w:space="0" w:color="000000"/>
            </w:tcBorders>
          </w:tcPr>
          <w:p>
            <w:pPr>
              <w:pStyle w:val="TableParagraph"/>
              <w:spacing w:before="94"/>
              <w:ind w:left="1456"/>
              <w:rPr>
                <w:b/>
                <w:sz w:val="20"/>
              </w:rPr>
            </w:pPr>
            <w:r>
              <w:rPr>
                <w:b/>
                <w:sz w:val="20"/>
              </w:rPr>
              <w:t>Synthetic Sponge</w:t>
            </w:r>
          </w:p>
          <w:p>
            <w:pPr>
              <w:pStyle w:val="TableParagraph"/>
              <w:spacing w:before="8"/>
              <w:rPr>
                <w:b/>
                <w:sz w:val="18"/>
              </w:rPr>
            </w:pPr>
          </w:p>
          <w:p>
            <w:pPr>
              <w:pStyle w:val="TableParagraph"/>
              <w:spacing w:line="228" w:lineRule="auto" w:before="1"/>
              <w:ind w:left="1077" w:right="1048" w:firstLine="736"/>
              <w:rPr>
                <w:sz w:val="20"/>
              </w:rPr>
            </w:pPr>
            <w:r>
              <w:rPr>
                <w:sz w:val="20"/>
              </w:rPr>
              <w:t>Made by: Argonaut Sponge</w:t>
            </w:r>
            <w:r>
              <w:rPr>
                <w:spacing w:val="-9"/>
                <w:sz w:val="20"/>
              </w:rPr>
              <w:t> </w:t>
            </w:r>
            <w:r>
              <w:rPr>
                <w:sz w:val="20"/>
              </w:rPr>
              <w:t>Company</w:t>
            </w:r>
          </w:p>
          <w:p>
            <w:pPr>
              <w:pStyle w:val="TableParagraph"/>
              <w:spacing w:line="228" w:lineRule="auto" w:before="0"/>
              <w:ind w:left="1108" w:right="1048" w:firstLine="412"/>
              <w:rPr>
                <w:sz w:val="20"/>
              </w:rPr>
            </w:pPr>
            <w:r>
              <w:rPr>
                <w:sz w:val="20"/>
              </w:rPr>
              <w:t>8190 Main Road Tarpon Springs, FL</w:t>
            </w:r>
            <w:r>
              <w:rPr>
                <w:spacing w:val="34"/>
                <w:sz w:val="20"/>
              </w:rPr>
              <w:t> </w:t>
            </w:r>
            <w:r>
              <w:rPr>
                <w:sz w:val="20"/>
              </w:rPr>
              <w:t>34568</w:t>
            </w:r>
          </w:p>
          <w:p>
            <w:pPr>
              <w:pStyle w:val="TableParagraph"/>
              <w:spacing w:before="1"/>
              <w:rPr>
                <w:b/>
                <w:sz w:val="18"/>
              </w:rPr>
            </w:pPr>
          </w:p>
          <w:p>
            <w:pPr>
              <w:pStyle w:val="TableParagraph"/>
              <w:spacing w:before="0"/>
              <w:ind w:left="918" w:right="900"/>
              <w:jc w:val="center"/>
              <w:rPr>
                <w:b/>
                <w:sz w:val="20"/>
              </w:rPr>
            </w:pPr>
            <w:r>
              <w:rPr>
                <w:b/>
                <w:sz w:val="20"/>
              </w:rPr>
              <w:t>17.7 × 10 × 5 cm (7 × 4 × 2 in)</w:t>
            </w:r>
          </w:p>
        </w:tc>
        <w:tc>
          <w:tcPr>
            <w:tcW w:w="377" w:type="dxa"/>
            <w:tcBorders>
              <w:left w:val="single" w:sz="12" w:space="0" w:color="000000"/>
              <w:right w:val="single" w:sz="4" w:space="0" w:color="000000"/>
            </w:tcBorders>
          </w:tcPr>
          <w:p>
            <w:pPr>
              <w:pStyle w:val="TableParagraph"/>
              <w:spacing w:before="0"/>
              <w:rPr>
                <w:sz w:val="18"/>
              </w:rPr>
            </w:pPr>
          </w:p>
        </w:tc>
        <w:tc>
          <w:tcPr>
            <w:tcW w:w="4733" w:type="dxa"/>
            <w:tcBorders>
              <w:top w:val="single" w:sz="4" w:space="0" w:color="000000"/>
              <w:left w:val="single" w:sz="4" w:space="0" w:color="000000"/>
              <w:bottom w:val="single" w:sz="12" w:space="0" w:color="000000"/>
              <w:right w:val="single" w:sz="12" w:space="0" w:color="000000"/>
            </w:tcBorders>
          </w:tcPr>
          <w:p>
            <w:pPr>
              <w:pStyle w:val="TableParagraph"/>
              <w:spacing w:before="94"/>
              <w:ind w:left="1628"/>
              <w:rPr>
                <w:b/>
                <w:sz w:val="20"/>
              </w:rPr>
            </w:pPr>
            <w:r>
              <w:rPr>
                <w:b/>
                <w:sz w:val="20"/>
              </w:rPr>
              <w:t>Synthetic Sponge</w:t>
            </w:r>
          </w:p>
          <w:p>
            <w:pPr>
              <w:pStyle w:val="TableParagraph"/>
              <w:spacing w:before="8"/>
              <w:rPr>
                <w:b/>
                <w:sz w:val="18"/>
              </w:rPr>
            </w:pPr>
          </w:p>
          <w:p>
            <w:pPr>
              <w:pStyle w:val="TableParagraph"/>
              <w:spacing w:line="228" w:lineRule="auto" w:before="1"/>
              <w:ind w:left="1247" w:right="1221" w:firstLine="736"/>
              <w:rPr>
                <w:sz w:val="20"/>
              </w:rPr>
            </w:pPr>
            <w:r>
              <w:rPr>
                <w:sz w:val="20"/>
              </w:rPr>
              <w:t>Made by: Argonaut Sponge</w:t>
            </w:r>
            <w:r>
              <w:rPr>
                <w:spacing w:val="-9"/>
                <w:sz w:val="20"/>
              </w:rPr>
              <w:t> </w:t>
            </w:r>
            <w:r>
              <w:rPr>
                <w:sz w:val="20"/>
              </w:rPr>
              <w:t>Company</w:t>
            </w:r>
          </w:p>
          <w:p>
            <w:pPr>
              <w:pStyle w:val="TableParagraph"/>
              <w:spacing w:line="228" w:lineRule="auto" w:before="0"/>
              <w:ind w:left="1278" w:right="1221" w:firstLine="415"/>
              <w:rPr>
                <w:sz w:val="20"/>
              </w:rPr>
            </w:pPr>
            <w:r>
              <w:rPr>
                <w:sz w:val="20"/>
              </w:rPr>
              <w:t>8190 Main Road Tarpon Springs, FL</w:t>
            </w:r>
            <w:r>
              <w:rPr>
                <w:spacing w:val="34"/>
                <w:sz w:val="20"/>
              </w:rPr>
              <w:t> </w:t>
            </w:r>
            <w:r>
              <w:rPr>
                <w:sz w:val="20"/>
              </w:rPr>
              <w:t>34568</w:t>
            </w:r>
          </w:p>
          <w:p>
            <w:pPr>
              <w:pStyle w:val="TableParagraph"/>
              <w:spacing w:before="1"/>
              <w:rPr>
                <w:b/>
                <w:sz w:val="18"/>
              </w:rPr>
            </w:pPr>
          </w:p>
          <w:p>
            <w:pPr>
              <w:pStyle w:val="TableParagraph"/>
              <w:spacing w:before="0"/>
              <w:ind w:left="249" w:right="233"/>
              <w:jc w:val="center"/>
              <w:rPr>
                <w:b/>
                <w:sz w:val="20"/>
              </w:rPr>
            </w:pPr>
            <w:r>
              <w:rPr>
                <w:b/>
                <w:sz w:val="20"/>
              </w:rPr>
              <w:t>1 - Sponge 17.7 cm × 10 × 5 cm (7 in × 4 in × 2 in)</w:t>
            </w:r>
          </w:p>
        </w:tc>
      </w:tr>
    </w:tbl>
    <w:p>
      <w:pPr>
        <w:pStyle w:val="BodyText"/>
        <w:spacing w:before="10"/>
        <w:rPr>
          <w:b/>
        </w:rPr>
      </w:pPr>
    </w:p>
    <w:p>
      <w:pPr>
        <w:pStyle w:val="BodyText"/>
        <w:ind w:left="539" w:right="416"/>
        <w:jc w:val="both"/>
      </w:pPr>
      <w:r>
        <w:rPr/>
        <w:t>If</w:t>
      </w:r>
      <w:r>
        <w:rPr>
          <w:spacing w:val="-6"/>
        </w:rPr>
        <w:t> </w:t>
      </w:r>
      <w:r>
        <w:rPr/>
        <w:t>a</w:t>
      </w:r>
      <w:r>
        <w:rPr>
          <w:spacing w:val="-4"/>
        </w:rPr>
        <w:t> </w:t>
      </w:r>
      <w:r>
        <w:rPr/>
        <w:t>package</w:t>
      </w:r>
      <w:r>
        <w:rPr>
          <w:spacing w:val="-4"/>
        </w:rPr>
        <w:t> </w:t>
      </w:r>
      <w:r>
        <w:rPr/>
        <w:t>does</w:t>
      </w:r>
      <w:r>
        <w:rPr>
          <w:spacing w:val="-5"/>
        </w:rPr>
        <w:t> </w:t>
      </w:r>
      <w:r>
        <w:rPr/>
        <w:t>not</w:t>
      </w:r>
      <w:r>
        <w:rPr>
          <w:spacing w:val="-5"/>
        </w:rPr>
        <w:t> </w:t>
      </w:r>
      <w:r>
        <w:rPr/>
        <w:t>permit</w:t>
      </w:r>
      <w:r>
        <w:rPr>
          <w:spacing w:val="-5"/>
        </w:rPr>
        <w:t> </w:t>
      </w:r>
      <w:r>
        <w:rPr/>
        <w:t>the</w:t>
      </w:r>
      <w:r>
        <w:rPr>
          <w:spacing w:val="-4"/>
        </w:rPr>
        <w:t> </w:t>
      </w:r>
      <w:r>
        <w:rPr/>
        <w:t>consumer</w:t>
      </w:r>
      <w:r>
        <w:rPr>
          <w:spacing w:val="-4"/>
        </w:rPr>
        <w:t> </w:t>
      </w:r>
      <w:r>
        <w:rPr/>
        <w:t>to</w:t>
      </w:r>
      <w:r>
        <w:rPr>
          <w:spacing w:val="-3"/>
        </w:rPr>
        <w:t> </w:t>
      </w:r>
      <w:r>
        <w:rPr/>
        <w:t>see</w:t>
      </w:r>
      <w:r>
        <w:rPr>
          <w:spacing w:val="-2"/>
        </w:rPr>
        <w:t> </w:t>
      </w:r>
      <w:r>
        <w:rPr/>
        <w:t>how</w:t>
      </w:r>
      <w:r>
        <w:rPr>
          <w:spacing w:val="-7"/>
        </w:rPr>
        <w:t> </w:t>
      </w:r>
      <w:r>
        <w:rPr/>
        <w:t>many</w:t>
      </w:r>
      <w:r>
        <w:rPr>
          <w:spacing w:val="-3"/>
        </w:rPr>
        <w:t> </w:t>
      </w:r>
      <w:r>
        <w:rPr/>
        <w:t>sponges</w:t>
      </w:r>
      <w:r>
        <w:rPr>
          <w:spacing w:val="-5"/>
        </w:rPr>
        <w:t> </w:t>
      </w:r>
      <w:r>
        <w:rPr/>
        <w:t>are</w:t>
      </w:r>
      <w:r>
        <w:rPr>
          <w:spacing w:val="-4"/>
        </w:rPr>
        <w:t> </w:t>
      </w:r>
      <w:r>
        <w:rPr/>
        <w:t>the</w:t>
      </w:r>
      <w:r>
        <w:rPr>
          <w:spacing w:val="-4"/>
        </w:rPr>
        <w:t> </w:t>
      </w:r>
      <w:r>
        <w:rPr/>
        <w:t>box,</w:t>
      </w:r>
      <w:r>
        <w:rPr>
          <w:spacing w:val="-4"/>
        </w:rPr>
        <w:t> </w:t>
      </w:r>
      <w:r>
        <w:rPr/>
        <w:t>it</w:t>
      </w:r>
      <w:r>
        <w:rPr>
          <w:spacing w:val="-2"/>
        </w:rPr>
        <w:t> </w:t>
      </w:r>
      <w:r>
        <w:rPr/>
        <w:t>must</w:t>
      </w:r>
      <w:r>
        <w:rPr>
          <w:spacing w:val="-2"/>
        </w:rPr>
        <w:t> </w:t>
      </w:r>
      <w:r>
        <w:rPr/>
        <w:t>include</w:t>
      </w:r>
      <w:r>
        <w:rPr>
          <w:spacing w:val="-4"/>
        </w:rPr>
        <w:t> </w:t>
      </w:r>
      <w:r>
        <w:rPr/>
        <w:t>a</w:t>
      </w:r>
      <w:r>
        <w:rPr>
          <w:spacing w:val="-4"/>
        </w:rPr>
        <w:t> </w:t>
      </w:r>
      <w:r>
        <w:rPr/>
        <w:t>count</w:t>
      </w:r>
      <w:r>
        <w:rPr>
          <w:spacing w:val="-5"/>
        </w:rPr>
        <w:t> </w:t>
      </w:r>
      <w:r>
        <w:rPr/>
        <w:t>declara- tion (e.g., 1 sponge) unless the statement of identity clearly expresses the fact that only one unit is contained in the package. A package containing two or more units shall bear a statement in terms of count (e.g., 2 sponges). A</w:t>
      </w:r>
      <w:r>
        <w:rPr>
          <w:spacing w:val="-12"/>
        </w:rPr>
        <w:t> </w:t>
      </w:r>
      <w:r>
        <w:rPr/>
        <w:t>transparent</w:t>
      </w:r>
      <w:r>
        <w:rPr>
          <w:spacing w:val="-10"/>
        </w:rPr>
        <w:t> </w:t>
      </w:r>
      <w:r>
        <w:rPr/>
        <w:t>bag</w:t>
      </w:r>
      <w:r>
        <w:rPr>
          <w:spacing w:val="-11"/>
        </w:rPr>
        <w:t> </w:t>
      </w:r>
      <w:r>
        <w:rPr/>
        <w:t>of</w:t>
      </w:r>
      <w:r>
        <w:rPr>
          <w:spacing w:val="-11"/>
        </w:rPr>
        <w:t> </w:t>
      </w:r>
      <w:r>
        <w:rPr/>
        <w:t>small</w:t>
      </w:r>
      <w:r>
        <w:rPr>
          <w:spacing w:val="-10"/>
        </w:rPr>
        <w:t> </w:t>
      </w:r>
      <w:r>
        <w:rPr/>
        <w:t>pieces</w:t>
      </w:r>
      <w:r>
        <w:rPr>
          <w:spacing w:val="-11"/>
        </w:rPr>
        <w:t> </w:t>
      </w:r>
      <w:r>
        <w:rPr/>
        <w:t>of</w:t>
      </w:r>
      <w:r>
        <w:rPr>
          <w:spacing w:val="-12"/>
        </w:rPr>
        <w:t> </w:t>
      </w:r>
      <w:r>
        <w:rPr/>
        <w:t>sponge</w:t>
      </w:r>
      <w:r>
        <w:rPr>
          <w:spacing w:val="-8"/>
        </w:rPr>
        <w:t> </w:t>
      </w:r>
      <w:r>
        <w:rPr/>
        <w:t>may</w:t>
      </w:r>
      <w:r>
        <w:rPr>
          <w:spacing w:val="-13"/>
        </w:rPr>
        <w:t> </w:t>
      </w:r>
      <w:r>
        <w:rPr/>
        <w:t>be</w:t>
      </w:r>
      <w:r>
        <w:rPr>
          <w:spacing w:val="-10"/>
        </w:rPr>
        <w:t> </w:t>
      </w:r>
      <w:r>
        <w:rPr/>
        <w:t>sold</w:t>
      </w:r>
      <w:r>
        <w:rPr>
          <w:spacing w:val="-9"/>
        </w:rPr>
        <w:t> </w:t>
      </w:r>
      <w:r>
        <w:rPr/>
        <w:t>on</w:t>
      </w:r>
      <w:r>
        <w:rPr>
          <w:spacing w:val="-11"/>
        </w:rPr>
        <w:t> </w:t>
      </w:r>
      <w:r>
        <w:rPr/>
        <w:t>the</w:t>
      </w:r>
      <w:r>
        <w:rPr>
          <w:spacing w:val="-10"/>
        </w:rPr>
        <w:t> </w:t>
      </w:r>
      <w:r>
        <w:rPr/>
        <w:t>basis</w:t>
      </w:r>
      <w:r>
        <w:rPr>
          <w:spacing w:val="-10"/>
        </w:rPr>
        <w:t> </w:t>
      </w:r>
      <w:r>
        <w:rPr/>
        <w:t>of</w:t>
      </w:r>
      <w:r>
        <w:rPr>
          <w:spacing w:val="-12"/>
        </w:rPr>
        <w:t> </w:t>
      </w:r>
      <w:r>
        <w:rPr/>
        <w:t>count</w:t>
      </w:r>
      <w:r>
        <w:rPr>
          <w:spacing w:val="-10"/>
        </w:rPr>
        <w:t> </w:t>
      </w:r>
      <w:r>
        <w:rPr/>
        <w:t>if</w:t>
      </w:r>
      <w:r>
        <w:rPr>
          <w:spacing w:val="-12"/>
        </w:rPr>
        <w:t> </w:t>
      </w:r>
      <w:r>
        <w:rPr/>
        <w:t>the</w:t>
      </w:r>
      <w:r>
        <w:rPr>
          <w:spacing w:val="-7"/>
        </w:rPr>
        <w:t> </w:t>
      </w:r>
      <w:r>
        <w:rPr/>
        <w:t>words</w:t>
      </w:r>
      <w:r>
        <w:rPr>
          <w:spacing w:val="-11"/>
        </w:rPr>
        <w:t> </w:t>
      </w:r>
      <w:r>
        <w:rPr/>
        <w:t>“Irregular</w:t>
      </w:r>
      <w:r>
        <w:rPr>
          <w:spacing w:val="-9"/>
        </w:rPr>
        <w:t> </w:t>
      </w:r>
      <w:r>
        <w:rPr/>
        <w:t>Dimensions”</w:t>
      </w:r>
      <w:bookmarkStart w:name="_bookmark30" w:id="55"/>
      <w:bookmarkEnd w:id="55"/>
      <w:r>
        <w:rPr/>
      </w:r>
      <w:r>
        <w:rPr/>
        <w:t> appear in conjunction with the declaration of count (e.g., 10 Sponges - Irregular</w:t>
      </w:r>
      <w:r>
        <w:rPr>
          <w:spacing w:val="-11"/>
        </w:rPr>
        <w:t> </w:t>
      </w:r>
      <w:r>
        <w:rPr/>
        <w:t>Dimensions).</w:t>
      </w:r>
    </w:p>
    <w:p>
      <w:pPr>
        <w:pStyle w:val="BodyText"/>
        <w:spacing w:before="4"/>
        <w:rPr>
          <w:sz w:val="31"/>
        </w:rPr>
      </w:pPr>
    </w:p>
    <w:p>
      <w:pPr>
        <w:pStyle w:val="Heading1"/>
        <w:numPr>
          <w:ilvl w:val="2"/>
          <w:numId w:val="12"/>
        </w:numPr>
        <w:tabs>
          <w:tab w:pos="831" w:val="left" w:leader="none"/>
        </w:tabs>
        <w:spacing w:line="240" w:lineRule="auto" w:before="0" w:after="0"/>
        <w:ind w:left="830" w:right="0" w:hanging="650"/>
        <w:jc w:val="left"/>
      </w:pPr>
      <w:r>
        <w:rPr/>
        <w:t>Minimum Fuel Flush for Octane</w:t>
      </w:r>
      <w:r>
        <w:rPr>
          <w:spacing w:val="-4"/>
        </w:rPr>
        <w:t> </w:t>
      </w:r>
      <w:r>
        <w:rPr/>
        <w:t>Verification.</w:t>
      </w:r>
    </w:p>
    <w:p>
      <w:pPr>
        <w:pStyle w:val="BodyText"/>
        <w:ind w:left="180"/>
      </w:pPr>
      <w:r>
        <w:rPr/>
        <w:t>(L&amp;R, 2000, p. L&amp;R 13)</w:t>
      </w:r>
    </w:p>
    <w:p>
      <w:pPr>
        <w:pStyle w:val="BodyText"/>
        <w:spacing w:before="10"/>
      </w:pPr>
    </w:p>
    <w:p>
      <w:pPr>
        <w:pStyle w:val="BodyText"/>
        <w:spacing w:before="1"/>
        <w:ind w:left="179"/>
      </w:pPr>
      <w:r>
        <w:rPr/>
        <w:t>A minimum of 1.2 L (0.3 gal) of motor fuel shall be flushed from a dispenser before taking a sample for octane verification. The flush shall be returned to the storage tank containing the lowest octane.</w:t>
      </w:r>
    </w:p>
    <w:p>
      <w:pPr>
        <w:pStyle w:val="BodyText"/>
        <w:rPr>
          <w:sz w:val="22"/>
        </w:rPr>
      </w:pPr>
    </w:p>
    <w:p>
      <w:pPr>
        <w:pStyle w:val="BodyText"/>
        <w:spacing w:before="9"/>
        <w:rPr>
          <w:sz w:val="19"/>
        </w:rPr>
      </w:pPr>
    </w:p>
    <w:p>
      <w:pPr>
        <w:spacing w:before="0"/>
        <w:ind w:left="179" w:right="349" w:firstLine="0"/>
        <w:jc w:val="left"/>
        <w:rPr>
          <w:sz w:val="20"/>
        </w:rPr>
      </w:pPr>
      <w:r>
        <w:rPr>
          <w:b/>
          <w:sz w:val="20"/>
        </w:rPr>
        <w:t>To find the history on the following Sections, please refer to past “Reports of the National Conference on Weights and Measures” (</w:t>
      </w:r>
      <w:hyperlink r:id="rId55">
        <w:r>
          <w:rPr>
            <w:b/>
            <w:i/>
            <w:sz w:val="20"/>
          </w:rPr>
          <w:t>www.nist.gov/pml/weights-and-measures/publications/ncwm-annual-report</w:t>
        </w:r>
      </w:hyperlink>
      <w:r>
        <w:rPr>
          <w:b/>
          <w:i/>
          <w:sz w:val="20"/>
        </w:rPr>
        <w:t>s)</w:t>
      </w:r>
      <w:r>
        <w:rPr>
          <w:sz w:val="20"/>
        </w:rPr>
        <w:t>:</w:t>
      </w:r>
    </w:p>
    <w:p>
      <w:pPr>
        <w:pStyle w:val="BodyText"/>
        <w:spacing w:before="8"/>
      </w:pPr>
    </w:p>
    <w:p>
      <w:pPr>
        <w:pStyle w:val="ListParagraph"/>
        <w:numPr>
          <w:ilvl w:val="2"/>
          <w:numId w:val="30"/>
        </w:numPr>
        <w:tabs>
          <w:tab w:pos="899" w:val="left" w:leader="none"/>
          <w:tab w:pos="900" w:val="left" w:leader="none"/>
        </w:tabs>
        <w:spacing w:line="240" w:lineRule="auto" w:before="0" w:after="0"/>
        <w:ind w:left="899" w:right="0" w:hanging="720"/>
        <w:jc w:val="left"/>
        <w:rPr>
          <w:sz w:val="20"/>
        </w:rPr>
      </w:pPr>
      <w:r>
        <w:rPr>
          <w:sz w:val="20"/>
        </w:rPr>
        <w:t>Weight(s) and/or</w:t>
      </w:r>
      <w:r>
        <w:rPr>
          <w:spacing w:val="1"/>
          <w:sz w:val="20"/>
        </w:rPr>
        <w:t> </w:t>
      </w:r>
      <w:r>
        <w:rPr>
          <w:sz w:val="20"/>
        </w:rPr>
        <w:t>Measure(s).</w:t>
      </w:r>
    </w:p>
    <w:p>
      <w:pPr>
        <w:pStyle w:val="ListParagraph"/>
        <w:numPr>
          <w:ilvl w:val="2"/>
          <w:numId w:val="30"/>
        </w:numPr>
        <w:tabs>
          <w:tab w:pos="899" w:val="left" w:leader="none"/>
          <w:tab w:pos="900" w:val="left" w:leader="none"/>
        </w:tabs>
        <w:spacing w:line="240" w:lineRule="auto" w:before="121" w:after="0"/>
        <w:ind w:left="899" w:right="0" w:hanging="720"/>
        <w:jc w:val="left"/>
        <w:rPr>
          <w:sz w:val="20"/>
        </w:rPr>
      </w:pPr>
      <w:r>
        <w:rPr>
          <w:sz w:val="20"/>
        </w:rPr>
        <w:t>Section 19(a),</w:t>
      </w:r>
      <w:r>
        <w:rPr>
          <w:spacing w:val="-1"/>
          <w:sz w:val="20"/>
        </w:rPr>
        <w:t> </w:t>
      </w:r>
      <w:r>
        <w:rPr>
          <w:sz w:val="20"/>
        </w:rPr>
        <w:t>Identity.</w:t>
      </w:r>
    </w:p>
    <w:p>
      <w:pPr>
        <w:pStyle w:val="ListParagraph"/>
        <w:numPr>
          <w:ilvl w:val="2"/>
          <w:numId w:val="30"/>
        </w:numPr>
        <w:tabs>
          <w:tab w:pos="899" w:val="left" w:leader="none"/>
          <w:tab w:pos="900" w:val="left" w:leader="none"/>
        </w:tabs>
        <w:spacing w:line="240" w:lineRule="auto" w:before="120" w:after="0"/>
        <w:ind w:left="899" w:right="0" w:hanging="720"/>
        <w:jc w:val="left"/>
        <w:rPr>
          <w:sz w:val="20"/>
        </w:rPr>
      </w:pPr>
      <w:r>
        <w:rPr>
          <w:sz w:val="20"/>
        </w:rPr>
        <w:t>Definition of Net</w:t>
      </w:r>
      <w:r>
        <w:rPr>
          <w:spacing w:val="-4"/>
          <w:sz w:val="20"/>
        </w:rPr>
        <w:t> </w:t>
      </w:r>
      <w:r>
        <w:rPr>
          <w:sz w:val="20"/>
        </w:rPr>
        <w:t>Weight.</w:t>
      </w:r>
    </w:p>
    <w:p>
      <w:pPr>
        <w:pStyle w:val="ListParagraph"/>
        <w:numPr>
          <w:ilvl w:val="2"/>
          <w:numId w:val="31"/>
        </w:numPr>
        <w:tabs>
          <w:tab w:pos="898" w:val="left" w:leader="none"/>
          <w:tab w:pos="899" w:val="left" w:leader="none"/>
        </w:tabs>
        <w:spacing w:line="240" w:lineRule="auto" w:before="121" w:after="0"/>
        <w:ind w:left="898" w:right="0" w:hanging="719"/>
        <w:jc w:val="left"/>
        <w:rPr>
          <w:sz w:val="20"/>
        </w:rPr>
      </w:pPr>
      <w:r>
        <w:rPr>
          <w:sz w:val="20"/>
        </w:rPr>
        <w:t>Gift</w:t>
      </w:r>
      <w:r>
        <w:rPr>
          <w:spacing w:val="-1"/>
          <w:sz w:val="20"/>
        </w:rPr>
        <w:t> </w:t>
      </w:r>
      <w:r>
        <w:rPr>
          <w:sz w:val="20"/>
        </w:rPr>
        <w:t>Packages.</w:t>
      </w:r>
    </w:p>
    <w:p>
      <w:pPr>
        <w:pStyle w:val="ListParagraph"/>
        <w:numPr>
          <w:ilvl w:val="2"/>
          <w:numId w:val="31"/>
        </w:numPr>
        <w:tabs>
          <w:tab w:pos="898" w:val="left" w:leader="none"/>
          <w:tab w:pos="899" w:val="left" w:leader="none"/>
        </w:tabs>
        <w:spacing w:line="240" w:lineRule="auto" w:before="120" w:after="0"/>
        <w:ind w:left="898" w:right="0" w:hanging="720"/>
        <w:jc w:val="left"/>
        <w:rPr>
          <w:sz w:val="20"/>
        </w:rPr>
      </w:pPr>
      <w:r>
        <w:rPr>
          <w:sz w:val="20"/>
        </w:rPr>
        <w:t>Sand.</w:t>
      </w:r>
    </w:p>
    <w:p>
      <w:pPr>
        <w:pStyle w:val="ListParagraph"/>
        <w:numPr>
          <w:ilvl w:val="2"/>
          <w:numId w:val="31"/>
        </w:numPr>
        <w:tabs>
          <w:tab w:pos="898" w:val="left" w:leader="none"/>
          <w:tab w:pos="899" w:val="left" w:leader="none"/>
        </w:tabs>
        <w:spacing w:line="240" w:lineRule="auto" w:before="117" w:after="0"/>
        <w:ind w:left="898" w:right="0" w:hanging="720"/>
        <w:jc w:val="left"/>
        <w:rPr>
          <w:sz w:val="20"/>
        </w:rPr>
      </w:pPr>
      <w:r>
        <w:rPr>
          <w:position w:val="2"/>
          <w:sz w:val="20"/>
        </w:rPr>
        <w:t>Sold by </w:t>
      </w:r>
      <w:r>
        <w:rPr>
          <w:position w:val="2"/>
          <w:sz w:val="20"/>
          <w:vertAlign w:val="superscript"/>
        </w:rPr>
        <w:t>4</w:t>
      </w:r>
      <w:r>
        <w:rPr>
          <w:position w:val="2"/>
          <w:sz w:val="20"/>
          <w:vertAlign w:val="baseline"/>
        </w:rPr>
        <w:t>/</w:t>
      </w:r>
      <w:r>
        <w:rPr>
          <w:sz w:val="13"/>
          <w:vertAlign w:val="baseline"/>
        </w:rPr>
        <w:t>5</w:t>
      </w:r>
      <w:r>
        <w:rPr>
          <w:spacing w:val="16"/>
          <w:sz w:val="13"/>
          <w:vertAlign w:val="baseline"/>
        </w:rPr>
        <w:t> </w:t>
      </w:r>
      <w:r>
        <w:rPr>
          <w:position w:val="2"/>
          <w:sz w:val="20"/>
          <w:vertAlign w:val="baseline"/>
        </w:rPr>
        <w:t>Bushel.</w:t>
      </w:r>
    </w:p>
    <w:p>
      <w:pPr>
        <w:pStyle w:val="ListParagraph"/>
        <w:numPr>
          <w:ilvl w:val="2"/>
          <w:numId w:val="32"/>
        </w:numPr>
        <w:tabs>
          <w:tab w:pos="899" w:val="left" w:leader="none"/>
          <w:tab w:pos="900" w:val="left" w:leader="none"/>
        </w:tabs>
        <w:spacing w:line="240" w:lineRule="auto" w:before="101" w:after="0"/>
        <w:ind w:left="899" w:right="0" w:hanging="720"/>
        <w:jc w:val="left"/>
        <w:rPr>
          <w:sz w:val="20"/>
        </w:rPr>
      </w:pPr>
      <w:r>
        <w:rPr>
          <w:sz w:val="20"/>
        </w:rPr>
        <w:t>Lot, Shipment, or</w:t>
      </w:r>
      <w:r>
        <w:rPr>
          <w:spacing w:val="2"/>
          <w:sz w:val="20"/>
        </w:rPr>
        <w:t> </w:t>
      </w:r>
      <w:r>
        <w:rPr>
          <w:sz w:val="20"/>
        </w:rPr>
        <w:t>Delivery.</w:t>
      </w:r>
    </w:p>
    <w:p>
      <w:pPr>
        <w:pStyle w:val="ListParagraph"/>
        <w:numPr>
          <w:ilvl w:val="2"/>
          <w:numId w:val="32"/>
        </w:numPr>
        <w:tabs>
          <w:tab w:pos="899" w:val="left" w:leader="none"/>
          <w:tab w:pos="900" w:val="left" w:leader="none"/>
        </w:tabs>
        <w:spacing w:line="240" w:lineRule="auto" w:before="121" w:after="0"/>
        <w:ind w:left="899" w:right="0" w:hanging="720"/>
        <w:jc w:val="left"/>
        <w:rPr>
          <w:sz w:val="20"/>
        </w:rPr>
      </w:pPr>
      <w:r>
        <w:rPr>
          <w:sz w:val="20"/>
        </w:rPr>
        <w:t>Aerosols and Similar Pressurized</w:t>
      </w:r>
      <w:r>
        <w:rPr>
          <w:spacing w:val="1"/>
          <w:sz w:val="20"/>
        </w:rPr>
        <w:t> </w:t>
      </w:r>
      <w:r>
        <w:rPr>
          <w:sz w:val="20"/>
        </w:rPr>
        <w:t>Containers.</w:t>
      </w:r>
    </w:p>
    <w:p>
      <w:pPr>
        <w:pStyle w:val="ListParagraph"/>
        <w:numPr>
          <w:ilvl w:val="2"/>
          <w:numId w:val="32"/>
        </w:numPr>
        <w:tabs>
          <w:tab w:pos="899" w:val="left" w:leader="none"/>
          <w:tab w:pos="900" w:val="left" w:leader="none"/>
        </w:tabs>
        <w:spacing w:line="240" w:lineRule="auto" w:before="120" w:after="0"/>
        <w:ind w:left="899" w:right="0" w:hanging="720"/>
        <w:jc w:val="left"/>
        <w:rPr>
          <w:sz w:val="20"/>
        </w:rPr>
      </w:pPr>
      <w:r>
        <w:rPr>
          <w:sz w:val="20"/>
        </w:rPr>
        <w:t>Aerosol Packaged Products.</w:t>
      </w:r>
    </w:p>
    <w:p>
      <w:pPr>
        <w:spacing w:after="0" w:line="240" w:lineRule="auto"/>
        <w:jc w:val="left"/>
        <w:rPr>
          <w:sz w:val="20"/>
        </w:rPr>
        <w:sectPr>
          <w:pgSz w:w="12240" w:h="15840"/>
          <w:pgMar w:header="730" w:footer="741" w:top="1340" w:bottom="940" w:left="1260" w:right="1020"/>
        </w:sectPr>
      </w:pPr>
    </w:p>
    <w:p>
      <w:pPr>
        <w:pStyle w:val="BodyText"/>
        <w:spacing w:before="1"/>
        <w:rPr>
          <w:sz w:val="17"/>
        </w:rPr>
      </w:pPr>
    </w:p>
    <w:p>
      <w:pPr>
        <w:pStyle w:val="ListParagraph"/>
        <w:numPr>
          <w:ilvl w:val="2"/>
          <w:numId w:val="32"/>
        </w:numPr>
        <w:tabs>
          <w:tab w:pos="899" w:val="left" w:leader="none"/>
          <w:tab w:pos="900" w:val="left" w:leader="none"/>
        </w:tabs>
        <w:spacing w:line="240" w:lineRule="auto" w:before="91" w:after="0"/>
        <w:ind w:left="899" w:right="0" w:hanging="719"/>
        <w:jc w:val="left"/>
        <w:rPr>
          <w:sz w:val="20"/>
        </w:rPr>
      </w:pPr>
      <w:r>
        <w:rPr>
          <w:sz w:val="20"/>
        </w:rPr>
        <w:t>Variety and Combination</w:t>
      </w:r>
      <w:r>
        <w:rPr>
          <w:spacing w:val="-5"/>
          <w:sz w:val="20"/>
        </w:rPr>
        <w:t> </w:t>
      </w:r>
      <w:r>
        <w:rPr>
          <w:sz w:val="20"/>
        </w:rPr>
        <w:t>Packages.</w:t>
      </w:r>
    </w:p>
    <w:p>
      <w:pPr>
        <w:pStyle w:val="ListParagraph"/>
        <w:numPr>
          <w:ilvl w:val="2"/>
          <w:numId w:val="32"/>
        </w:numPr>
        <w:tabs>
          <w:tab w:pos="899" w:val="left" w:leader="none"/>
          <w:tab w:pos="900" w:val="left" w:leader="none"/>
        </w:tabs>
        <w:spacing w:line="240" w:lineRule="auto" w:before="121" w:after="0"/>
        <w:ind w:left="899" w:right="0" w:hanging="719"/>
        <w:jc w:val="left"/>
        <w:rPr>
          <w:sz w:val="20"/>
        </w:rPr>
      </w:pPr>
      <w:r>
        <w:rPr>
          <w:sz w:val="20"/>
        </w:rPr>
        <w:t>Textile</w:t>
      </w:r>
      <w:r>
        <w:rPr>
          <w:spacing w:val="-1"/>
          <w:sz w:val="20"/>
        </w:rPr>
        <w:t> </w:t>
      </w:r>
      <w:r>
        <w:rPr>
          <w:sz w:val="20"/>
        </w:rPr>
        <w:t>Products.</w:t>
      </w:r>
    </w:p>
    <w:p>
      <w:pPr>
        <w:pStyle w:val="ListParagraph"/>
        <w:numPr>
          <w:ilvl w:val="2"/>
          <w:numId w:val="32"/>
        </w:numPr>
        <w:tabs>
          <w:tab w:pos="900" w:val="left" w:leader="none"/>
        </w:tabs>
        <w:spacing w:line="240" w:lineRule="auto" w:before="120" w:after="0"/>
        <w:ind w:left="899" w:right="0" w:hanging="720"/>
        <w:jc w:val="left"/>
        <w:rPr>
          <w:sz w:val="20"/>
        </w:rPr>
      </w:pPr>
      <w:r>
        <w:rPr>
          <w:sz w:val="20"/>
        </w:rPr>
        <w:t>Yarn.</w:t>
      </w:r>
    </w:p>
    <w:p>
      <w:pPr>
        <w:pStyle w:val="ListParagraph"/>
        <w:numPr>
          <w:ilvl w:val="2"/>
          <w:numId w:val="32"/>
        </w:numPr>
        <w:tabs>
          <w:tab w:pos="900" w:val="left" w:leader="none"/>
        </w:tabs>
        <w:spacing w:line="240" w:lineRule="auto" w:before="120" w:after="0"/>
        <w:ind w:left="899" w:right="0" w:hanging="720"/>
        <w:jc w:val="left"/>
        <w:rPr>
          <w:sz w:val="20"/>
        </w:rPr>
      </w:pPr>
      <w:r>
        <w:rPr>
          <w:sz w:val="20"/>
        </w:rPr>
        <w:t>Tint Base</w:t>
      </w:r>
      <w:r>
        <w:rPr>
          <w:spacing w:val="-1"/>
          <w:sz w:val="20"/>
        </w:rPr>
        <w:t> </w:t>
      </w:r>
      <w:r>
        <w:rPr>
          <w:sz w:val="20"/>
        </w:rPr>
        <w:t>Paint.</w:t>
      </w:r>
    </w:p>
    <w:p>
      <w:pPr>
        <w:pStyle w:val="ListParagraph"/>
        <w:numPr>
          <w:ilvl w:val="2"/>
          <w:numId w:val="32"/>
        </w:numPr>
        <w:tabs>
          <w:tab w:pos="900" w:val="left" w:leader="none"/>
        </w:tabs>
        <w:spacing w:line="240" w:lineRule="auto" w:before="118" w:after="0"/>
        <w:ind w:left="899" w:right="421" w:hanging="720"/>
        <w:jc w:val="left"/>
        <w:rPr>
          <w:sz w:val="20"/>
        </w:rPr>
      </w:pPr>
      <w:r>
        <w:rPr>
          <w:sz w:val="20"/>
        </w:rPr>
        <w:t>Reference Temperature for Refrigerated Products: When a Product is Required to be Maintained Under Refrigeration.</w:t>
      </w:r>
    </w:p>
    <w:p>
      <w:pPr>
        <w:pStyle w:val="BodyText"/>
        <w:tabs>
          <w:tab w:pos="899" w:val="left" w:leader="none"/>
        </w:tabs>
        <w:spacing w:before="121"/>
        <w:ind w:left="179"/>
      </w:pPr>
      <w:r>
        <w:rPr/>
        <w:t>2.3.9.</w:t>
        <w:tab/>
        <w:t>Fireplace</w:t>
      </w:r>
      <w:r>
        <w:rPr>
          <w:spacing w:val="-1"/>
        </w:rPr>
        <w:t> </w:t>
      </w:r>
      <w:r>
        <w:rPr/>
        <w:t>Logs.</w:t>
      </w:r>
    </w:p>
    <w:p>
      <w:pPr>
        <w:pStyle w:val="ListParagraph"/>
        <w:numPr>
          <w:ilvl w:val="2"/>
          <w:numId w:val="33"/>
        </w:numPr>
        <w:tabs>
          <w:tab w:pos="900" w:val="left" w:leader="none"/>
        </w:tabs>
        <w:spacing w:line="240" w:lineRule="auto" w:before="121" w:after="0"/>
        <w:ind w:left="899" w:right="0" w:hanging="720"/>
        <w:jc w:val="left"/>
        <w:rPr>
          <w:sz w:val="20"/>
        </w:rPr>
      </w:pPr>
      <w:r>
        <w:rPr>
          <w:sz w:val="20"/>
        </w:rPr>
        <w:t>Packaged Foods or Cosmetics Sold from Vending</w:t>
      </w:r>
      <w:r>
        <w:rPr>
          <w:spacing w:val="-3"/>
          <w:sz w:val="20"/>
        </w:rPr>
        <w:t> </w:t>
      </w:r>
      <w:r>
        <w:rPr>
          <w:sz w:val="20"/>
        </w:rPr>
        <w:t>Machines.</w:t>
      </w:r>
    </w:p>
    <w:p>
      <w:pPr>
        <w:pStyle w:val="ListParagraph"/>
        <w:numPr>
          <w:ilvl w:val="2"/>
          <w:numId w:val="33"/>
        </w:numPr>
        <w:tabs>
          <w:tab w:pos="900" w:val="left" w:leader="none"/>
        </w:tabs>
        <w:spacing w:line="240" w:lineRule="auto" w:before="120" w:after="0"/>
        <w:ind w:left="899" w:right="0" w:hanging="720"/>
        <w:jc w:val="left"/>
        <w:rPr>
          <w:sz w:val="20"/>
        </w:rPr>
      </w:pPr>
      <w:r>
        <w:rPr>
          <w:sz w:val="20"/>
        </w:rPr>
        <w:t>Movie Films, Tapes,</w:t>
      </w:r>
      <w:r>
        <w:rPr>
          <w:spacing w:val="1"/>
          <w:sz w:val="20"/>
        </w:rPr>
        <w:t> </w:t>
      </w:r>
      <w:r>
        <w:rPr>
          <w:sz w:val="20"/>
        </w:rPr>
        <w:t>Cassettes.</w:t>
      </w:r>
    </w:p>
    <w:p>
      <w:pPr>
        <w:spacing w:after="0" w:line="240" w:lineRule="auto"/>
        <w:jc w:val="left"/>
        <w:rPr>
          <w:sz w:val="20"/>
        </w:rPr>
        <w:sectPr>
          <w:pgSz w:w="12240" w:h="15840"/>
          <w:pgMar w:header="730" w:footer="740" w:top="1340" w:bottom="940" w:left="1260" w:right="10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21"/>
        </w:rPr>
      </w:pPr>
    </w:p>
    <w:p>
      <w:pPr>
        <w:pStyle w:val="BodyText"/>
        <w:ind w:left="2887"/>
      </w:pPr>
      <w:r>
        <w:rPr/>
        <w:t>THIS PAGE INTENTIONALLY LEFT BLANK</w:t>
      </w:r>
    </w:p>
    <w:sectPr>
      <w:footerReference w:type="even" r:id="rId56"/>
      <w:pgSz w:w="12240" w:h="15840"/>
      <w:pgMar w:footer="741" w:header="730" w:top="1340" w:bottom="940" w:left="12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mbria Math">
    <w:altName w:val="Cambria Math"/>
    <w:charset w:val="0"/>
    <w:family w:val="roman"/>
    <w:pitch w:val="variable"/>
  </w:font>
  <w:font w:name="Century">
    <w:altName w:val="Century"/>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79126pt;width:19.150pt;height:13.05pt;mso-position-horizontal-relative:page;mso-position-vertical-relative:page;z-index:-99208" type="#_x0000_t202" filled="false" stroked="false">
          <v:textbox inset="0,0,0,0">
            <w:txbxContent>
              <w:p>
                <w:pPr>
                  <w:pStyle w:val="BodyText"/>
                  <w:spacing w:before="10"/>
                  <w:ind w:left="40"/>
                </w:pPr>
                <w:r>
                  <w:rPr/>
                  <w:fldChar w:fldCharType="begin"/>
                </w:r>
                <w:r>
                  <w:rPr/>
                  <w:instrText> PAGE </w:instrText>
                </w:r>
                <w:r>
                  <w:rPr/>
                  <w:fldChar w:fldCharType="separate"/>
                </w:r>
                <w:r>
                  <w:rPr/>
                  <w:t>245</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79126pt;width:19.150pt;height:13.05pt;mso-position-horizontal-relative:page;mso-position-vertical-relative:page;z-index:-98992" type="#_x0000_t202" filled="false" stroked="false">
          <v:textbox inset="0,0,0,0">
            <w:txbxContent>
              <w:p>
                <w:pPr>
                  <w:pStyle w:val="BodyText"/>
                  <w:spacing w:before="10"/>
                  <w:ind w:left="40"/>
                </w:pPr>
                <w:r>
                  <w:rPr/>
                  <w:fldChar w:fldCharType="begin"/>
                </w:r>
                <w:r>
                  <w:rPr/>
                  <w:instrText> PAGE </w:instrText>
                </w:r>
                <w:r>
                  <w:rPr/>
                  <w:fldChar w:fldCharType="separate"/>
                </w:r>
                <w:r>
                  <w:rPr/>
                  <w:t>263</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69177pt;width:17.150pt;height:13.05pt;mso-position-horizontal-relative:page;mso-position-vertical-relative:page;z-index:-98968" type="#_x0000_t202" filled="false" stroked="false">
          <v:textbox inset="0,0,0,0">
            <w:txbxContent>
              <w:p>
                <w:pPr>
                  <w:pStyle w:val="BodyText"/>
                  <w:spacing w:before="10"/>
                  <w:ind w:left="20"/>
                </w:pPr>
                <w:r>
                  <w:rPr/>
                  <w:t>270</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79126pt;width:17.150pt;height:13.05pt;mso-position-horizontal-relative:page;mso-position-vertical-relative:page;z-index:-98944" type="#_x0000_t202" filled="false" stroked="false">
          <v:textbox inset="0,0,0,0">
            <w:txbxContent>
              <w:p>
                <w:pPr>
                  <w:pStyle w:val="BodyText"/>
                  <w:spacing w:before="10"/>
                  <w:ind w:left="20"/>
                </w:pPr>
                <w:r>
                  <w:rPr/>
                  <w:t>271</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69177pt;width:19.150pt;height:13.05pt;mso-position-horizontal-relative:page;mso-position-vertical-relative:page;z-index:-98920" type="#_x0000_t202" filled="false" stroked="false">
          <v:textbox inset="0,0,0,0">
            <w:txbxContent>
              <w:p>
                <w:pPr>
                  <w:pStyle w:val="BodyText"/>
                  <w:spacing w:before="10"/>
                  <w:ind w:left="40"/>
                </w:pPr>
                <w:r>
                  <w:rPr/>
                  <w:fldChar w:fldCharType="begin"/>
                </w:r>
                <w:r>
                  <w:rPr/>
                  <w:instrText> PAGE </w:instrText>
                </w:r>
                <w:r>
                  <w:rPr/>
                  <w:fldChar w:fldCharType="separate"/>
                </w:r>
                <w:r>
                  <w:rPr/>
                  <w:t>272</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79126pt;width:19.150pt;height:13.05pt;mso-position-horizontal-relative:page;mso-position-vertical-relative:page;z-index:-98896" type="#_x0000_t202" filled="false" stroked="false">
          <v:textbox inset="0,0,0,0">
            <w:txbxContent>
              <w:p>
                <w:pPr>
                  <w:pStyle w:val="BodyText"/>
                  <w:spacing w:before="10"/>
                  <w:ind w:left="40"/>
                </w:pPr>
                <w:r>
                  <w:rPr/>
                  <w:fldChar w:fldCharType="begin"/>
                </w:r>
                <w:r>
                  <w:rPr/>
                  <w:instrText> PAGE </w:instrText>
                </w:r>
                <w:r>
                  <w:rPr/>
                  <w:fldChar w:fldCharType="separate"/>
                </w:r>
                <w:r>
                  <w:rPr/>
                  <w:t>273</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69177pt;width:17.150pt;height:13.05pt;mso-position-horizontal-relative:page;mso-position-vertical-relative:page;z-index:-98872" type="#_x0000_t202" filled="false" stroked="false">
          <v:textbox inset="0,0,0,0">
            <w:txbxContent>
              <w:p>
                <w:pPr>
                  <w:pStyle w:val="BodyText"/>
                  <w:spacing w:before="10"/>
                  <w:ind w:left="20"/>
                </w:pPr>
                <w:r>
                  <w:rPr/>
                  <w:t>280</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79126pt;width:17.150pt;height:13.05pt;mso-position-horizontal-relative:page;mso-position-vertical-relative:page;z-index:-98848" type="#_x0000_t202" filled="false" stroked="false">
          <v:textbox inset="0,0,0,0">
            <w:txbxContent>
              <w:p>
                <w:pPr>
                  <w:pStyle w:val="BodyText"/>
                  <w:spacing w:before="10"/>
                  <w:ind w:left="20"/>
                </w:pPr>
                <w:r>
                  <w:rPr/>
                  <w:t>281</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69177pt;width:19.150pt;height:13.05pt;mso-position-horizontal-relative:page;mso-position-vertical-relative:page;z-index:-98824" type="#_x0000_t202" filled="false" stroked="false">
          <v:textbox inset="0,0,0,0">
            <w:txbxContent>
              <w:p>
                <w:pPr>
                  <w:pStyle w:val="BodyText"/>
                  <w:spacing w:before="10"/>
                  <w:ind w:left="40"/>
                </w:pPr>
                <w:r>
                  <w:rPr/>
                  <w:fldChar w:fldCharType="begin"/>
                </w:r>
                <w:r>
                  <w:rPr/>
                  <w:instrText> PAGE </w:instrText>
                </w:r>
                <w:r>
                  <w:rPr/>
                  <w:fldChar w:fldCharType="separate"/>
                </w:r>
                <w:r>
                  <w:rPr/>
                  <w:t>282</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79126pt;width:19.150pt;height:13.05pt;mso-position-horizontal-relative:page;mso-position-vertical-relative:page;z-index:-98800" type="#_x0000_t202" filled="false" stroked="false">
          <v:textbox inset="0,0,0,0">
            <w:txbxContent>
              <w:p>
                <w:pPr>
                  <w:pStyle w:val="BodyText"/>
                  <w:spacing w:before="10"/>
                  <w:ind w:left="40"/>
                </w:pPr>
                <w:r>
                  <w:rPr/>
                  <w:fldChar w:fldCharType="begin"/>
                </w:r>
                <w:r>
                  <w:rPr/>
                  <w:instrText> PAGE </w:instrText>
                </w:r>
                <w:r>
                  <w:rPr/>
                  <w:fldChar w:fldCharType="separate"/>
                </w:r>
                <w:r>
                  <w:rPr/>
                  <w:t>283</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69177pt;width:17.150pt;height:13.05pt;mso-position-horizontal-relative:page;mso-position-vertical-relative:page;z-index:-98776" type="#_x0000_t202" filled="false" stroked="false">
          <v:textbox inset="0,0,0,0">
            <w:txbxContent>
              <w:p>
                <w:pPr>
                  <w:pStyle w:val="BodyText"/>
                  <w:spacing w:before="10"/>
                  <w:ind w:left="20"/>
                </w:pPr>
                <w:r>
                  <w:rPr/>
                  <w:t>290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69177pt;width:19.150pt;height:13.05pt;mso-position-horizontal-relative:page;mso-position-vertical-relative:page;z-index:-99184" type="#_x0000_t202" filled="false" stroked="false">
          <v:textbox inset="0,0,0,0">
            <w:txbxContent>
              <w:p>
                <w:pPr>
                  <w:pStyle w:val="BodyText"/>
                  <w:spacing w:before="10"/>
                  <w:ind w:left="40"/>
                </w:pPr>
                <w:r>
                  <w:rPr/>
                  <w:fldChar w:fldCharType="begin"/>
                </w:r>
                <w:r>
                  <w:rPr/>
                  <w:instrText> PAGE </w:instrText>
                </w:r>
                <w:r>
                  <w:rPr/>
                  <w:fldChar w:fldCharType="separate"/>
                </w:r>
                <w:r>
                  <w:rPr/>
                  <w:t>246</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69177pt;width:17.150pt;height:13.05pt;mso-position-horizontal-relative:page;mso-position-vertical-relative:page;z-index:-99160" type="#_x0000_t202" filled="false" stroked="false">
          <v:textbox inset="0,0,0,0">
            <w:txbxContent>
              <w:p>
                <w:pPr>
                  <w:pStyle w:val="BodyText"/>
                  <w:spacing w:before="10"/>
                  <w:ind w:left="20"/>
                </w:pPr>
                <w:r>
                  <w:rPr/>
                  <w:t>250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79126pt;width:17.150pt;height:13.05pt;mso-position-horizontal-relative:page;mso-position-vertical-relative:page;z-index:-99136" type="#_x0000_t202" filled="false" stroked="false">
          <v:textbox inset="0,0,0,0">
            <w:txbxContent>
              <w:p>
                <w:pPr>
                  <w:pStyle w:val="BodyText"/>
                  <w:spacing w:before="10"/>
                  <w:ind w:left="20"/>
                </w:pPr>
                <w:r>
                  <w:rPr/>
                  <w:t>251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69177pt;width:19.150pt;height:13.05pt;mso-position-horizontal-relative:page;mso-position-vertical-relative:page;z-index:-99112" type="#_x0000_t202" filled="false" stroked="false">
          <v:textbox inset="0,0,0,0">
            <w:txbxContent>
              <w:p>
                <w:pPr>
                  <w:pStyle w:val="BodyText"/>
                  <w:spacing w:before="10"/>
                  <w:ind w:left="40"/>
                </w:pPr>
                <w:r>
                  <w:rPr/>
                  <w:fldChar w:fldCharType="begin"/>
                </w:r>
                <w:r>
                  <w:rPr/>
                  <w:instrText> PAGE </w:instrText>
                </w:r>
                <w:r>
                  <w:rPr/>
                  <w:fldChar w:fldCharType="separate"/>
                </w:r>
                <w:r>
                  <w:rPr/>
                  <w:t>252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79126pt;width:19.150pt;height:13.05pt;mso-position-horizontal-relative:page;mso-position-vertical-relative:page;z-index:-99088" type="#_x0000_t202" filled="false" stroked="false">
          <v:textbox inset="0,0,0,0">
            <w:txbxContent>
              <w:p>
                <w:pPr>
                  <w:pStyle w:val="BodyText"/>
                  <w:spacing w:before="10"/>
                  <w:ind w:left="40"/>
                </w:pPr>
                <w:r>
                  <w:rPr/>
                  <w:fldChar w:fldCharType="begin"/>
                </w:r>
                <w:r>
                  <w:rPr/>
                  <w:instrText> PAGE </w:instrText>
                </w:r>
                <w:r>
                  <w:rPr/>
                  <w:fldChar w:fldCharType="separate"/>
                </w:r>
                <w:r>
                  <w:rPr/>
                  <w:t>253</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69177pt;width:17.150pt;height:13.05pt;mso-position-horizontal-relative:page;mso-position-vertical-relative:page;z-index:-99064" type="#_x0000_t202" filled="false" stroked="false">
          <v:textbox inset="0,0,0,0">
            <w:txbxContent>
              <w:p>
                <w:pPr>
                  <w:pStyle w:val="BodyText"/>
                  <w:spacing w:before="10"/>
                  <w:ind w:left="20"/>
                </w:pPr>
                <w:r>
                  <w:rPr/>
                  <w:t>260</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79126pt;width:17.150pt;height:13.05pt;mso-position-horizontal-relative:page;mso-position-vertical-relative:page;z-index:-99040" type="#_x0000_t202" filled="false" stroked="false">
          <v:textbox inset="0,0,0,0">
            <w:txbxContent>
              <w:p>
                <w:pPr>
                  <w:pStyle w:val="BodyText"/>
                  <w:spacing w:before="10"/>
                  <w:ind w:left="20"/>
                </w:pPr>
                <w:r>
                  <w:rPr/>
                  <w:t>261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69177pt;width:19.150pt;height:13.05pt;mso-position-horizontal-relative:page;mso-position-vertical-relative:page;z-index:-99016" type="#_x0000_t202" filled="false" stroked="false">
          <v:textbox inset="0,0,0,0">
            <w:txbxContent>
              <w:p>
                <w:pPr>
                  <w:pStyle w:val="BodyText"/>
                  <w:spacing w:before="10"/>
                  <w:ind w:left="40"/>
                </w:pPr>
                <w:r>
                  <w:rPr/>
                  <w:fldChar w:fldCharType="begin"/>
                </w:r>
                <w:r>
                  <w:rPr/>
                  <w:instrText> PAGE </w:instrText>
                </w:r>
                <w:r>
                  <w:rPr/>
                  <w:fldChar w:fldCharType="separate"/>
                </w:r>
                <w:r>
                  <w:rPr/>
                  <w:t>262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71pt;margin-top:35.484512pt;width:91.3pt;height:13.05pt;mso-position-horizontal-relative:page;mso-position-vertical-relative:page;z-index:-99304" type="#_x0000_t202" filled="false" stroked="false">
          <v:textbox inset="0,0,0,0">
            <w:txbxContent>
              <w:p>
                <w:pPr>
                  <w:pStyle w:val="BodyText"/>
                  <w:spacing w:before="10"/>
                  <w:ind w:left="20"/>
                </w:pPr>
                <w:r>
                  <w:rPr/>
                  <w:t>Handbook 130 – 2020</w:t>
                </w:r>
              </w:p>
            </w:txbxContent>
          </v:textbox>
          <w10:wrap type="none"/>
        </v:shape>
      </w:pict>
    </w:r>
    <w:r>
      <w:rPr/>
      <w:pict>
        <v:shape style="position:absolute;margin-left:337.758667pt;margin-top:35.484512pt;width:203.15pt;height:13.05pt;mso-position-horizontal-relative:page;mso-position-vertical-relative:page;z-index:-99280" type="#_x0000_t202" filled="false" stroked="false">
          <v:textbox inset="0,0,0,0">
            <w:txbxContent>
              <w:p>
                <w:pPr>
                  <w:pStyle w:val="BodyText"/>
                  <w:spacing w:before="10"/>
                  <w:ind w:left="20"/>
                </w:pPr>
                <w:r>
                  <w:rPr/>
                  <w:t>VI.</w:t>
                </w:r>
                <w:r>
                  <w:rPr>
                    <w:spacing w:val="-16"/>
                  </w:rPr>
                  <w:t> </w:t>
                </w:r>
                <w:r>
                  <w:rPr/>
                  <w:t>NCWM</w:t>
                </w:r>
                <w:r>
                  <w:rPr>
                    <w:spacing w:val="-19"/>
                  </w:rPr>
                  <w:t> </w:t>
                </w:r>
                <w:r>
                  <w:rPr/>
                  <w:t>Policy,</w:t>
                </w:r>
                <w:r>
                  <w:rPr>
                    <w:spacing w:val="-15"/>
                  </w:rPr>
                  <w:t> </w:t>
                </w:r>
                <w:r>
                  <w:rPr/>
                  <w:t>Interpretations,</w:t>
                </w:r>
                <w:r>
                  <w:rPr>
                    <w:spacing w:val="-16"/>
                  </w:rPr>
                  <w:t> </w:t>
                </w:r>
                <w:r>
                  <w:rPr/>
                  <w:t>and</w:t>
                </w:r>
                <w:r>
                  <w:rPr>
                    <w:spacing w:val="-16"/>
                  </w:rPr>
                  <w:t> </w:t>
                </w:r>
                <w:r>
                  <w:rPr/>
                  <w:t>Guidelines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206.4pt;height:13.05pt;mso-position-horizontal-relative:page;mso-position-vertical-relative:page;z-index:-99256" type="#_x0000_t202" filled="false" stroked="false">
          <v:textbox inset="0,0,0,0">
            <w:txbxContent>
              <w:p>
                <w:pPr>
                  <w:pStyle w:val="BodyText"/>
                  <w:spacing w:before="10"/>
                  <w:ind w:left="20"/>
                </w:pPr>
                <w:r>
                  <w:rPr/>
                  <w:t>VI. NCWM Policy, Interpretations, and Guidelines</w:t>
                </w:r>
              </w:p>
            </w:txbxContent>
          </v:textbox>
          <w10:wrap type="none"/>
        </v:shape>
      </w:pict>
    </w:r>
    <w:r>
      <w:rPr/>
      <w:pict>
        <v:shape style="position:absolute;margin-left:420.566132pt;margin-top:35.484512pt;width:84.5pt;height:13.05pt;mso-position-horizontal-relative:page;mso-position-vertical-relative:page;z-index:-99232" type="#_x0000_t202" filled="false" stroked="false">
          <v:textbox inset="0,0,0,0">
            <w:txbxContent>
              <w:p>
                <w:pPr>
                  <w:pStyle w:val="BodyText"/>
                  <w:spacing w:before="10"/>
                  <w:ind w:left="20"/>
                </w:pPr>
                <w:r>
                  <w:rPr/>
                  <w:t>Handbook 130-2020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2"/>
      <w:numFmt w:val="decimal"/>
      <w:lvlText w:val="%1"/>
      <w:lvlJc w:val="left"/>
      <w:pPr>
        <w:ind w:left="899" w:hanging="720"/>
        <w:jc w:val="left"/>
      </w:pPr>
      <w:rPr>
        <w:rFonts w:hint="default"/>
      </w:rPr>
    </w:lvl>
    <w:lvl w:ilvl="1">
      <w:start w:val="3"/>
      <w:numFmt w:val="decimal"/>
      <w:lvlText w:val="%1.%2"/>
      <w:lvlJc w:val="left"/>
      <w:pPr>
        <w:ind w:left="899" w:hanging="720"/>
        <w:jc w:val="left"/>
      </w:pPr>
      <w:rPr>
        <w:rFonts w:hint="default"/>
      </w:rPr>
    </w:lvl>
    <w:lvl w:ilvl="2">
      <w:start w:val="11"/>
      <w:numFmt w:val="decimal"/>
      <w:lvlText w:val="%1.%2.%3."/>
      <w:lvlJc w:val="left"/>
      <w:pPr>
        <w:ind w:left="899" w:hanging="720"/>
        <w:jc w:val="left"/>
      </w:pPr>
      <w:rPr>
        <w:rFonts w:hint="default" w:ascii="Times New Roman" w:hAnsi="Times New Roman" w:eastAsia="Times New Roman" w:cs="Times New Roman"/>
        <w:spacing w:val="-2"/>
        <w:w w:val="99"/>
        <w:sz w:val="20"/>
        <w:szCs w:val="20"/>
      </w:rPr>
    </w:lvl>
    <w:lvl w:ilvl="3">
      <w:start w:val="0"/>
      <w:numFmt w:val="bullet"/>
      <w:lvlText w:val="•"/>
      <w:lvlJc w:val="left"/>
      <w:pPr>
        <w:ind w:left="3618" w:hanging="720"/>
      </w:pPr>
      <w:rPr>
        <w:rFonts w:hint="default"/>
      </w:rPr>
    </w:lvl>
    <w:lvl w:ilvl="4">
      <w:start w:val="0"/>
      <w:numFmt w:val="bullet"/>
      <w:lvlText w:val="•"/>
      <w:lvlJc w:val="left"/>
      <w:pPr>
        <w:ind w:left="4524" w:hanging="720"/>
      </w:pPr>
      <w:rPr>
        <w:rFonts w:hint="default"/>
      </w:rPr>
    </w:lvl>
    <w:lvl w:ilvl="5">
      <w:start w:val="0"/>
      <w:numFmt w:val="bullet"/>
      <w:lvlText w:val="•"/>
      <w:lvlJc w:val="left"/>
      <w:pPr>
        <w:ind w:left="5430" w:hanging="720"/>
      </w:pPr>
      <w:rPr>
        <w:rFonts w:hint="default"/>
      </w:rPr>
    </w:lvl>
    <w:lvl w:ilvl="6">
      <w:start w:val="0"/>
      <w:numFmt w:val="bullet"/>
      <w:lvlText w:val="•"/>
      <w:lvlJc w:val="left"/>
      <w:pPr>
        <w:ind w:left="6336" w:hanging="720"/>
      </w:pPr>
      <w:rPr>
        <w:rFonts w:hint="default"/>
      </w:rPr>
    </w:lvl>
    <w:lvl w:ilvl="7">
      <w:start w:val="0"/>
      <w:numFmt w:val="bullet"/>
      <w:lvlText w:val="•"/>
      <w:lvlJc w:val="left"/>
      <w:pPr>
        <w:ind w:left="7242" w:hanging="720"/>
      </w:pPr>
      <w:rPr>
        <w:rFonts w:hint="default"/>
      </w:rPr>
    </w:lvl>
    <w:lvl w:ilvl="8">
      <w:start w:val="0"/>
      <w:numFmt w:val="bullet"/>
      <w:lvlText w:val="•"/>
      <w:lvlJc w:val="left"/>
      <w:pPr>
        <w:ind w:left="8148" w:hanging="720"/>
      </w:pPr>
      <w:rPr>
        <w:rFonts w:hint="default"/>
      </w:rPr>
    </w:lvl>
  </w:abstractNum>
  <w:abstractNum w:abstractNumId="31">
    <w:multiLevelType w:val="hybridMultilevel"/>
    <w:lvl w:ilvl="0">
      <w:start w:val="2"/>
      <w:numFmt w:val="decimal"/>
      <w:lvlText w:val="%1"/>
      <w:lvlJc w:val="left"/>
      <w:pPr>
        <w:ind w:left="899" w:hanging="720"/>
        <w:jc w:val="left"/>
      </w:pPr>
      <w:rPr>
        <w:rFonts w:hint="default"/>
      </w:rPr>
    </w:lvl>
    <w:lvl w:ilvl="1">
      <w:start w:val="2"/>
      <w:numFmt w:val="decimal"/>
      <w:lvlText w:val="%1.%2"/>
      <w:lvlJc w:val="left"/>
      <w:pPr>
        <w:ind w:left="899" w:hanging="720"/>
        <w:jc w:val="left"/>
      </w:pPr>
      <w:rPr>
        <w:rFonts w:hint="default"/>
      </w:rPr>
    </w:lvl>
    <w:lvl w:ilvl="2">
      <w:start w:val="5"/>
      <w:numFmt w:val="decimal"/>
      <w:lvlText w:val="%1.%2.%3."/>
      <w:lvlJc w:val="left"/>
      <w:pPr>
        <w:ind w:left="899" w:hanging="720"/>
        <w:jc w:val="left"/>
      </w:pPr>
      <w:rPr>
        <w:rFonts w:hint="default" w:ascii="Times New Roman" w:hAnsi="Times New Roman" w:eastAsia="Times New Roman" w:cs="Times New Roman"/>
        <w:spacing w:val="0"/>
        <w:w w:val="99"/>
        <w:sz w:val="20"/>
        <w:szCs w:val="20"/>
      </w:rPr>
    </w:lvl>
    <w:lvl w:ilvl="3">
      <w:start w:val="0"/>
      <w:numFmt w:val="bullet"/>
      <w:lvlText w:val="•"/>
      <w:lvlJc w:val="left"/>
      <w:pPr>
        <w:ind w:left="3618" w:hanging="720"/>
      </w:pPr>
      <w:rPr>
        <w:rFonts w:hint="default"/>
      </w:rPr>
    </w:lvl>
    <w:lvl w:ilvl="4">
      <w:start w:val="0"/>
      <w:numFmt w:val="bullet"/>
      <w:lvlText w:val="•"/>
      <w:lvlJc w:val="left"/>
      <w:pPr>
        <w:ind w:left="4524" w:hanging="720"/>
      </w:pPr>
      <w:rPr>
        <w:rFonts w:hint="default"/>
      </w:rPr>
    </w:lvl>
    <w:lvl w:ilvl="5">
      <w:start w:val="0"/>
      <w:numFmt w:val="bullet"/>
      <w:lvlText w:val="•"/>
      <w:lvlJc w:val="left"/>
      <w:pPr>
        <w:ind w:left="5430" w:hanging="720"/>
      </w:pPr>
      <w:rPr>
        <w:rFonts w:hint="default"/>
      </w:rPr>
    </w:lvl>
    <w:lvl w:ilvl="6">
      <w:start w:val="0"/>
      <w:numFmt w:val="bullet"/>
      <w:lvlText w:val="•"/>
      <w:lvlJc w:val="left"/>
      <w:pPr>
        <w:ind w:left="6336" w:hanging="720"/>
      </w:pPr>
      <w:rPr>
        <w:rFonts w:hint="default"/>
      </w:rPr>
    </w:lvl>
    <w:lvl w:ilvl="7">
      <w:start w:val="0"/>
      <w:numFmt w:val="bullet"/>
      <w:lvlText w:val="•"/>
      <w:lvlJc w:val="left"/>
      <w:pPr>
        <w:ind w:left="7242" w:hanging="720"/>
      </w:pPr>
      <w:rPr>
        <w:rFonts w:hint="default"/>
      </w:rPr>
    </w:lvl>
    <w:lvl w:ilvl="8">
      <w:start w:val="0"/>
      <w:numFmt w:val="bullet"/>
      <w:lvlText w:val="•"/>
      <w:lvlJc w:val="left"/>
      <w:pPr>
        <w:ind w:left="8148" w:hanging="720"/>
      </w:pPr>
      <w:rPr>
        <w:rFonts w:hint="default"/>
      </w:rPr>
    </w:lvl>
  </w:abstractNum>
  <w:abstractNum w:abstractNumId="30">
    <w:multiLevelType w:val="hybridMultilevel"/>
    <w:lvl w:ilvl="0">
      <w:start w:val="2"/>
      <w:numFmt w:val="decimal"/>
      <w:lvlText w:val="%1"/>
      <w:lvlJc w:val="left"/>
      <w:pPr>
        <w:ind w:left="898" w:hanging="720"/>
        <w:jc w:val="left"/>
      </w:pPr>
      <w:rPr>
        <w:rFonts w:hint="default"/>
      </w:rPr>
    </w:lvl>
    <w:lvl w:ilvl="1">
      <w:start w:val="2"/>
      <w:numFmt w:val="decimal"/>
      <w:lvlText w:val="%1.%2"/>
      <w:lvlJc w:val="left"/>
      <w:pPr>
        <w:ind w:left="898" w:hanging="720"/>
        <w:jc w:val="left"/>
      </w:pPr>
      <w:rPr>
        <w:rFonts w:hint="default"/>
      </w:rPr>
    </w:lvl>
    <w:lvl w:ilvl="2">
      <w:start w:val="1"/>
      <w:numFmt w:val="decimal"/>
      <w:lvlText w:val="%1.%2.%3."/>
      <w:lvlJc w:val="left"/>
      <w:pPr>
        <w:ind w:left="898" w:hanging="720"/>
        <w:jc w:val="left"/>
      </w:pPr>
      <w:rPr>
        <w:rFonts w:hint="default" w:ascii="Times New Roman" w:hAnsi="Times New Roman" w:eastAsia="Times New Roman" w:cs="Times New Roman"/>
        <w:spacing w:val="0"/>
        <w:w w:val="99"/>
        <w:sz w:val="20"/>
        <w:szCs w:val="20"/>
      </w:rPr>
    </w:lvl>
    <w:lvl w:ilvl="3">
      <w:start w:val="0"/>
      <w:numFmt w:val="bullet"/>
      <w:lvlText w:val="•"/>
      <w:lvlJc w:val="left"/>
      <w:pPr>
        <w:ind w:left="3618" w:hanging="720"/>
      </w:pPr>
      <w:rPr>
        <w:rFonts w:hint="default"/>
      </w:rPr>
    </w:lvl>
    <w:lvl w:ilvl="4">
      <w:start w:val="0"/>
      <w:numFmt w:val="bullet"/>
      <w:lvlText w:val="•"/>
      <w:lvlJc w:val="left"/>
      <w:pPr>
        <w:ind w:left="4524" w:hanging="720"/>
      </w:pPr>
      <w:rPr>
        <w:rFonts w:hint="default"/>
      </w:rPr>
    </w:lvl>
    <w:lvl w:ilvl="5">
      <w:start w:val="0"/>
      <w:numFmt w:val="bullet"/>
      <w:lvlText w:val="•"/>
      <w:lvlJc w:val="left"/>
      <w:pPr>
        <w:ind w:left="5430" w:hanging="720"/>
      </w:pPr>
      <w:rPr>
        <w:rFonts w:hint="default"/>
      </w:rPr>
    </w:lvl>
    <w:lvl w:ilvl="6">
      <w:start w:val="0"/>
      <w:numFmt w:val="bullet"/>
      <w:lvlText w:val="•"/>
      <w:lvlJc w:val="left"/>
      <w:pPr>
        <w:ind w:left="6336" w:hanging="720"/>
      </w:pPr>
      <w:rPr>
        <w:rFonts w:hint="default"/>
      </w:rPr>
    </w:lvl>
    <w:lvl w:ilvl="7">
      <w:start w:val="0"/>
      <w:numFmt w:val="bullet"/>
      <w:lvlText w:val="•"/>
      <w:lvlJc w:val="left"/>
      <w:pPr>
        <w:ind w:left="7242" w:hanging="720"/>
      </w:pPr>
      <w:rPr>
        <w:rFonts w:hint="default"/>
      </w:rPr>
    </w:lvl>
    <w:lvl w:ilvl="8">
      <w:start w:val="0"/>
      <w:numFmt w:val="bullet"/>
      <w:lvlText w:val="•"/>
      <w:lvlJc w:val="left"/>
      <w:pPr>
        <w:ind w:left="8148" w:hanging="720"/>
      </w:pPr>
      <w:rPr>
        <w:rFonts w:hint="default"/>
      </w:rPr>
    </w:lvl>
  </w:abstractNum>
  <w:abstractNum w:abstractNumId="29">
    <w:multiLevelType w:val="hybridMultilevel"/>
    <w:lvl w:ilvl="0">
      <w:start w:val="2"/>
      <w:numFmt w:val="decimal"/>
      <w:lvlText w:val="%1"/>
      <w:lvlJc w:val="left"/>
      <w:pPr>
        <w:ind w:left="899" w:hanging="720"/>
        <w:jc w:val="left"/>
      </w:pPr>
      <w:rPr>
        <w:rFonts w:hint="default"/>
      </w:rPr>
    </w:lvl>
    <w:lvl w:ilvl="1">
      <w:start w:val="1"/>
      <w:numFmt w:val="decimal"/>
      <w:lvlText w:val="%1.%2"/>
      <w:lvlJc w:val="left"/>
      <w:pPr>
        <w:ind w:left="899" w:hanging="720"/>
        <w:jc w:val="left"/>
      </w:pPr>
      <w:rPr>
        <w:rFonts w:hint="default"/>
      </w:rPr>
    </w:lvl>
    <w:lvl w:ilvl="2">
      <w:start w:val="1"/>
      <w:numFmt w:val="decimal"/>
      <w:lvlText w:val="%1.%2.%3."/>
      <w:lvlJc w:val="left"/>
      <w:pPr>
        <w:ind w:left="899" w:hanging="720"/>
        <w:jc w:val="left"/>
      </w:pPr>
      <w:rPr>
        <w:rFonts w:hint="default" w:ascii="Times New Roman" w:hAnsi="Times New Roman" w:eastAsia="Times New Roman" w:cs="Times New Roman"/>
        <w:spacing w:val="0"/>
        <w:w w:val="99"/>
        <w:sz w:val="20"/>
        <w:szCs w:val="20"/>
      </w:rPr>
    </w:lvl>
    <w:lvl w:ilvl="3">
      <w:start w:val="0"/>
      <w:numFmt w:val="bullet"/>
      <w:lvlText w:val="•"/>
      <w:lvlJc w:val="left"/>
      <w:pPr>
        <w:ind w:left="3618" w:hanging="720"/>
      </w:pPr>
      <w:rPr>
        <w:rFonts w:hint="default"/>
      </w:rPr>
    </w:lvl>
    <w:lvl w:ilvl="4">
      <w:start w:val="0"/>
      <w:numFmt w:val="bullet"/>
      <w:lvlText w:val="•"/>
      <w:lvlJc w:val="left"/>
      <w:pPr>
        <w:ind w:left="4524" w:hanging="720"/>
      </w:pPr>
      <w:rPr>
        <w:rFonts w:hint="default"/>
      </w:rPr>
    </w:lvl>
    <w:lvl w:ilvl="5">
      <w:start w:val="0"/>
      <w:numFmt w:val="bullet"/>
      <w:lvlText w:val="•"/>
      <w:lvlJc w:val="left"/>
      <w:pPr>
        <w:ind w:left="5430" w:hanging="720"/>
      </w:pPr>
      <w:rPr>
        <w:rFonts w:hint="default"/>
      </w:rPr>
    </w:lvl>
    <w:lvl w:ilvl="6">
      <w:start w:val="0"/>
      <w:numFmt w:val="bullet"/>
      <w:lvlText w:val="•"/>
      <w:lvlJc w:val="left"/>
      <w:pPr>
        <w:ind w:left="6336" w:hanging="720"/>
      </w:pPr>
      <w:rPr>
        <w:rFonts w:hint="default"/>
      </w:rPr>
    </w:lvl>
    <w:lvl w:ilvl="7">
      <w:start w:val="0"/>
      <w:numFmt w:val="bullet"/>
      <w:lvlText w:val="•"/>
      <w:lvlJc w:val="left"/>
      <w:pPr>
        <w:ind w:left="7242" w:hanging="720"/>
      </w:pPr>
      <w:rPr>
        <w:rFonts w:hint="default"/>
      </w:rPr>
    </w:lvl>
    <w:lvl w:ilvl="8">
      <w:start w:val="0"/>
      <w:numFmt w:val="bullet"/>
      <w:lvlText w:val="•"/>
      <w:lvlJc w:val="left"/>
      <w:pPr>
        <w:ind w:left="8148" w:hanging="720"/>
      </w:pPr>
      <w:rPr>
        <w:rFonts w:hint="default"/>
      </w:rPr>
    </w:lvl>
  </w:abstractNum>
  <w:abstractNum w:abstractNumId="28">
    <w:multiLevelType w:val="hybridMultilevel"/>
    <w:lvl w:ilvl="0">
      <w:start w:val="0"/>
      <w:numFmt w:val="bullet"/>
      <w:lvlText w:val="•"/>
      <w:lvlJc w:val="left"/>
      <w:pPr>
        <w:ind w:left="1211" w:hanging="360"/>
      </w:pPr>
      <w:rPr>
        <w:rFonts w:hint="default" w:ascii="Times New Roman" w:hAnsi="Times New Roman" w:eastAsia="Times New Roman" w:cs="Times New Roman"/>
        <w:w w:val="99"/>
        <w:sz w:val="20"/>
        <w:szCs w:val="20"/>
      </w:rPr>
    </w:lvl>
    <w:lvl w:ilvl="1">
      <w:start w:val="0"/>
      <w:numFmt w:val="bullet"/>
      <w:lvlText w:val="•"/>
      <w:lvlJc w:val="left"/>
      <w:pPr>
        <w:ind w:left="1588" w:hanging="360"/>
      </w:pPr>
      <w:rPr>
        <w:rFonts w:hint="default"/>
      </w:rPr>
    </w:lvl>
    <w:lvl w:ilvl="2">
      <w:start w:val="0"/>
      <w:numFmt w:val="bullet"/>
      <w:lvlText w:val="•"/>
      <w:lvlJc w:val="left"/>
      <w:pPr>
        <w:ind w:left="1956" w:hanging="360"/>
      </w:pPr>
      <w:rPr>
        <w:rFonts w:hint="default"/>
      </w:rPr>
    </w:lvl>
    <w:lvl w:ilvl="3">
      <w:start w:val="0"/>
      <w:numFmt w:val="bullet"/>
      <w:lvlText w:val="•"/>
      <w:lvlJc w:val="left"/>
      <w:pPr>
        <w:ind w:left="2324" w:hanging="360"/>
      </w:pPr>
      <w:rPr>
        <w:rFonts w:hint="default"/>
      </w:rPr>
    </w:lvl>
    <w:lvl w:ilvl="4">
      <w:start w:val="0"/>
      <w:numFmt w:val="bullet"/>
      <w:lvlText w:val="•"/>
      <w:lvlJc w:val="left"/>
      <w:pPr>
        <w:ind w:left="2693" w:hanging="360"/>
      </w:pPr>
      <w:rPr>
        <w:rFonts w:hint="default"/>
      </w:rPr>
    </w:lvl>
    <w:lvl w:ilvl="5">
      <w:start w:val="0"/>
      <w:numFmt w:val="bullet"/>
      <w:lvlText w:val="•"/>
      <w:lvlJc w:val="left"/>
      <w:pPr>
        <w:ind w:left="3061" w:hanging="360"/>
      </w:pPr>
      <w:rPr>
        <w:rFonts w:hint="default"/>
      </w:rPr>
    </w:lvl>
    <w:lvl w:ilvl="6">
      <w:start w:val="0"/>
      <w:numFmt w:val="bullet"/>
      <w:lvlText w:val="•"/>
      <w:lvlJc w:val="left"/>
      <w:pPr>
        <w:ind w:left="3429" w:hanging="360"/>
      </w:pPr>
      <w:rPr>
        <w:rFonts w:hint="default"/>
      </w:rPr>
    </w:lvl>
    <w:lvl w:ilvl="7">
      <w:start w:val="0"/>
      <w:numFmt w:val="bullet"/>
      <w:lvlText w:val="•"/>
      <w:lvlJc w:val="left"/>
      <w:pPr>
        <w:ind w:left="3797" w:hanging="360"/>
      </w:pPr>
      <w:rPr>
        <w:rFonts w:hint="default"/>
      </w:rPr>
    </w:lvl>
    <w:lvl w:ilvl="8">
      <w:start w:val="0"/>
      <w:numFmt w:val="bullet"/>
      <w:lvlText w:val="•"/>
      <w:lvlJc w:val="left"/>
      <w:pPr>
        <w:ind w:left="4166" w:hanging="360"/>
      </w:pPr>
      <w:rPr>
        <w:rFonts w:hint="default"/>
      </w:rPr>
    </w:lvl>
  </w:abstractNum>
  <w:abstractNum w:abstractNumId="27">
    <w:multiLevelType w:val="hybridMultilevel"/>
    <w:lvl w:ilvl="0">
      <w:start w:val="0"/>
      <w:numFmt w:val="bullet"/>
      <w:lvlText w:val="•"/>
      <w:lvlJc w:val="left"/>
      <w:pPr>
        <w:ind w:left="1259" w:hanging="360"/>
      </w:pPr>
      <w:rPr>
        <w:rFonts w:hint="default" w:ascii="Times New Roman" w:hAnsi="Times New Roman" w:eastAsia="Times New Roman" w:cs="Times New Roman"/>
        <w:w w:val="99"/>
        <w:sz w:val="20"/>
        <w:szCs w:val="20"/>
      </w:rPr>
    </w:lvl>
    <w:lvl w:ilvl="1">
      <w:start w:val="0"/>
      <w:numFmt w:val="bullet"/>
      <w:lvlText w:val="-"/>
      <w:lvlJc w:val="left"/>
      <w:pPr>
        <w:ind w:left="1367" w:hanging="360"/>
      </w:pPr>
      <w:rPr>
        <w:rFonts w:hint="default" w:ascii="Times New Roman" w:hAnsi="Times New Roman" w:eastAsia="Times New Roman" w:cs="Times New Roman"/>
        <w:w w:val="99"/>
        <w:sz w:val="20"/>
        <w:szCs w:val="20"/>
      </w:rPr>
    </w:lvl>
    <w:lvl w:ilvl="2">
      <w:start w:val="0"/>
      <w:numFmt w:val="bullet"/>
      <w:lvlText w:val="•"/>
      <w:lvlJc w:val="left"/>
      <w:pPr>
        <w:ind w:left="2315" w:hanging="360"/>
      </w:pPr>
      <w:rPr>
        <w:rFonts w:hint="default"/>
      </w:rPr>
    </w:lvl>
    <w:lvl w:ilvl="3">
      <w:start w:val="0"/>
      <w:numFmt w:val="bullet"/>
      <w:lvlText w:val="•"/>
      <w:lvlJc w:val="left"/>
      <w:pPr>
        <w:ind w:left="3271" w:hanging="360"/>
      </w:pPr>
      <w:rPr>
        <w:rFonts w:hint="default"/>
      </w:rPr>
    </w:lvl>
    <w:lvl w:ilvl="4">
      <w:start w:val="0"/>
      <w:numFmt w:val="bullet"/>
      <w:lvlText w:val="•"/>
      <w:lvlJc w:val="left"/>
      <w:pPr>
        <w:ind w:left="4226" w:hanging="360"/>
      </w:pPr>
      <w:rPr>
        <w:rFonts w:hint="default"/>
      </w:rPr>
    </w:lvl>
    <w:lvl w:ilvl="5">
      <w:start w:val="0"/>
      <w:numFmt w:val="bullet"/>
      <w:lvlText w:val="•"/>
      <w:lvlJc w:val="left"/>
      <w:pPr>
        <w:ind w:left="5182" w:hanging="360"/>
      </w:pPr>
      <w:rPr>
        <w:rFonts w:hint="default"/>
      </w:rPr>
    </w:lvl>
    <w:lvl w:ilvl="6">
      <w:start w:val="0"/>
      <w:numFmt w:val="bullet"/>
      <w:lvlText w:val="•"/>
      <w:lvlJc w:val="left"/>
      <w:pPr>
        <w:ind w:left="6137" w:hanging="360"/>
      </w:pPr>
      <w:rPr>
        <w:rFonts w:hint="default"/>
      </w:rPr>
    </w:lvl>
    <w:lvl w:ilvl="7">
      <w:start w:val="0"/>
      <w:numFmt w:val="bullet"/>
      <w:lvlText w:val="•"/>
      <w:lvlJc w:val="left"/>
      <w:pPr>
        <w:ind w:left="7093" w:hanging="360"/>
      </w:pPr>
      <w:rPr>
        <w:rFonts w:hint="default"/>
      </w:rPr>
    </w:lvl>
    <w:lvl w:ilvl="8">
      <w:start w:val="0"/>
      <w:numFmt w:val="bullet"/>
      <w:lvlText w:val="•"/>
      <w:lvlJc w:val="left"/>
      <w:pPr>
        <w:ind w:left="8048" w:hanging="360"/>
      </w:pPr>
      <w:rPr>
        <w:rFonts w:hint="default"/>
      </w:rPr>
    </w:lvl>
  </w:abstractNum>
  <w:abstractNum w:abstractNumId="26">
    <w:multiLevelType w:val="hybridMultilevel"/>
    <w:lvl w:ilvl="0">
      <w:start w:val="2"/>
      <w:numFmt w:val="decimal"/>
      <w:lvlText w:val="%1"/>
      <w:lvlJc w:val="left"/>
      <w:pPr>
        <w:ind w:left="1341" w:hanging="802"/>
        <w:jc w:val="left"/>
      </w:pPr>
      <w:rPr>
        <w:rFonts w:hint="default"/>
      </w:rPr>
    </w:lvl>
    <w:lvl w:ilvl="1">
      <w:start w:val="6"/>
      <w:numFmt w:val="decimal"/>
      <w:lvlText w:val="%1.%2"/>
      <w:lvlJc w:val="left"/>
      <w:pPr>
        <w:ind w:left="1341" w:hanging="802"/>
        <w:jc w:val="left"/>
      </w:pPr>
      <w:rPr>
        <w:rFonts w:hint="default"/>
      </w:rPr>
    </w:lvl>
    <w:lvl w:ilvl="2">
      <w:start w:val="15"/>
      <w:numFmt w:val="decimal"/>
      <w:lvlText w:val="%1.%2.%3"/>
      <w:lvlJc w:val="left"/>
      <w:pPr>
        <w:ind w:left="1341" w:hanging="802"/>
        <w:jc w:val="left"/>
      </w:pPr>
      <w:rPr>
        <w:rFonts w:hint="default"/>
      </w:rPr>
    </w:lvl>
    <w:lvl w:ilvl="3">
      <w:start w:val="1"/>
      <w:numFmt w:val="decimal"/>
      <w:lvlText w:val="%1.%2.%3.%4."/>
      <w:lvlJc w:val="left"/>
      <w:pPr>
        <w:ind w:left="1341" w:hanging="802"/>
        <w:jc w:val="left"/>
      </w:pPr>
      <w:rPr>
        <w:rFonts w:hint="default" w:ascii="Times New Roman" w:hAnsi="Times New Roman" w:eastAsia="Times New Roman" w:cs="Times New Roman"/>
        <w:b/>
        <w:bCs/>
        <w:spacing w:val="-2"/>
        <w:w w:val="99"/>
        <w:sz w:val="20"/>
        <w:szCs w:val="20"/>
      </w:rPr>
    </w:lvl>
    <w:lvl w:ilvl="4">
      <w:start w:val="1"/>
      <w:numFmt w:val="lowerLetter"/>
      <w:lvlText w:val="%5."/>
      <w:lvlJc w:val="left"/>
      <w:pPr>
        <w:ind w:left="1259" w:hanging="360"/>
        <w:jc w:val="left"/>
      </w:pPr>
      <w:rPr>
        <w:rFonts w:hint="default" w:ascii="Times New Roman" w:hAnsi="Times New Roman" w:eastAsia="Times New Roman" w:cs="Times New Roman"/>
        <w:w w:val="99"/>
        <w:sz w:val="20"/>
        <w:szCs w:val="20"/>
      </w:rPr>
    </w:lvl>
    <w:lvl w:ilvl="5">
      <w:start w:val="0"/>
      <w:numFmt w:val="bullet"/>
      <w:lvlText w:val="•"/>
      <w:lvlJc w:val="left"/>
      <w:pPr>
        <w:ind w:left="1619" w:hanging="360"/>
      </w:pPr>
      <w:rPr>
        <w:rFonts w:hint="default" w:ascii="Times New Roman" w:hAnsi="Times New Roman" w:eastAsia="Times New Roman" w:cs="Times New Roman"/>
        <w:w w:val="99"/>
        <w:sz w:val="20"/>
        <w:szCs w:val="20"/>
      </w:rPr>
    </w:lvl>
    <w:lvl w:ilvl="6">
      <w:start w:val="0"/>
      <w:numFmt w:val="bullet"/>
      <w:lvlText w:val="•"/>
      <w:lvlJc w:val="left"/>
      <w:pPr>
        <w:ind w:left="5790" w:hanging="360"/>
      </w:pPr>
      <w:rPr>
        <w:rFonts w:hint="default"/>
      </w:rPr>
    </w:lvl>
    <w:lvl w:ilvl="7">
      <w:start w:val="0"/>
      <w:numFmt w:val="bullet"/>
      <w:lvlText w:val="•"/>
      <w:lvlJc w:val="left"/>
      <w:pPr>
        <w:ind w:left="6832" w:hanging="360"/>
      </w:pPr>
      <w:rPr>
        <w:rFonts w:hint="default"/>
      </w:rPr>
    </w:lvl>
    <w:lvl w:ilvl="8">
      <w:start w:val="0"/>
      <w:numFmt w:val="bullet"/>
      <w:lvlText w:val="•"/>
      <w:lvlJc w:val="left"/>
      <w:pPr>
        <w:ind w:left="7875" w:hanging="360"/>
      </w:pPr>
      <w:rPr>
        <w:rFonts w:hint="default"/>
      </w:rPr>
    </w:lvl>
  </w:abstractNum>
  <w:abstractNum w:abstractNumId="25">
    <w:multiLevelType w:val="hybridMultilevel"/>
    <w:lvl w:ilvl="0">
      <w:start w:val="0"/>
      <w:numFmt w:val="bullet"/>
      <w:lvlText w:val="•"/>
      <w:lvlJc w:val="left"/>
      <w:pPr>
        <w:ind w:left="180" w:hanging="360"/>
      </w:pPr>
      <w:rPr>
        <w:rFonts w:hint="default" w:ascii="Times New Roman" w:hAnsi="Times New Roman" w:eastAsia="Times New Roman" w:cs="Times New Roman"/>
        <w:w w:val="99"/>
        <w:sz w:val="20"/>
        <w:szCs w:val="20"/>
      </w:rPr>
    </w:lvl>
    <w:lvl w:ilvl="1">
      <w:start w:val="0"/>
      <w:numFmt w:val="bullet"/>
      <w:lvlText w:val="•"/>
      <w:lvlJc w:val="left"/>
      <w:pPr>
        <w:ind w:left="1158" w:hanging="360"/>
      </w:pPr>
      <w:rPr>
        <w:rFonts w:hint="default"/>
      </w:rPr>
    </w:lvl>
    <w:lvl w:ilvl="2">
      <w:start w:val="0"/>
      <w:numFmt w:val="bullet"/>
      <w:lvlText w:val="•"/>
      <w:lvlJc w:val="left"/>
      <w:pPr>
        <w:ind w:left="2136" w:hanging="360"/>
      </w:pPr>
      <w:rPr>
        <w:rFonts w:hint="default"/>
      </w:rPr>
    </w:lvl>
    <w:lvl w:ilvl="3">
      <w:start w:val="0"/>
      <w:numFmt w:val="bullet"/>
      <w:lvlText w:val="•"/>
      <w:lvlJc w:val="left"/>
      <w:pPr>
        <w:ind w:left="3114" w:hanging="360"/>
      </w:pPr>
      <w:rPr>
        <w:rFonts w:hint="default"/>
      </w:rPr>
    </w:lvl>
    <w:lvl w:ilvl="4">
      <w:start w:val="0"/>
      <w:numFmt w:val="bullet"/>
      <w:lvlText w:val="•"/>
      <w:lvlJc w:val="left"/>
      <w:pPr>
        <w:ind w:left="4092" w:hanging="360"/>
      </w:pPr>
      <w:rPr>
        <w:rFonts w:hint="default"/>
      </w:rPr>
    </w:lvl>
    <w:lvl w:ilvl="5">
      <w:start w:val="0"/>
      <w:numFmt w:val="bullet"/>
      <w:lvlText w:val="•"/>
      <w:lvlJc w:val="left"/>
      <w:pPr>
        <w:ind w:left="5070" w:hanging="360"/>
      </w:pPr>
      <w:rPr>
        <w:rFonts w:hint="default"/>
      </w:rPr>
    </w:lvl>
    <w:lvl w:ilvl="6">
      <w:start w:val="0"/>
      <w:numFmt w:val="bullet"/>
      <w:lvlText w:val="•"/>
      <w:lvlJc w:val="left"/>
      <w:pPr>
        <w:ind w:left="6048" w:hanging="360"/>
      </w:pPr>
      <w:rPr>
        <w:rFonts w:hint="default"/>
      </w:rPr>
    </w:lvl>
    <w:lvl w:ilvl="7">
      <w:start w:val="0"/>
      <w:numFmt w:val="bullet"/>
      <w:lvlText w:val="•"/>
      <w:lvlJc w:val="left"/>
      <w:pPr>
        <w:ind w:left="7026" w:hanging="360"/>
      </w:pPr>
      <w:rPr>
        <w:rFonts w:hint="default"/>
      </w:rPr>
    </w:lvl>
    <w:lvl w:ilvl="8">
      <w:start w:val="0"/>
      <w:numFmt w:val="bullet"/>
      <w:lvlText w:val="•"/>
      <w:lvlJc w:val="left"/>
      <w:pPr>
        <w:ind w:left="8004" w:hanging="360"/>
      </w:pPr>
      <w:rPr>
        <w:rFonts w:hint="default"/>
      </w:rPr>
    </w:lvl>
  </w:abstractNum>
  <w:abstractNum w:abstractNumId="24">
    <w:multiLevelType w:val="hybridMultilevel"/>
    <w:lvl w:ilvl="0">
      <w:start w:val="1"/>
      <w:numFmt w:val="decimal"/>
      <w:lvlText w:val="%1."/>
      <w:lvlJc w:val="left"/>
      <w:pPr>
        <w:ind w:left="899" w:hanging="360"/>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1806" w:hanging="360"/>
      </w:pPr>
      <w:rPr>
        <w:rFonts w:hint="default"/>
      </w:rPr>
    </w:lvl>
    <w:lvl w:ilvl="2">
      <w:start w:val="0"/>
      <w:numFmt w:val="bullet"/>
      <w:lvlText w:val="•"/>
      <w:lvlJc w:val="left"/>
      <w:pPr>
        <w:ind w:left="2712" w:hanging="360"/>
      </w:pPr>
      <w:rPr>
        <w:rFonts w:hint="default"/>
      </w:rPr>
    </w:lvl>
    <w:lvl w:ilvl="3">
      <w:start w:val="0"/>
      <w:numFmt w:val="bullet"/>
      <w:lvlText w:val="•"/>
      <w:lvlJc w:val="left"/>
      <w:pPr>
        <w:ind w:left="3618" w:hanging="360"/>
      </w:pPr>
      <w:rPr>
        <w:rFonts w:hint="default"/>
      </w:rPr>
    </w:lvl>
    <w:lvl w:ilvl="4">
      <w:start w:val="0"/>
      <w:numFmt w:val="bullet"/>
      <w:lvlText w:val="•"/>
      <w:lvlJc w:val="left"/>
      <w:pPr>
        <w:ind w:left="4524"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336" w:hanging="360"/>
      </w:pPr>
      <w:rPr>
        <w:rFonts w:hint="default"/>
      </w:rPr>
    </w:lvl>
    <w:lvl w:ilvl="7">
      <w:start w:val="0"/>
      <w:numFmt w:val="bullet"/>
      <w:lvlText w:val="•"/>
      <w:lvlJc w:val="left"/>
      <w:pPr>
        <w:ind w:left="7242" w:hanging="360"/>
      </w:pPr>
      <w:rPr>
        <w:rFonts w:hint="default"/>
      </w:rPr>
    </w:lvl>
    <w:lvl w:ilvl="8">
      <w:start w:val="0"/>
      <w:numFmt w:val="bullet"/>
      <w:lvlText w:val="•"/>
      <w:lvlJc w:val="left"/>
      <w:pPr>
        <w:ind w:left="8148" w:hanging="360"/>
      </w:pPr>
      <w:rPr>
        <w:rFonts w:hint="default"/>
      </w:rPr>
    </w:lvl>
  </w:abstractNum>
  <w:abstractNum w:abstractNumId="23">
    <w:multiLevelType w:val="hybridMultilevel"/>
    <w:lvl w:ilvl="0">
      <w:start w:val="2"/>
      <w:numFmt w:val="lowerLetter"/>
      <w:lvlText w:val="(%1)"/>
      <w:lvlJc w:val="left"/>
      <w:pPr>
        <w:ind w:left="539" w:hanging="286"/>
        <w:jc w:val="left"/>
      </w:pPr>
      <w:rPr>
        <w:rFonts w:hint="default" w:ascii="Times New Roman" w:hAnsi="Times New Roman" w:eastAsia="Times New Roman" w:cs="Times New Roman"/>
        <w:w w:val="99"/>
        <w:sz w:val="20"/>
        <w:szCs w:val="20"/>
      </w:rPr>
    </w:lvl>
    <w:lvl w:ilvl="1">
      <w:start w:val="0"/>
      <w:numFmt w:val="bullet"/>
      <w:lvlText w:val="•"/>
      <w:lvlJc w:val="left"/>
      <w:pPr>
        <w:ind w:left="1260" w:hanging="360"/>
      </w:pPr>
      <w:rPr>
        <w:rFonts w:hint="default" w:ascii="Times New Roman" w:hAnsi="Times New Roman" w:eastAsia="Times New Roman" w:cs="Times New Roman"/>
        <w:w w:val="99"/>
        <w:sz w:val="20"/>
        <w:szCs w:val="20"/>
      </w:rPr>
    </w:lvl>
    <w:lvl w:ilvl="2">
      <w:start w:val="0"/>
      <w:numFmt w:val="bullet"/>
      <w:lvlText w:val="•"/>
      <w:lvlJc w:val="left"/>
      <w:pPr>
        <w:ind w:left="2226" w:hanging="360"/>
      </w:pPr>
      <w:rPr>
        <w:rFonts w:hint="default"/>
      </w:rPr>
    </w:lvl>
    <w:lvl w:ilvl="3">
      <w:start w:val="0"/>
      <w:numFmt w:val="bullet"/>
      <w:lvlText w:val="•"/>
      <w:lvlJc w:val="left"/>
      <w:pPr>
        <w:ind w:left="3193" w:hanging="360"/>
      </w:pPr>
      <w:rPr>
        <w:rFonts w:hint="default"/>
      </w:rPr>
    </w:lvl>
    <w:lvl w:ilvl="4">
      <w:start w:val="0"/>
      <w:numFmt w:val="bullet"/>
      <w:lvlText w:val="•"/>
      <w:lvlJc w:val="left"/>
      <w:pPr>
        <w:ind w:left="4160" w:hanging="360"/>
      </w:pPr>
      <w:rPr>
        <w:rFonts w:hint="default"/>
      </w:rPr>
    </w:lvl>
    <w:lvl w:ilvl="5">
      <w:start w:val="0"/>
      <w:numFmt w:val="bullet"/>
      <w:lvlText w:val="•"/>
      <w:lvlJc w:val="left"/>
      <w:pPr>
        <w:ind w:left="5126" w:hanging="360"/>
      </w:pPr>
      <w:rPr>
        <w:rFonts w:hint="default"/>
      </w:rPr>
    </w:lvl>
    <w:lvl w:ilvl="6">
      <w:start w:val="0"/>
      <w:numFmt w:val="bullet"/>
      <w:lvlText w:val="•"/>
      <w:lvlJc w:val="left"/>
      <w:pPr>
        <w:ind w:left="6093" w:hanging="360"/>
      </w:pPr>
      <w:rPr>
        <w:rFonts w:hint="default"/>
      </w:rPr>
    </w:lvl>
    <w:lvl w:ilvl="7">
      <w:start w:val="0"/>
      <w:numFmt w:val="bullet"/>
      <w:lvlText w:val="•"/>
      <w:lvlJc w:val="left"/>
      <w:pPr>
        <w:ind w:left="7060" w:hanging="360"/>
      </w:pPr>
      <w:rPr>
        <w:rFonts w:hint="default"/>
      </w:rPr>
    </w:lvl>
    <w:lvl w:ilvl="8">
      <w:start w:val="0"/>
      <w:numFmt w:val="bullet"/>
      <w:lvlText w:val="•"/>
      <w:lvlJc w:val="left"/>
      <w:pPr>
        <w:ind w:left="8026" w:hanging="360"/>
      </w:pPr>
      <w:rPr>
        <w:rFonts w:hint="default"/>
      </w:rPr>
    </w:lvl>
  </w:abstractNum>
  <w:abstractNum w:abstractNumId="22">
    <w:multiLevelType w:val="hybridMultilevel"/>
    <w:lvl w:ilvl="0">
      <w:start w:val="21"/>
      <w:numFmt w:val="upperLetter"/>
      <w:lvlText w:val="%1"/>
      <w:lvlJc w:val="left"/>
      <w:pPr>
        <w:ind w:left="945" w:hanging="406"/>
        <w:jc w:val="left"/>
      </w:pPr>
      <w:rPr>
        <w:rFonts w:hint="default"/>
      </w:rPr>
    </w:lvl>
    <w:lvl w:ilvl="1">
      <w:start w:val="0"/>
      <w:numFmt w:val="bullet"/>
      <w:lvlText w:val="•"/>
      <w:lvlJc w:val="left"/>
      <w:pPr>
        <w:ind w:left="1260" w:hanging="360"/>
      </w:pPr>
      <w:rPr>
        <w:rFonts w:hint="default" w:ascii="Times New Roman" w:hAnsi="Times New Roman" w:eastAsia="Times New Roman" w:cs="Times New Roman"/>
        <w:w w:val="99"/>
        <w:sz w:val="20"/>
        <w:szCs w:val="20"/>
      </w:rPr>
    </w:lvl>
    <w:lvl w:ilvl="2">
      <w:start w:val="0"/>
      <w:numFmt w:val="bullet"/>
      <w:lvlText w:val="•"/>
      <w:lvlJc w:val="left"/>
      <w:pPr>
        <w:ind w:left="2226" w:hanging="360"/>
      </w:pPr>
      <w:rPr>
        <w:rFonts w:hint="default"/>
      </w:rPr>
    </w:lvl>
    <w:lvl w:ilvl="3">
      <w:start w:val="0"/>
      <w:numFmt w:val="bullet"/>
      <w:lvlText w:val="•"/>
      <w:lvlJc w:val="left"/>
      <w:pPr>
        <w:ind w:left="3193" w:hanging="360"/>
      </w:pPr>
      <w:rPr>
        <w:rFonts w:hint="default"/>
      </w:rPr>
    </w:lvl>
    <w:lvl w:ilvl="4">
      <w:start w:val="0"/>
      <w:numFmt w:val="bullet"/>
      <w:lvlText w:val="•"/>
      <w:lvlJc w:val="left"/>
      <w:pPr>
        <w:ind w:left="4160" w:hanging="360"/>
      </w:pPr>
      <w:rPr>
        <w:rFonts w:hint="default"/>
      </w:rPr>
    </w:lvl>
    <w:lvl w:ilvl="5">
      <w:start w:val="0"/>
      <w:numFmt w:val="bullet"/>
      <w:lvlText w:val="•"/>
      <w:lvlJc w:val="left"/>
      <w:pPr>
        <w:ind w:left="5126" w:hanging="360"/>
      </w:pPr>
      <w:rPr>
        <w:rFonts w:hint="default"/>
      </w:rPr>
    </w:lvl>
    <w:lvl w:ilvl="6">
      <w:start w:val="0"/>
      <w:numFmt w:val="bullet"/>
      <w:lvlText w:val="•"/>
      <w:lvlJc w:val="left"/>
      <w:pPr>
        <w:ind w:left="6093" w:hanging="360"/>
      </w:pPr>
      <w:rPr>
        <w:rFonts w:hint="default"/>
      </w:rPr>
    </w:lvl>
    <w:lvl w:ilvl="7">
      <w:start w:val="0"/>
      <w:numFmt w:val="bullet"/>
      <w:lvlText w:val="•"/>
      <w:lvlJc w:val="left"/>
      <w:pPr>
        <w:ind w:left="7060" w:hanging="360"/>
      </w:pPr>
      <w:rPr>
        <w:rFonts w:hint="default"/>
      </w:rPr>
    </w:lvl>
    <w:lvl w:ilvl="8">
      <w:start w:val="0"/>
      <w:numFmt w:val="bullet"/>
      <w:lvlText w:val="•"/>
      <w:lvlJc w:val="left"/>
      <w:pPr>
        <w:ind w:left="8026" w:hanging="360"/>
      </w:pPr>
      <w:rPr>
        <w:rFonts w:hint="default"/>
      </w:rPr>
    </w:lvl>
  </w:abstractNum>
  <w:abstractNum w:abstractNumId="21">
    <w:multiLevelType w:val="hybridMultilevel"/>
    <w:lvl w:ilvl="0">
      <w:start w:val="0"/>
      <w:numFmt w:val="bullet"/>
      <w:lvlText w:val="•"/>
      <w:lvlJc w:val="left"/>
      <w:pPr>
        <w:ind w:left="1350" w:hanging="452"/>
      </w:pPr>
      <w:rPr>
        <w:rFonts w:hint="default" w:ascii="Times New Roman" w:hAnsi="Times New Roman" w:eastAsia="Times New Roman" w:cs="Times New Roman"/>
        <w:w w:val="99"/>
        <w:sz w:val="20"/>
        <w:szCs w:val="20"/>
      </w:rPr>
    </w:lvl>
    <w:lvl w:ilvl="1">
      <w:start w:val="0"/>
      <w:numFmt w:val="bullet"/>
      <w:lvlText w:val="•"/>
      <w:lvlJc w:val="left"/>
      <w:pPr>
        <w:ind w:left="2220" w:hanging="452"/>
      </w:pPr>
      <w:rPr>
        <w:rFonts w:hint="default"/>
      </w:rPr>
    </w:lvl>
    <w:lvl w:ilvl="2">
      <w:start w:val="0"/>
      <w:numFmt w:val="bullet"/>
      <w:lvlText w:val="•"/>
      <w:lvlJc w:val="left"/>
      <w:pPr>
        <w:ind w:left="3080" w:hanging="452"/>
      </w:pPr>
      <w:rPr>
        <w:rFonts w:hint="default"/>
      </w:rPr>
    </w:lvl>
    <w:lvl w:ilvl="3">
      <w:start w:val="0"/>
      <w:numFmt w:val="bullet"/>
      <w:lvlText w:val="•"/>
      <w:lvlJc w:val="left"/>
      <w:pPr>
        <w:ind w:left="3940" w:hanging="452"/>
      </w:pPr>
      <w:rPr>
        <w:rFonts w:hint="default"/>
      </w:rPr>
    </w:lvl>
    <w:lvl w:ilvl="4">
      <w:start w:val="0"/>
      <w:numFmt w:val="bullet"/>
      <w:lvlText w:val="•"/>
      <w:lvlJc w:val="left"/>
      <w:pPr>
        <w:ind w:left="4800" w:hanging="452"/>
      </w:pPr>
      <w:rPr>
        <w:rFonts w:hint="default"/>
      </w:rPr>
    </w:lvl>
    <w:lvl w:ilvl="5">
      <w:start w:val="0"/>
      <w:numFmt w:val="bullet"/>
      <w:lvlText w:val="•"/>
      <w:lvlJc w:val="left"/>
      <w:pPr>
        <w:ind w:left="5660" w:hanging="452"/>
      </w:pPr>
      <w:rPr>
        <w:rFonts w:hint="default"/>
      </w:rPr>
    </w:lvl>
    <w:lvl w:ilvl="6">
      <w:start w:val="0"/>
      <w:numFmt w:val="bullet"/>
      <w:lvlText w:val="•"/>
      <w:lvlJc w:val="left"/>
      <w:pPr>
        <w:ind w:left="6520" w:hanging="452"/>
      </w:pPr>
      <w:rPr>
        <w:rFonts w:hint="default"/>
      </w:rPr>
    </w:lvl>
    <w:lvl w:ilvl="7">
      <w:start w:val="0"/>
      <w:numFmt w:val="bullet"/>
      <w:lvlText w:val="•"/>
      <w:lvlJc w:val="left"/>
      <w:pPr>
        <w:ind w:left="7380" w:hanging="452"/>
      </w:pPr>
      <w:rPr>
        <w:rFonts w:hint="default"/>
      </w:rPr>
    </w:lvl>
    <w:lvl w:ilvl="8">
      <w:start w:val="0"/>
      <w:numFmt w:val="bullet"/>
      <w:lvlText w:val="•"/>
      <w:lvlJc w:val="left"/>
      <w:pPr>
        <w:ind w:left="8240" w:hanging="452"/>
      </w:pPr>
      <w:rPr>
        <w:rFonts w:hint="default"/>
      </w:rPr>
    </w:lvl>
  </w:abstractNum>
  <w:abstractNum w:abstractNumId="20">
    <w:multiLevelType w:val="hybridMultilevel"/>
    <w:lvl w:ilvl="0">
      <w:start w:val="2"/>
      <w:numFmt w:val="decimal"/>
      <w:lvlText w:val="%1"/>
      <w:lvlJc w:val="left"/>
      <w:pPr>
        <w:ind w:left="539" w:hanging="802"/>
        <w:jc w:val="left"/>
      </w:pPr>
      <w:rPr>
        <w:rFonts w:hint="default"/>
      </w:rPr>
    </w:lvl>
    <w:lvl w:ilvl="1">
      <w:start w:val="6"/>
      <w:numFmt w:val="decimal"/>
      <w:lvlText w:val="%1.%2"/>
      <w:lvlJc w:val="left"/>
      <w:pPr>
        <w:ind w:left="539" w:hanging="802"/>
        <w:jc w:val="left"/>
      </w:pPr>
      <w:rPr>
        <w:rFonts w:hint="default"/>
      </w:rPr>
    </w:lvl>
    <w:lvl w:ilvl="2">
      <w:start w:val="14"/>
      <w:numFmt w:val="decimal"/>
      <w:lvlText w:val="%1.%2.%3"/>
      <w:lvlJc w:val="left"/>
      <w:pPr>
        <w:ind w:left="539" w:hanging="802"/>
        <w:jc w:val="left"/>
      </w:pPr>
      <w:rPr>
        <w:rFonts w:hint="default"/>
      </w:rPr>
    </w:lvl>
    <w:lvl w:ilvl="3">
      <w:start w:val="1"/>
      <w:numFmt w:val="decimal"/>
      <w:lvlText w:val="%1.%2.%3.%4."/>
      <w:lvlJc w:val="left"/>
      <w:pPr>
        <w:ind w:left="539" w:hanging="802"/>
        <w:jc w:val="left"/>
      </w:pPr>
      <w:rPr>
        <w:rFonts w:hint="default" w:ascii="Times New Roman" w:hAnsi="Times New Roman" w:eastAsia="Times New Roman" w:cs="Times New Roman"/>
        <w:b/>
        <w:bCs/>
        <w:spacing w:val="-2"/>
        <w:w w:val="99"/>
        <w:sz w:val="20"/>
        <w:szCs w:val="20"/>
      </w:rPr>
    </w:lvl>
    <w:lvl w:ilvl="4">
      <w:start w:val="1"/>
      <w:numFmt w:val="lowerRoman"/>
      <w:lvlText w:val="%5."/>
      <w:lvlJc w:val="left"/>
      <w:pPr>
        <w:ind w:left="1350" w:hanging="377"/>
        <w:jc w:val="right"/>
      </w:pPr>
      <w:rPr>
        <w:rFonts w:hint="default" w:ascii="Times New Roman" w:hAnsi="Times New Roman" w:eastAsia="Times New Roman" w:cs="Times New Roman"/>
        <w:spacing w:val="-1"/>
        <w:w w:val="99"/>
        <w:sz w:val="20"/>
        <w:szCs w:val="20"/>
      </w:rPr>
    </w:lvl>
    <w:lvl w:ilvl="5">
      <w:start w:val="0"/>
      <w:numFmt w:val="bullet"/>
      <w:lvlText w:val="•"/>
      <w:lvlJc w:val="left"/>
      <w:pPr>
        <w:ind w:left="5182" w:hanging="377"/>
      </w:pPr>
      <w:rPr>
        <w:rFonts w:hint="default"/>
      </w:rPr>
    </w:lvl>
    <w:lvl w:ilvl="6">
      <w:start w:val="0"/>
      <w:numFmt w:val="bullet"/>
      <w:lvlText w:val="•"/>
      <w:lvlJc w:val="left"/>
      <w:pPr>
        <w:ind w:left="6137" w:hanging="377"/>
      </w:pPr>
      <w:rPr>
        <w:rFonts w:hint="default"/>
      </w:rPr>
    </w:lvl>
    <w:lvl w:ilvl="7">
      <w:start w:val="0"/>
      <w:numFmt w:val="bullet"/>
      <w:lvlText w:val="•"/>
      <w:lvlJc w:val="left"/>
      <w:pPr>
        <w:ind w:left="7093" w:hanging="377"/>
      </w:pPr>
      <w:rPr>
        <w:rFonts w:hint="default"/>
      </w:rPr>
    </w:lvl>
    <w:lvl w:ilvl="8">
      <w:start w:val="0"/>
      <w:numFmt w:val="bullet"/>
      <w:lvlText w:val="•"/>
      <w:lvlJc w:val="left"/>
      <w:pPr>
        <w:ind w:left="8048" w:hanging="377"/>
      </w:pPr>
      <w:rPr>
        <w:rFonts w:hint="default"/>
      </w:rPr>
    </w:lvl>
  </w:abstractNum>
  <w:abstractNum w:abstractNumId="19">
    <w:multiLevelType w:val="hybridMultilevel"/>
    <w:lvl w:ilvl="0">
      <w:start w:val="0"/>
      <w:numFmt w:val="bullet"/>
      <w:lvlText w:val="•"/>
      <w:lvlJc w:val="left"/>
      <w:pPr>
        <w:ind w:left="179" w:hanging="360"/>
      </w:pPr>
      <w:rPr>
        <w:rFonts w:hint="default" w:ascii="Times New Roman" w:hAnsi="Times New Roman" w:eastAsia="Times New Roman" w:cs="Times New Roman"/>
        <w:w w:val="99"/>
        <w:sz w:val="20"/>
        <w:szCs w:val="20"/>
      </w:rPr>
    </w:lvl>
    <w:lvl w:ilvl="1">
      <w:start w:val="0"/>
      <w:numFmt w:val="bullet"/>
      <w:lvlText w:val="•"/>
      <w:lvlJc w:val="left"/>
      <w:pPr>
        <w:ind w:left="1158" w:hanging="360"/>
      </w:pPr>
      <w:rPr>
        <w:rFonts w:hint="default"/>
      </w:rPr>
    </w:lvl>
    <w:lvl w:ilvl="2">
      <w:start w:val="0"/>
      <w:numFmt w:val="bullet"/>
      <w:lvlText w:val="•"/>
      <w:lvlJc w:val="left"/>
      <w:pPr>
        <w:ind w:left="2136" w:hanging="360"/>
      </w:pPr>
      <w:rPr>
        <w:rFonts w:hint="default"/>
      </w:rPr>
    </w:lvl>
    <w:lvl w:ilvl="3">
      <w:start w:val="0"/>
      <w:numFmt w:val="bullet"/>
      <w:lvlText w:val="•"/>
      <w:lvlJc w:val="left"/>
      <w:pPr>
        <w:ind w:left="3114" w:hanging="360"/>
      </w:pPr>
      <w:rPr>
        <w:rFonts w:hint="default"/>
      </w:rPr>
    </w:lvl>
    <w:lvl w:ilvl="4">
      <w:start w:val="0"/>
      <w:numFmt w:val="bullet"/>
      <w:lvlText w:val="•"/>
      <w:lvlJc w:val="left"/>
      <w:pPr>
        <w:ind w:left="4092" w:hanging="360"/>
      </w:pPr>
      <w:rPr>
        <w:rFonts w:hint="default"/>
      </w:rPr>
    </w:lvl>
    <w:lvl w:ilvl="5">
      <w:start w:val="0"/>
      <w:numFmt w:val="bullet"/>
      <w:lvlText w:val="•"/>
      <w:lvlJc w:val="left"/>
      <w:pPr>
        <w:ind w:left="5070" w:hanging="360"/>
      </w:pPr>
      <w:rPr>
        <w:rFonts w:hint="default"/>
      </w:rPr>
    </w:lvl>
    <w:lvl w:ilvl="6">
      <w:start w:val="0"/>
      <w:numFmt w:val="bullet"/>
      <w:lvlText w:val="•"/>
      <w:lvlJc w:val="left"/>
      <w:pPr>
        <w:ind w:left="6048" w:hanging="360"/>
      </w:pPr>
      <w:rPr>
        <w:rFonts w:hint="default"/>
      </w:rPr>
    </w:lvl>
    <w:lvl w:ilvl="7">
      <w:start w:val="0"/>
      <w:numFmt w:val="bullet"/>
      <w:lvlText w:val="•"/>
      <w:lvlJc w:val="left"/>
      <w:pPr>
        <w:ind w:left="7026" w:hanging="360"/>
      </w:pPr>
      <w:rPr>
        <w:rFonts w:hint="default"/>
      </w:rPr>
    </w:lvl>
    <w:lvl w:ilvl="8">
      <w:start w:val="0"/>
      <w:numFmt w:val="bullet"/>
      <w:lvlText w:val="•"/>
      <w:lvlJc w:val="left"/>
      <w:pPr>
        <w:ind w:left="8004" w:hanging="360"/>
      </w:pPr>
      <w:rPr>
        <w:rFonts w:hint="default"/>
      </w:rPr>
    </w:lvl>
  </w:abstractNum>
  <w:abstractNum w:abstractNumId="18">
    <w:multiLevelType w:val="hybridMultilevel"/>
    <w:lvl w:ilvl="0">
      <w:start w:val="2"/>
      <w:numFmt w:val="decimal"/>
      <w:lvlText w:val="%1"/>
      <w:lvlJc w:val="left"/>
      <w:pPr>
        <w:ind w:left="2361" w:hanging="1102"/>
        <w:jc w:val="left"/>
      </w:pPr>
      <w:rPr>
        <w:rFonts w:hint="default"/>
      </w:rPr>
    </w:lvl>
    <w:lvl w:ilvl="1">
      <w:start w:val="6"/>
      <w:numFmt w:val="decimal"/>
      <w:lvlText w:val="%1.%2"/>
      <w:lvlJc w:val="left"/>
      <w:pPr>
        <w:ind w:left="2361" w:hanging="1102"/>
        <w:jc w:val="left"/>
      </w:pPr>
      <w:rPr>
        <w:rFonts w:hint="default"/>
      </w:rPr>
    </w:lvl>
    <w:lvl w:ilvl="2">
      <w:start w:val="13"/>
      <w:numFmt w:val="decimal"/>
      <w:lvlText w:val="%1.%2.%3"/>
      <w:lvlJc w:val="left"/>
      <w:pPr>
        <w:ind w:left="2361" w:hanging="1102"/>
        <w:jc w:val="left"/>
      </w:pPr>
      <w:rPr>
        <w:rFonts w:hint="default"/>
      </w:rPr>
    </w:lvl>
    <w:lvl w:ilvl="3">
      <w:start w:val="4"/>
      <w:numFmt w:val="decimal"/>
      <w:lvlText w:val="%1.%2.%3.%4"/>
      <w:lvlJc w:val="left"/>
      <w:pPr>
        <w:ind w:left="2361" w:hanging="1102"/>
        <w:jc w:val="left"/>
      </w:pPr>
      <w:rPr>
        <w:rFonts w:hint="default"/>
      </w:rPr>
    </w:lvl>
    <w:lvl w:ilvl="4">
      <w:start w:val="3"/>
      <w:numFmt w:val="decimal"/>
      <w:lvlText w:val="%1.%2.%3.%4.%5"/>
      <w:lvlJc w:val="left"/>
      <w:pPr>
        <w:ind w:left="2361" w:hanging="1102"/>
        <w:jc w:val="left"/>
      </w:pPr>
      <w:rPr>
        <w:rFonts w:hint="default"/>
      </w:rPr>
    </w:lvl>
    <w:lvl w:ilvl="5">
      <w:start w:val="1"/>
      <w:numFmt w:val="decimal"/>
      <w:lvlText w:val="%1.%2.%3.%4.%5.%6."/>
      <w:lvlJc w:val="left"/>
      <w:pPr>
        <w:ind w:left="2361" w:hanging="1102"/>
        <w:jc w:val="left"/>
      </w:pPr>
      <w:rPr>
        <w:rFonts w:hint="default" w:ascii="Times New Roman" w:hAnsi="Times New Roman" w:eastAsia="Times New Roman" w:cs="Times New Roman"/>
        <w:b/>
        <w:bCs/>
        <w:spacing w:val="-2"/>
        <w:w w:val="99"/>
        <w:sz w:val="20"/>
        <w:szCs w:val="20"/>
      </w:rPr>
    </w:lvl>
    <w:lvl w:ilvl="6">
      <w:start w:val="1"/>
      <w:numFmt w:val="decimal"/>
      <w:lvlText w:val="%7."/>
      <w:lvlJc w:val="left"/>
      <w:pPr>
        <w:ind w:left="1980" w:hanging="360"/>
        <w:jc w:val="left"/>
      </w:pPr>
      <w:rPr>
        <w:rFonts w:hint="default" w:ascii="Times New Roman" w:hAnsi="Times New Roman" w:eastAsia="Times New Roman" w:cs="Times New Roman"/>
        <w:spacing w:val="0"/>
        <w:w w:val="99"/>
        <w:sz w:val="20"/>
        <w:szCs w:val="20"/>
      </w:rPr>
    </w:lvl>
    <w:lvl w:ilvl="7">
      <w:start w:val="1"/>
      <w:numFmt w:val="lowerRoman"/>
      <w:lvlText w:val="%8."/>
      <w:lvlJc w:val="left"/>
      <w:pPr>
        <w:ind w:left="2339" w:hanging="375"/>
        <w:jc w:val="right"/>
      </w:pPr>
      <w:rPr>
        <w:rFonts w:hint="default" w:ascii="Times New Roman" w:hAnsi="Times New Roman" w:eastAsia="Times New Roman" w:cs="Times New Roman"/>
        <w:spacing w:val="-1"/>
        <w:w w:val="99"/>
        <w:sz w:val="20"/>
        <w:szCs w:val="20"/>
      </w:rPr>
    </w:lvl>
    <w:lvl w:ilvl="8">
      <w:start w:val="1"/>
      <w:numFmt w:val="lowerLetter"/>
      <w:lvlText w:val="%9."/>
      <w:lvlJc w:val="left"/>
      <w:pPr>
        <w:ind w:left="2698" w:hanging="360"/>
        <w:jc w:val="left"/>
      </w:pPr>
      <w:rPr>
        <w:rFonts w:hint="default" w:ascii="Times New Roman" w:hAnsi="Times New Roman" w:eastAsia="Times New Roman" w:cs="Times New Roman"/>
        <w:w w:val="99"/>
        <w:sz w:val="20"/>
        <w:szCs w:val="20"/>
      </w:rPr>
    </w:lvl>
  </w:abstractNum>
  <w:abstractNum w:abstractNumId="17">
    <w:multiLevelType w:val="hybridMultilevel"/>
    <w:lvl w:ilvl="0">
      <w:start w:val="1"/>
      <w:numFmt w:val="lowerRoman"/>
      <w:lvlText w:val="%1."/>
      <w:lvlJc w:val="left"/>
      <w:pPr>
        <w:ind w:left="1979" w:hanging="375"/>
        <w:jc w:val="right"/>
      </w:pPr>
      <w:rPr>
        <w:rFonts w:hint="default" w:ascii="Times New Roman" w:hAnsi="Times New Roman" w:eastAsia="Times New Roman" w:cs="Times New Roman"/>
        <w:spacing w:val="-1"/>
        <w:w w:val="99"/>
        <w:sz w:val="20"/>
        <w:szCs w:val="20"/>
      </w:rPr>
    </w:lvl>
    <w:lvl w:ilvl="1">
      <w:start w:val="0"/>
      <w:numFmt w:val="bullet"/>
      <w:lvlText w:val="-"/>
      <w:lvlJc w:val="left"/>
      <w:pPr>
        <w:ind w:left="2339" w:hanging="360"/>
      </w:pPr>
      <w:rPr>
        <w:rFonts w:hint="default" w:ascii="Times New Roman" w:hAnsi="Times New Roman" w:eastAsia="Times New Roman" w:cs="Times New Roman"/>
        <w:w w:val="99"/>
        <w:sz w:val="20"/>
        <w:szCs w:val="20"/>
      </w:rPr>
    </w:lvl>
    <w:lvl w:ilvl="2">
      <w:start w:val="0"/>
      <w:numFmt w:val="bullet"/>
      <w:lvlText w:val="•"/>
      <w:lvlJc w:val="left"/>
      <w:pPr>
        <w:ind w:left="3186" w:hanging="360"/>
      </w:pPr>
      <w:rPr>
        <w:rFonts w:hint="default"/>
      </w:rPr>
    </w:lvl>
    <w:lvl w:ilvl="3">
      <w:start w:val="0"/>
      <w:numFmt w:val="bullet"/>
      <w:lvlText w:val="•"/>
      <w:lvlJc w:val="left"/>
      <w:pPr>
        <w:ind w:left="4033" w:hanging="360"/>
      </w:pPr>
      <w:rPr>
        <w:rFonts w:hint="default"/>
      </w:rPr>
    </w:lvl>
    <w:lvl w:ilvl="4">
      <w:start w:val="0"/>
      <w:numFmt w:val="bullet"/>
      <w:lvlText w:val="•"/>
      <w:lvlJc w:val="left"/>
      <w:pPr>
        <w:ind w:left="4880" w:hanging="360"/>
      </w:pPr>
      <w:rPr>
        <w:rFonts w:hint="default"/>
      </w:rPr>
    </w:lvl>
    <w:lvl w:ilvl="5">
      <w:start w:val="0"/>
      <w:numFmt w:val="bullet"/>
      <w:lvlText w:val="•"/>
      <w:lvlJc w:val="left"/>
      <w:pPr>
        <w:ind w:left="5726" w:hanging="360"/>
      </w:pPr>
      <w:rPr>
        <w:rFonts w:hint="default"/>
      </w:rPr>
    </w:lvl>
    <w:lvl w:ilvl="6">
      <w:start w:val="0"/>
      <w:numFmt w:val="bullet"/>
      <w:lvlText w:val="•"/>
      <w:lvlJc w:val="left"/>
      <w:pPr>
        <w:ind w:left="6573" w:hanging="360"/>
      </w:pPr>
      <w:rPr>
        <w:rFonts w:hint="default"/>
      </w:rPr>
    </w:lvl>
    <w:lvl w:ilvl="7">
      <w:start w:val="0"/>
      <w:numFmt w:val="bullet"/>
      <w:lvlText w:val="•"/>
      <w:lvlJc w:val="left"/>
      <w:pPr>
        <w:ind w:left="7420" w:hanging="360"/>
      </w:pPr>
      <w:rPr>
        <w:rFonts w:hint="default"/>
      </w:rPr>
    </w:lvl>
    <w:lvl w:ilvl="8">
      <w:start w:val="0"/>
      <w:numFmt w:val="bullet"/>
      <w:lvlText w:val="•"/>
      <w:lvlJc w:val="left"/>
      <w:pPr>
        <w:ind w:left="8266" w:hanging="360"/>
      </w:pPr>
      <w:rPr>
        <w:rFonts w:hint="default"/>
      </w:rPr>
    </w:lvl>
  </w:abstractNum>
  <w:abstractNum w:abstractNumId="16">
    <w:multiLevelType w:val="hybridMultilevel"/>
    <w:lvl w:ilvl="0">
      <w:start w:val="2"/>
      <w:numFmt w:val="decimal"/>
      <w:lvlText w:val="%1"/>
      <w:lvlJc w:val="left"/>
      <w:pPr>
        <w:ind w:left="898" w:hanging="915"/>
        <w:jc w:val="left"/>
      </w:pPr>
      <w:rPr>
        <w:rFonts w:hint="default"/>
      </w:rPr>
    </w:lvl>
    <w:lvl w:ilvl="1">
      <w:start w:val="6"/>
      <w:numFmt w:val="decimal"/>
      <w:lvlText w:val="%1.%2"/>
      <w:lvlJc w:val="left"/>
      <w:pPr>
        <w:ind w:left="898" w:hanging="915"/>
        <w:jc w:val="left"/>
      </w:pPr>
      <w:rPr>
        <w:rFonts w:hint="default"/>
      </w:rPr>
    </w:lvl>
    <w:lvl w:ilvl="2">
      <w:start w:val="13"/>
      <w:numFmt w:val="decimal"/>
      <w:lvlText w:val="%1.%2.%3"/>
      <w:lvlJc w:val="left"/>
      <w:pPr>
        <w:ind w:left="898" w:hanging="915"/>
        <w:jc w:val="left"/>
      </w:pPr>
      <w:rPr>
        <w:rFonts w:hint="default"/>
      </w:rPr>
    </w:lvl>
    <w:lvl w:ilvl="3">
      <w:start w:val="4"/>
      <w:numFmt w:val="decimal"/>
      <w:lvlText w:val="%1.%2.%3.%4"/>
      <w:lvlJc w:val="left"/>
      <w:pPr>
        <w:ind w:left="898" w:hanging="915"/>
        <w:jc w:val="left"/>
      </w:pPr>
      <w:rPr>
        <w:rFonts w:hint="default"/>
      </w:rPr>
    </w:lvl>
    <w:lvl w:ilvl="4">
      <w:start w:val="1"/>
      <w:numFmt w:val="decimal"/>
      <w:lvlText w:val="%1.%2.%3.%4.%5."/>
      <w:lvlJc w:val="left"/>
      <w:pPr>
        <w:ind w:left="898" w:hanging="915"/>
        <w:jc w:val="left"/>
      </w:pPr>
      <w:rPr>
        <w:rFonts w:hint="default" w:ascii="Times New Roman" w:hAnsi="Times New Roman" w:eastAsia="Times New Roman" w:cs="Times New Roman"/>
        <w:b/>
        <w:bCs/>
        <w:spacing w:val="-2"/>
        <w:w w:val="99"/>
        <w:sz w:val="20"/>
        <w:szCs w:val="20"/>
      </w:rPr>
    </w:lvl>
    <w:lvl w:ilvl="5">
      <w:start w:val="1"/>
      <w:numFmt w:val="lowerLetter"/>
      <w:lvlText w:val="%6."/>
      <w:lvlJc w:val="left"/>
      <w:pPr>
        <w:ind w:left="1618" w:hanging="360"/>
        <w:jc w:val="left"/>
      </w:pPr>
      <w:rPr>
        <w:rFonts w:hint="default" w:ascii="Times New Roman" w:hAnsi="Times New Roman" w:eastAsia="Times New Roman" w:cs="Times New Roman"/>
        <w:w w:val="99"/>
        <w:sz w:val="20"/>
        <w:szCs w:val="20"/>
      </w:rPr>
    </w:lvl>
    <w:lvl w:ilvl="6">
      <w:start w:val="1"/>
      <w:numFmt w:val="decimal"/>
      <w:lvlText w:val="%7."/>
      <w:lvlJc w:val="left"/>
      <w:pPr>
        <w:ind w:left="1978" w:hanging="360"/>
        <w:jc w:val="left"/>
      </w:pPr>
      <w:rPr>
        <w:rFonts w:hint="default" w:ascii="Times New Roman" w:hAnsi="Times New Roman" w:eastAsia="Times New Roman" w:cs="Times New Roman"/>
        <w:spacing w:val="0"/>
        <w:w w:val="99"/>
        <w:sz w:val="20"/>
        <w:szCs w:val="20"/>
      </w:rPr>
    </w:lvl>
    <w:lvl w:ilvl="7">
      <w:start w:val="0"/>
      <w:numFmt w:val="bullet"/>
      <w:lvlText w:val="•"/>
      <w:lvlJc w:val="left"/>
      <w:pPr>
        <w:ind w:left="6967" w:hanging="360"/>
      </w:pPr>
      <w:rPr>
        <w:rFonts w:hint="default"/>
      </w:rPr>
    </w:lvl>
    <w:lvl w:ilvl="8">
      <w:start w:val="0"/>
      <w:numFmt w:val="bullet"/>
      <w:lvlText w:val="•"/>
      <w:lvlJc w:val="left"/>
      <w:pPr>
        <w:ind w:left="7965" w:hanging="360"/>
      </w:pPr>
      <w:rPr>
        <w:rFonts w:hint="default"/>
      </w:rPr>
    </w:lvl>
  </w:abstractNum>
  <w:abstractNum w:abstractNumId="15">
    <w:multiLevelType w:val="hybridMultilevel"/>
    <w:lvl w:ilvl="0">
      <w:start w:val="2"/>
      <w:numFmt w:val="decimal"/>
      <w:lvlText w:val="%1"/>
      <w:lvlJc w:val="left"/>
      <w:pPr>
        <w:ind w:left="539" w:hanging="759"/>
        <w:jc w:val="left"/>
      </w:pPr>
      <w:rPr>
        <w:rFonts w:hint="default"/>
      </w:rPr>
    </w:lvl>
    <w:lvl w:ilvl="1">
      <w:start w:val="6"/>
      <w:numFmt w:val="decimal"/>
      <w:lvlText w:val="%1.%2"/>
      <w:lvlJc w:val="left"/>
      <w:pPr>
        <w:ind w:left="539" w:hanging="759"/>
        <w:jc w:val="left"/>
      </w:pPr>
      <w:rPr>
        <w:rFonts w:hint="default"/>
      </w:rPr>
    </w:lvl>
    <w:lvl w:ilvl="2">
      <w:start w:val="13"/>
      <w:numFmt w:val="decimal"/>
      <w:lvlText w:val="%1.%2.%3"/>
      <w:lvlJc w:val="left"/>
      <w:pPr>
        <w:ind w:left="539" w:hanging="759"/>
        <w:jc w:val="left"/>
      </w:pPr>
      <w:rPr>
        <w:rFonts w:hint="default"/>
      </w:rPr>
    </w:lvl>
    <w:lvl w:ilvl="3">
      <w:start w:val="1"/>
      <w:numFmt w:val="decimal"/>
      <w:lvlText w:val="%1.%2.%3.%4."/>
      <w:lvlJc w:val="left"/>
      <w:pPr>
        <w:ind w:left="539" w:hanging="759"/>
        <w:jc w:val="left"/>
      </w:pPr>
      <w:rPr>
        <w:rFonts w:hint="default" w:ascii="Times New Roman" w:hAnsi="Times New Roman" w:eastAsia="Times New Roman" w:cs="Times New Roman"/>
        <w:b/>
        <w:bCs/>
        <w:spacing w:val="-2"/>
        <w:w w:val="99"/>
        <w:sz w:val="20"/>
        <w:szCs w:val="20"/>
      </w:rPr>
    </w:lvl>
    <w:lvl w:ilvl="4">
      <w:start w:val="0"/>
      <w:numFmt w:val="bullet"/>
      <w:lvlText w:val="•"/>
      <w:lvlJc w:val="left"/>
      <w:pPr>
        <w:ind w:left="1259" w:hanging="360"/>
      </w:pPr>
      <w:rPr>
        <w:rFonts w:hint="default" w:ascii="Times New Roman" w:hAnsi="Times New Roman" w:eastAsia="Times New Roman" w:cs="Times New Roman"/>
        <w:w w:val="99"/>
        <w:sz w:val="20"/>
        <w:szCs w:val="20"/>
      </w:rPr>
    </w:lvl>
    <w:lvl w:ilvl="5">
      <w:start w:val="0"/>
      <w:numFmt w:val="bullet"/>
      <w:lvlText w:val="•"/>
      <w:lvlJc w:val="left"/>
      <w:pPr>
        <w:ind w:left="5126" w:hanging="360"/>
      </w:pPr>
      <w:rPr>
        <w:rFonts w:hint="default"/>
      </w:rPr>
    </w:lvl>
    <w:lvl w:ilvl="6">
      <w:start w:val="0"/>
      <w:numFmt w:val="bullet"/>
      <w:lvlText w:val="•"/>
      <w:lvlJc w:val="left"/>
      <w:pPr>
        <w:ind w:left="6093" w:hanging="360"/>
      </w:pPr>
      <w:rPr>
        <w:rFonts w:hint="default"/>
      </w:rPr>
    </w:lvl>
    <w:lvl w:ilvl="7">
      <w:start w:val="0"/>
      <w:numFmt w:val="bullet"/>
      <w:lvlText w:val="•"/>
      <w:lvlJc w:val="left"/>
      <w:pPr>
        <w:ind w:left="7060" w:hanging="360"/>
      </w:pPr>
      <w:rPr>
        <w:rFonts w:hint="default"/>
      </w:rPr>
    </w:lvl>
    <w:lvl w:ilvl="8">
      <w:start w:val="0"/>
      <w:numFmt w:val="bullet"/>
      <w:lvlText w:val="•"/>
      <w:lvlJc w:val="left"/>
      <w:pPr>
        <w:ind w:left="8026" w:hanging="360"/>
      </w:pPr>
      <w:rPr>
        <w:rFonts w:hint="default"/>
      </w:rPr>
    </w:lvl>
  </w:abstractNum>
  <w:abstractNum w:abstractNumId="14">
    <w:multiLevelType w:val="hybridMultilevel"/>
    <w:lvl w:ilvl="0">
      <w:start w:val="1"/>
      <w:numFmt w:val="decimal"/>
      <w:lvlText w:val="%1."/>
      <w:lvlJc w:val="left"/>
      <w:pPr>
        <w:ind w:left="899" w:hanging="360"/>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1806" w:hanging="360"/>
      </w:pPr>
      <w:rPr>
        <w:rFonts w:hint="default"/>
      </w:rPr>
    </w:lvl>
    <w:lvl w:ilvl="2">
      <w:start w:val="0"/>
      <w:numFmt w:val="bullet"/>
      <w:lvlText w:val="•"/>
      <w:lvlJc w:val="left"/>
      <w:pPr>
        <w:ind w:left="2712" w:hanging="360"/>
      </w:pPr>
      <w:rPr>
        <w:rFonts w:hint="default"/>
      </w:rPr>
    </w:lvl>
    <w:lvl w:ilvl="3">
      <w:start w:val="0"/>
      <w:numFmt w:val="bullet"/>
      <w:lvlText w:val="•"/>
      <w:lvlJc w:val="left"/>
      <w:pPr>
        <w:ind w:left="3618" w:hanging="360"/>
      </w:pPr>
      <w:rPr>
        <w:rFonts w:hint="default"/>
      </w:rPr>
    </w:lvl>
    <w:lvl w:ilvl="4">
      <w:start w:val="0"/>
      <w:numFmt w:val="bullet"/>
      <w:lvlText w:val="•"/>
      <w:lvlJc w:val="left"/>
      <w:pPr>
        <w:ind w:left="4524"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336" w:hanging="360"/>
      </w:pPr>
      <w:rPr>
        <w:rFonts w:hint="default"/>
      </w:rPr>
    </w:lvl>
    <w:lvl w:ilvl="7">
      <w:start w:val="0"/>
      <w:numFmt w:val="bullet"/>
      <w:lvlText w:val="•"/>
      <w:lvlJc w:val="left"/>
      <w:pPr>
        <w:ind w:left="7242" w:hanging="360"/>
      </w:pPr>
      <w:rPr>
        <w:rFonts w:hint="default"/>
      </w:rPr>
    </w:lvl>
    <w:lvl w:ilvl="8">
      <w:start w:val="0"/>
      <w:numFmt w:val="bullet"/>
      <w:lvlText w:val="•"/>
      <w:lvlJc w:val="left"/>
      <w:pPr>
        <w:ind w:left="8148" w:hanging="360"/>
      </w:pPr>
      <w:rPr>
        <w:rFonts w:hint="default"/>
      </w:rPr>
    </w:lvl>
  </w:abstractNum>
  <w:abstractNum w:abstractNumId="13">
    <w:multiLevelType w:val="hybridMultilevel"/>
    <w:lvl w:ilvl="0">
      <w:start w:val="1"/>
      <w:numFmt w:val="decimal"/>
      <w:lvlText w:val="%1."/>
      <w:lvlJc w:val="left"/>
      <w:pPr>
        <w:ind w:left="899" w:hanging="360"/>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1806" w:hanging="360"/>
      </w:pPr>
      <w:rPr>
        <w:rFonts w:hint="default"/>
      </w:rPr>
    </w:lvl>
    <w:lvl w:ilvl="2">
      <w:start w:val="0"/>
      <w:numFmt w:val="bullet"/>
      <w:lvlText w:val="•"/>
      <w:lvlJc w:val="left"/>
      <w:pPr>
        <w:ind w:left="2712" w:hanging="360"/>
      </w:pPr>
      <w:rPr>
        <w:rFonts w:hint="default"/>
      </w:rPr>
    </w:lvl>
    <w:lvl w:ilvl="3">
      <w:start w:val="0"/>
      <w:numFmt w:val="bullet"/>
      <w:lvlText w:val="•"/>
      <w:lvlJc w:val="left"/>
      <w:pPr>
        <w:ind w:left="3618" w:hanging="360"/>
      </w:pPr>
      <w:rPr>
        <w:rFonts w:hint="default"/>
      </w:rPr>
    </w:lvl>
    <w:lvl w:ilvl="4">
      <w:start w:val="0"/>
      <w:numFmt w:val="bullet"/>
      <w:lvlText w:val="•"/>
      <w:lvlJc w:val="left"/>
      <w:pPr>
        <w:ind w:left="4524" w:hanging="360"/>
      </w:pPr>
      <w:rPr>
        <w:rFonts w:hint="default"/>
      </w:rPr>
    </w:lvl>
    <w:lvl w:ilvl="5">
      <w:start w:val="0"/>
      <w:numFmt w:val="bullet"/>
      <w:lvlText w:val="•"/>
      <w:lvlJc w:val="left"/>
      <w:pPr>
        <w:ind w:left="5430" w:hanging="360"/>
      </w:pPr>
      <w:rPr>
        <w:rFonts w:hint="default"/>
      </w:rPr>
    </w:lvl>
    <w:lvl w:ilvl="6">
      <w:start w:val="0"/>
      <w:numFmt w:val="bullet"/>
      <w:lvlText w:val="•"/>
      <w:lvlJc w:val="left"/>
      <w:pPr>
        <w:ind w:left="6336" w:hanging="360"/>
      </w:pPr>
      <w:rPr>
        <w:rFonts w:hint="default"/>
      </w:rPr>
    </w:lvl>
    <w:lvl w:ilvl="7">
      <w:start w:val="0"/>
      <w:numFmt w:val="bullet"/>
      <w:lvlText w:val="•"/>
      <w:lvlJc w:val="left"/>
      <w:pPr>
        <w:ind w:left="7242" w:hanging="360"/>
      </w:pPr>
      <w:rPr>
        <w:rFonts w:hint="default"/>
      </w:rPr>
    </w:lvl>
    <w:lvl w:ilvl="8">
      <w:start w:val="0"/>
      <w:numFmt w:val="bullet"/>
      <w:lvlText w:val="•"/>
      <w:lvlJc w:val="left"/>
      <w:pPr>
        <w:ind w:left="8148" w:hanging="360"/>
      </w:pPr>
      <w:rPr>
        <w:rFonts w:hint="default"/>
      </w:rPr>
    </w:lvl>
  </w:abstractNum>
  <w:abstractNum w:abstractNumId="12">
    <w:multiLevelType w:val="hybridMultilevel"/>
    <w:lvl w:ilvl="0">
      <w:start w:val="1"/>
      <w:numFmt w:val="upperLetter"/>
      <w:lvlText w:val="%1."/>
      <w:lvlJc w:val="left"/>
      <w:pPr>
        <w:ind w:left="475" w:hanging="296"/>
        <w:jc w:val="left"/>
      </w:pPr>
      <w:rPr>
        <w:rFonts w:hint="default" w:ascii="Times New Roman" w:hAnsi="Times New Roman" w:eastAsia="Times New Roman" w:cs="Times New Roman"/>
        <w:b/>
        <w:bCs/>
        <w:w w:val="99"/>
        <w:sz w:val="20"/>
        <w:szCs w:val="20"/>
      </w:rPr>
    </w:lvl>
    <w:lvl w:ilvl="1">
      <w:start w:val="1"/>
      <w:numFmt w:val="decimal"/>
      <w:lvlText w:val="%2."/>
      <w:lvlJc w:val="left"/>
      <w:pPr>
        <w:ind w:left="899" w:hanging="360"/>
        <w:jc w:val="left"/>
      </w:pPr>
      <w:rPr>
        <w:rFonts w:hint="default" w:ascii="Times New Roman" w:hAnsi="Times New Roman" w:eastAsia="Times New Roman" w:cs="Times New Roman"/>
        <w:spacing w:val="0"/>
        <w:w w:val="99"/>
        <w:sz w:val="20"/>
        <w:szCs w:val="20"/>
      </w:rPr>
    </w:lvl>
    <w:lvl w:ilvl="2">
      <w:start w:val="1"/>
      <w:numFmt w:val="lowerLetter"/>
      <w:lvlText w:val="(%3)"/>
      <w:lvlJc w:val="left"/>
      <w:pPr>
        <w:ind w:left="1259" w:hanging="360"/>
        <w:jc w:val="left"/>
      </w:pPr>
      <w:rPr>
        <w:rFonts w:hint="default" w:ascii="Times New Roman" w:hAnsi="Times New Roman" w:eastAsia="Times New Roman" w:cs="Times New Roman"/>
        <w:w w:val="99"/>
        <w:sz w:val="20"/>
        <w:szCs w:val="20"/>
      </w:rPr>
    </w:lvl>
    <w:lvl w:ilvl="3">
      <w:start w:val="1"/>
      <w:numFmt w:val="lowerRoman"/>
      <w:lvlText w:val="%4."/>
      <w:lvlJc w:val="left"/>
      <w:pPr>
        <w:ind w:left="1619" w:hanging="375"/>
        <w:jc w:val="right"/>
      </w:pPr>
      <w:rPr>
        <w:rFonts w:hint="default" w:ascii="Times New Roman" w:hAnsi="Times New Roman" w:eastAsia="Times New Roman" w:cs="Times New Roman"/>
        <w:spacing w:val="-1"/>
        <w:w w:val="99"/>
        <w:sz w:val="20"/>
        <w:szCs w:val="20"/>
      </w:rPr>
    </w:lvl>
    <w:lvl w:ilvl="4">
      <w:start w:val="0"/>
      <w:numFmt w:val="bullet"/>
      <w:lvlText w:val="•"/>
      <w:lvlJc w:val="left"/>
      <w:pPr>
        <w:ind w:left="2811" w:hanging="375"/>
      </w:pPr>
      <w:rPr>
        <w:rFonts w:hint="default"/>
      </w:rPr>
    </w:lvl>
    <w:lvl w:ilvl="5">
      <w:start w:val="0"/>
      <w:numFmt w:val="bullet"/>
      <w:lvlText w:val="•"/>
      <w:lvlJc w:val="left"/>
      <w:pPr>
        <w:ind w:left="4002" w:hanging="375"/>
      </w:pPr>
      <w:rPr>
        <w:rFonts w:hint="default"/>
      </w:rPr>
    </w:lvl>
    <w:lvl w:ilvl="6">
      <w:start w:val="0"/>
      <w:numFmt w:val="bullet"/>
      <w:lvlText w:val="•"/>
      <w:lvlJc w:val="left"/>
      <w:pPr>
        <w:ind w:left="5194" w:hanging="375"/>
      </w:pPr>
      <w:rPr>
        <w:rFonts w:hint="default"/>
      </w:rPr>
    </w:lvl>
    <w:lvl w:ilvl="7">
      <w:start w:val="0"/>
      <w:numFmt w:val="bullet"/>
      <w:lvlText w:val="•"/>
      <w:lvlJc w:val="left"/>
      <w:pPr>
        <w:ind w:left="6385" w:hanging="375"/>
      </w:pPr>
      <w:rPr>
        <w:rFonts w:hint="default"/>
      </w:rPr>
    </w:lvl>
    <w:lvl w:ilvl="8">
      <w:start w:val="0"/>
      <w:numFmt w:val="bullet"/>
      <w:lvlText w:val="•"/>
      <w:lvlJc w:val="left"/>
      <w:pPr>
        <w:ind w:left="7577" w:hanging="375"/>
      </w:pPr>
      <w:rPr>
        <w:rFonts w:hint="default"/>
      </w:rPr>
    </w:lvl>
  </w:abstractNum>
  <w:abstractNum w:abstractNumId="11">
    <w:multiLevelType w:val="hybridMultilevel"/>
    <w:lvl w:ilvl="0">
      <w:start w:val="2"/>
      <w:numFmt w:val="decimal"/>
      <w:lvlText w:val="%1"/>
      <w:lvlJc w:val="left"/>
      <w:pPr>
        <w:ind w:left="179" w:hanging="569"/>
        <w:jc w:val="left"/>
      </w:pPr>
      <w:rPr>
        <w:rFonts w:hint="default"/>
      </w:rPr>
    </w:lvl>
    <w:lvl w:ilvl="1">
      <w:start w:val="6"/>
      <w:numFmt w:val="decimal"/>
      <w:lvlText w:val="%1.%2"/>
      <w:lvlJc w:val="left"/>
      <w:pPr>
        <w:ind w:left="179" w:hanging="569"/>
        <w:jc w:val="left"/>
      </w:pPr>
      <w:rPr>
        <w:rFonts w:hint="default"/>
      </w:rPr>
    </w:lvl>
    <w:lvl w:ilvl="2">
      <w:start w:val="8"/>
      <w:numFmt w:val="decimal"/>
      <w:lvlText w:val="%1.%2.%3."/>
      <w:lvlJc w:val="left"/>
      <w:pPr>
        <w:ind w:left="179" w:hanging="569"/>
        <w:jc w:val="left"/>
      </w:pPr>
      <w:rPr>
        <w:rFonts w:hint="default" w:ascii="Times New Roman" w:hAnsi="Times New Roman" w:eastAsia="Times New Roman" w:cs="Times New Roman"/>
        <w:b/>
        <w:bCs/>
        <w:spacing w:val="0"/>
        <w:w w:val="99"/>
        <w:sz w:val="20"/>
        <w:szCs w:val="20"/>
      </w:rPr>
    </w:lvl>
    <w:lvl w:ilvl="3">
      <w:start w:val="1"/>
      <w:numFmt w:val="decimal"/>
      <w:lvlText w:val="%4."/>
      <w:lvlJc w:val="left"/>
      <w:pPr>
        <w:ind w:left="899" w:hanging="360"/>
        <w:jc w:val="left"/>
      </w:pPr>
      <w:rPr>
        <w:rFonts w:hint="default" w:ascii="Times New Roman" w:hAnsi="Times New Roman" w:eastAsia="Times New Roman" w:cs="Times New Roman"/>
        <w:spacing w:val="0"/>
        <w:w w:val="99"/>
        <w:sz w:val="20"/>
        <w:szCs w:val="20"/>
      </w:rPr>
    </w:lvl>
    <w:lvl w:ilvl="4">
      <w:start w:val="1"/>
      <w:numFmt w:val="lowerLetter"/>
      <w:lvlText w:val="(%5)"/>
      <w:lvlJc w:val="left"/>
      <w:pPr>
        <w:ind w:left="1259" w:hanging="360"/>
        <w:jc w:val="left"/>
      </w:pPr>
      <w:rPr>
        <w:rFonts w:hint="default" w:ascii="Times New Roman" w:hAnsi="Times New Roman" w:eastAsia="Times New Roman" w:cs="Times New Roman"/>
        <w:w w:val="99"/>
        <w:sz w:val="20"/>
        <w:szCs w:val="20"/>
      </w:rPr>
    </w:lvl>
    <w:lvl w:ilvl="5">
      <w:start w:val="1"/>
      <w:numFmt w:val="lowerRoman"/>
      <w:lvlText w:val="%6."/>
      <w:lvlJc w:val="left"/>
      <w:pPr>
        <w:ind w:left="1979" w:hanging="375"/>
        <w:jc w:val="right"/>
      </w:pPr>
      <w:rPr>
        <w:rFonts w:hint="default" w:ascii="Times New Roman" w:hAnsi="Times New Roman" w:eastAsia="Times New Roman" w:cs="Times New Roman"/>
        <w:spacing w:val="-1"/>
        <w:w w:val="99"/>
        <w:sz w:val="20"/>
        <w:szCs w:val="20"/>
      </w:rPr>
    </w:lvl>
    <w:lvl w:ilvl="6">
      <w:start w:val="0"/>
      <w:numFmt w:val="bullet"/>
      <w:lvlText w:val="•"/>
      <w:lvlJc w:val="left"/>
      <w:pPr>
        <w:ind w:left="5400" w:hanging="375"/>
      </w:pPr>
      <w:rPr>
        <w:rFonts w:hint="default"/>
      </w:rPr>
    </w:lvl>
    <w:lvl w:ilvl="7">
      <w:start w:val="0"/>
      <w:numFmt w:val="bullet"/>
      <w:lvlText w:val="•"/>
      <w:lvlJc w:val="left"/>
      <w:pPr>
        <w:ind w:left="6540" w:hanging="375"/>
      </w:pPr>
      <w:rPr>
        <w:rFonts w:hint="default"/>
      </w:rPr>
    </w:lvl>
    <w:lvl w:ilvl="8">
      <w:start w:val="0"/>
      <w:numFmt w:val="bullet"/>
      <w:lvlText w:val="•"/>
      <w:lvlJc w:val="left"/>
      <w:pPr>
        <w:ind w:left="7680" w:hanging="375"/>
      </w:pPr>
      <w:rPr>
        <w:rFonts w:hint="default"/>
      </w:rPr>
    </w:lvl>
  </w:abstractNum>
  <w:abstractNum w:abstractNumId="10">
    <w:multiLevelType w:val="hybridMultilevel"/>
    <w:lvl w:ilvl="0">
      <w:start w:val="2"/>
      <w:numFmt w:val="decimal"/>
      <w:lvlText w:val="%1"/>
      <w:lvlJc w:val="left"/>
      <w:pPr>
        <w:ind w:left="732" w:hanging="552"/>
        <w:jc w:val="left"/>
      </w:pPr>
      <w:rPr>
        <w:rFonts w:hint="default"/>
      </w:rPr>
    </w:lvl>
    <w:lvl w:ilvl="1">
      <w:start w:val="6"/>
      <w:numFmt w:val="decimal"/>
      <w:lvlText w:val="%1.%2"/>
      <w:lvlJc w:val="left"/>
      <w:pPr>
        <w:ind w:left="732" w:hanging="552"/>
        <w:jc w:val="left"/>
      </w:pPr>
      <w:rPr>
        <w:rFonts w:hint="default"/>
      </w:rPr>
    </w:lvl>
    <w:lvl w:ilvl="2">
      <w:start w:val="1"/>
      <w:numFmt w:val="decimal"/>
      <w:lvlText w:val="%1.%2.%3."/>
      <w:lvlJc w:val="left"/>
      <w:pPr>
        <w:ind w:left="732" w:hanging="552"/>
        <w:jc w:val="left"/>
      </w:pPr>
      <w:rPr>
        <w:rFonts w:hint="default" w:ascii="Times New Roman" w:hAnsi="Times New Roman" w:eastAsia="Times New Roman" w:cs="Times New Roman"/>
        <w:b/>
        <w:bCs/>
        <w:spacing w:val="0"/>
        <w:w w:val="99"/>
        <w:sz w:val="20"/>
        <w:szCs w:val="20"/>
      </w:rPr>
    </w:lvl>
    <w:lvl w:ilvl="3">
      <w:start w:val="1"/>
      <w:numFmt w:val="decimal"/>
      <w:lvlText w:val="%4."/>
      <w:lvlJc w:val="left"/>
      <w:pPr>
        <w:ind w:left="900" w:hanging="360"/>
        <w:jc w:val="left"/>
      </w:pPr>
      <w:rPr>
        <w:rFonts w:hint="default" w:ascii="Times New Roman" w:hAnsi="Times New Roman" w:eastAsia="Times New Roman" w:cs="Times New Roman"/>
        <w:spacing w:val="0"/>
        <w:w w:val="99"/>
        <w:sz w:val="20"/>
        <w:szCs w:val="20"/>
      </w:rPr>
    </w:lvl>
    <w:lvl w:ilvl="4">
      <w:start w:val="1"/>
      <w:numFmt w:val="lowerLetter"/>
      <w:lvlText w:val="%5."/>
      <w:lvlJc w:val="left"/>
      <w:pPr>
        <w:ind w:left="1260" w:hanging="360"/>
        <w:jc w:val="left"/>
      </w:pPr>
      <w:rPr>
        <w:rFonts w:hint="default" w:ascii="Times New Roman" w:hAnsi="Times New Roman" w:eastAsia="Times New Roman" w:cs="Times New Roman"/>
        <w:w w:val="99"/>
        <w:sz w:val="20"/>
        <w:szCs w:val="20"/>
      </w:rPr>
    </w:lvl>
    <w:lvl w:ilvl="5">
      <w:start w:val="1"/>
      <w:numFmt w:val="decimal"/>
      <w:lvlText w:val="(%6)"/>
      <w:lvlJc w:val="left"/>
      <w:pPr>
        <w:ind w:left="1620" w:hanging="361"/>
        <w:jc w:val="left"/>
      </w:pPr>
      <w:rPr>
        <w:rFonts w:hint="default" w:ascii="Times New Roman" w:hAnsi="Times New Roman" w:eastAsia="Times New Roman" w:cs="Times New Roman"/>
        <w:w w:val="99"/>
        <w:sz w:val="20"/>
        <w:szCs w:val="20"/>
      </w:rPr>
    </w:lvl>
    <w:lvl w:ilvl="6">
      <w:start w:val="0"/>
      <w:numFmt w:val="bullet"/>
      <w:lvlText w:val="•"/>
      <w:lvlJc w:val="left"/>
      <w:pPr>
        <w:ind w:left="5194" w:hanging="361"/>
      </w:pPr>
      <w:rPr>
        <w:rFonts w:hint="default"/>
      </w:rPr>
    </w:lvl>
    <w:lvl w:ilvl="7">
      <w:start w:val="0"/>
      <w:numFmt w:val="bullet"/>
      <w:lvlText w:val="•"/>
      <w:lvlJc w:val="left"/>
      <w:pPr>
        <w:ind w:left="6385" w:hanging="361"/>
      </w:pPr>
      <w:rPr>
        <w:rFonts w:hint="default"/>
      </w:rPr>
    </w:lvl>
    <w:lvl w:ilvl="8">
      <w:start w:val="0"/>
      <w:numFmt w:val="bullet"/>
      <w:lvlText w:val="•"/>
      <w:lvlJc w:val="left"/>
      <w:pPr>
        <w:ind w:left="7577" w:hanging="361"/>
      </w:pPr>
      <w:rPr>
        <w:rFonts w:hint="default"/>
      </w:rPr>
    </w:lvl>
  </w:abstractNum>
  <w:abstractNum w:abstractNumId="9">
    <w:multiLevelType w:val="hybridMultilevel"/>
    <w:lvl w:ilvl="0">
      <w:start w:val="23"/>
      <w:numFmt w:val="upperLetter"/>
      <w:lvlText w:val="%1"/>
      <w:lvlJc w:val="left"/>
      <w:pPr>
        <w:ind w:left="2916" w:hanging="322"/>
        <w:jc w:val="left"/>
      </w:pPr>
      <w:rPr>
        <w:rFonts w:hint="default" w:ascii="Arial" w:hAnsi="Arial" w:eastAsia="Arial" w:cs="Arial"/>
        <w:w w:val="101"/>
        <w:sz w:val="17"/>
        <w:szCs w:val="17"/>
      </w:rPr>
    </w:lvl>
    <w:lvl w:ilvl="1">
      <w:start w:val="0"/>
      <w:numFmt w:val="bullet"/>
      <w:lvlText w:val="•"/>
      <w:lvlJc w:val="left"/>
      <w:pPr>
        <w:ind w:left="2941" w:hanging="322"/>
      </w:pPr>
      <w:rPr>
        <w:rFonts w:hint="default"/>
      </w:rPr>
    </w:lvl>
    <w:lvl w:ilvl="2">
      <w:start w:val="0"/>
      <w:numFmt w:val="bullet"/>
      <w:lvlText w:val="•"/>
      <w:lvlJc w:val="left"/>
      <w:pPr>
        <w:ind w:left="2962" w:hanging="322"/>
      </w:pPr>
      <w:rPr>
        <w:rFonts w:hint="default"/>
      </w:rPr>
    </w:lvl>
    <w:lvl w:ilvl="3">
      <w:start w:val="0"/>
      <w:numFmt w:val="bullet"/>
      <w:lvlText w:val="•"/>
      <w:lvlJc w:val="left"/>
      <w:pPr>
        <w:ind w:left="2983" w:hanging="322"/>
      </w:pPr>
      <w:rPr>
        <w:rFonts w:hint="default"/>
      </w:rPr>
    </w:lvl>
    <w:lvl w:ilvl="4">
      <w:start w:val="0"/>
      <w:numFmt w:val="bullet"/>
      <w:lvlText w:val="•"/>
      <w:lvlJc w:val="left"/>
      <w:pPr>
        <w:ind w:left="3004" w:hanging="322"/>
      </w:pPr>
      <w:rPr>
        <w:rFonts w:hint="default"/>
      </w:rPr>
    </w:lvl>
    <w:lvl w:ilvl="5">
      <w:start w:val="0"/>
      <w:numFmt w:val="bullet"/>
      <w:lvlText w:val="•"/>
      <w:lvlJc w:val="left"/>
      <w:pPr>
        <w:ind w:left="3025" w:hanging="322"/>
      </w:pPr>
      <w:rPr>
        <w:rFonts w:hint="default"/>
      </w:rPr>
    </w:lvl>
    <w:lvl w:ilvl="6">
      <w:start w:val="0"/>
      <w:numFmt w:val="bullet"/>
      <w:lvlText w:val="•"/>
      <w:lvlJc w:val="left"/>
      <w:pPr>
        <w:ind w:left="3046" w:hanging="322"/>
      </w:pPr>
      <w:rPr>
        <w:rFonts w:hint="default"/>
      </w:rPr>
    </w:lvl>
    <w:lvl w:ilvl="7">
      <w:start w:val="0"/>
      <w:numFmt w:val="bullet"/>
      <w:lvlText w:val="•"/>
      <w:lvlJc w:val="left"/>
      <w:pPr>
        <w:ind w:left="3067" w:hanging="322"/>
      </w:pPr>
      <w:rPr>
        <w:rFonts w:hint="default"/>
      </w:rPr>
    </w:lvl>
    <w:lvl w:ilvl="8">
      <w:start w:val="0"/>
      <w:numFmt w:val="bullet"/>
      <w:lvlText w:val="•"/>
      <w:lvlJc w:val="left"/>
      <w:pPr>
        <w:ind w:left="3088" w:hanging="322"/>
      </w:pPr>
      <w:rPr>
        <w:rFonts w:hint="default"/>
      </w:rPr>
    </w:lvl>
  </w:abstractNum>
  <w:abstractNum w:abstractNumId="8">
    <w:multiLevelType w:val="hybridMultilevel"/>
    <w:lvl w:ilvl="0">
      <w:start w:val="2"/>
      <w:numFmt w:val="decimal"/>
      <w:lvlText w:val="%1"/>
      <w:lvlJc w:val="left"/>
      <w:pPr>
        <w:ind w:left="179" w:hanging="600"/>
        <w:jc w:val="left"/>
      </w:pPr>
      <w:rPr>
        <w:rFonts w:hint="default"/>
      </w:rPr>
    </w:lvl>
    <w:lvl w:ilvl="1">
      <w:start w:val="5"/>
      <w:numFmt w:val="decimal"/>
      <w:lvlText w:val="%1.%2"/>
      <w:lvlJc w:val="left"/>
      <w:pPr>
        <w:ind w:left="179" w:hanging="600"/>
        <w:jc w:val="left"/>
      </w:pPr>
      <w:rPr>
        <w:rFonts w:hint="default"/>
      </w:rPr>
    </w:lvl>
    <w:lvl w:ilvl="2">
      <w:start w:val="6"/>
      <w:numFmt w:val="decimal"/>
      <w:lvlText w:val="%1.%2.%3."/>
      <w:lvlJc w:val="left"/>
      <w:pPr>
        <w:ind w:left="179" w:hanging="600"/>
        <w:jc w:val="left"/>
      </w:pPr>
      <w:rPr>
        <w:rFonts w:hint="default" w:ascii="Times New Roman" w:hAnsi="Times New Roman" w:eastAsia="Times New Roman" w:cs="Times New Roman"/>
        <w:b/>
        <w:bCs/>
        <w:spacing w:val="0"/>
        <w:w w:val="99"/>
        <w:sz w:val="20"/>
        <w:szCs w:val="20"/>
      </w:rPr>
    </w:lvl>
    <w:lvl w:ilvl="3">
      <w:start w:val="1"/>
      <w:numFmt w:val="decimal"/>
      <w:lvlText w:val="%4."/>
      <w:lvlJc w:val="left"/>
      <w:pPr>
        <w:ind w:left="899" w:hanging="360"/>
        <w:jc w:val="left"/>
      </w:pPr>
      <w:rPr>
        <w:rFonts w:hint="default" w:ascii="Times New Roman" w:hAnsi="Times New Roman" w:eastAsia="Times New Roman" w:cs="Times New Roman"/>
        <w:spacing w:val="0"/>
        <w:w w:val="99"/>
        <w:sz w:val="20"/>
        <w:szCs w:val="20"/>
      </w:rPr>
    </w:lvl>
    <w:lvl w:ilvl="4">
      <w:start w:val="0"/>
      <w:numFmt w:val="bullet"/>
      <w:lvlText w:val="-"/>
      <w:lvlJc w:val="left"/>
      <w:pPr>
        <w:ind w:left="1425" w:hanging="166"/>
      </w:pPr>
      <w:rPr>
        <w:rFonts w:hint="default" w:ascii="Times New Roman" w:hAnsi="Times New Roman" w:eastAsia="Times New Roman" w:cs="Times New Roman"/>
        <w:w w:val="99"/>
        <w:sz w:val="20"/>
        <w:szCs w:val="20"/>
      </w:rPr>
    </w:lvl>
    <w:lvl w:ilvl="5">
      <w:start w:val="0"/>
      <w:numFmt w:val="bullet"/>
      <w:lvlText w:val="•"/>
      <w:lvlJc w:val="left"/>
      <w:pPr>
        <w:ind w:left="4622" w:hanging="166"/>
      </w:pPr>
      <w:rPr>
        <w:rFonts w:hint="default"/>
      </w:rPr>
    </w:lvl>
    <w:lvl w:ilvl="6">
      <w:start w:val="0"/>
      <w:numFmt w:val="bullet"/>
      <w:lvlText w:val="•"/>
      <w:lvlJc w:val="left"/>
      <w:pPr>
        <w:ind w:left="5690" w:hanging="166"/>
      </w:pPr>
      <w:rPr>
        <w:rFonts w:hint="default"/>
      </w:rPr>
    </w:lvl>
    <w:lvl w:ilvl="7">
      <w:start w:val="0"/>
      <w:numFmt w:val="bullet"/>
      <w:lvlText w:val="•"/>
      <w:lvlJc w:val="left"/>
      <w:pPr>
        <w:ind w:left="6757" w:hanging="166"/>
      </w:pPr>
      <w:rPr>
        <w:rFonts w:hint="default"/>
      </w:rPr>
    </w:lvl>
    <w:lvl w:ilvl="8">
      <w:start w:val="0"/>
      <w:numFmt w:val="bullet"/>
      <w:lvlText w:val="•"/>
      <w:lvlJc w:val="left"/>
      <w:pPr>
        <w:ind w:left="7825" w:hanging="166"/>
      </w:pPr>
      <w:rPr>
        <w:rFonts w:hint="default"/>
      </w:rPr>
    </w:lvl>
  </w:abstractNum>
  <w:abstractNum w:abstractNumId="7">
    <w:multiLevelType w:val="hybridMultilevel"/>
    <w:lvl w:ilvl="0">
      <w:start w:val="1"/>
      <w:numFmt w:val="decimal"/>
      <w:lvlText w:val="(%1)"/>
      <w:lvlJc w:val="left"/>
      <w:pPr>
        <w:ind w:left="180" w:hanging="286"/>
        <w:jc w:val="left"/>
      </w:pPr>
      <w:rPr>
        <w:rFonts w:hint="default" w:ascii="Times New Roman" w:hAnsi="Times New Roman" w:eastAsia="Times New Roman" w:cs="Times New Roman"/>
        <w:w w:val="99"/>
        <w:sz w:val="20"/>
        <w:szCs w:val="20"/>
      </w:rPr>
    </w:lvl>
    <w:lvl w:ilvl="1">
      <w:start w:val="1"/>
      <w:numFmt w:val="decimal"/>
      <w:lvlText w:val="%2."/>
      <w:lvlJc w:val="left"/>
      <w:pPr>
        <w:ind w:left="899" w:hanging="360"/>
        <w:jc w:val="left"/>
      </w:pPr>
      <w:rPr>
        <w:rFonts w:hint="default" w:ascii="Times New Roman" w:hAnsi="Times New Roman" w:eastAsia="Times New Roman" w:cs="Times New Roman"/>
        <w:spacing w:val="0"/>
        <w:w w:val="99"/>
        <w:sz w:val="20"/>
        <w:szCs w:val="20"/>
      </w:rPr>
    </w:lvl>
    <w:lvl w:ilvl="2">
      <w:start w:val="0"/>
      <w:numFmt w:val="bullet"/>
      <w:lvlText w:val="•"/>
      <w:lvlJc w:val="left"/>
      <w:pPr>
        <w:ind w:left="1906" w:hanging="360"/>
      </w:pPr>
      <w:rPr>
        <w:rFonts w:hint="default"/>
      </w:rPr>
    </w:lvl>
    <w:lvl w:ilvl="3">
      <w:start w:val="0"/>
      <w:numFmt w:val="bullet"/>
      <w:lvlText w:val="•"/>
      <w:lvlJc w:val="left"/>
      <w:pPr>
        <w:ind w:left="2913" w:hanging="360"/>
      </w:pPr>
      <w:rPr>
        <w:rFonts w:hint="default"/>
      </w:rPr>
    </w:lvl>
    <w:lvl w:ilvl="4">
      <w:start w:val="0"/>
      <w:numFmt w:val="bullet"/>
      <w:lvlText w:val="•"/>
      <w:lvlJc w:val="left"/>
      <w:pPr>
        <w:ind w:left="3920" w:hanging="360"/>
      </w:pPr>
      <w:rPr>
        <w:rFonts w:hint="default"/>
      </w:rPr>
    </w:lvl>
    <w:lvl w:ilvl="5">
      <w:start w:val="0"/>
      <w:numFmt w:val="bullet"/>
      <w:lvlText w:val="•"/>
      <w:lvlJc w:val="left"/>
      <w:pPr>
        <w:ind w:left="4926" w:hanging="360"/>
      </w:pPr>
      <w:rPr>
        <w:rFonts w:hint="default"/>
      </w:rPr>
    </w:lvl>
    <w:lvl w:ilvl="6">
      <w:start w:val="0"/>
      <w:numFmt w:val="bullet"/>
      <w:lvlText w:val="•"/>
      <w:lvlJc w:val="left"/>
      <w:pPr>
        <w:ind w:left="5933" w:hanging="360"/>
      </w:pPr>
      <w:rPr>
        <w:rFonts w:hint="default"/>
      </w:rPr>
    </w:lvl>
    <w:lvl w:ilvl="7">
      <w:start w:val="0"/>
      <w:numFmt w:val="bullet"/>
      <w:lvlText w:val="•"/>
      <w:lvlJc w:val="left"/>
      <w:pPr>
        <w:ind w:left="6940" w:hanging="360"/>
      </w:pPr>
      <w:rPr>
        <w:rFonts w:hint="default"/>
      </w:rPr>
    </w:lvl>
    <w:lvl w:ilvl="8">
      <w:start w:val="0"/>
      <w:numFmt w:val="bullet"/>
      <w:lvlText w:val="•"/>
      <w:lvlJc w:val="left"/>
      <w:pPr>
        <w:ind w:left="7946" w:hanging="360"/>
      </w:pPr>
      <w:rPr>
        <w:rFonts w:hint="default"/>
      </w:rPr>
    </w:lvl>
  </w:abstractNum>
  <w:abstractNum w:abstractNumId="6">
    <w:multiLevelType w:val="hybridMultilevel"/>
    <w:lvl w:ilvl="0">
      <w:start w:val="2"/>
      <w:numFmt w:val="decimal"/>
      <w:lvlText w:val="%1"/>
      <w:lvlJc w:val="left"/>
      <w:pPr>
        <w:ind w:left="731" w:hanging="552"/>
        <w:jc w:val="left"/>
      </w:pPr>
      <w:rPr>
        <w:rFonts w:hint="default"/>
      </w:rPr>
    </w:lvl>
    <w:lvl w:ilvl="1">
      <w:start w:val="3"/>
      <w:numFmt w:val="decimal"/>
      <w:lvlText w:val="%1.%2"/>
      <w:lvlJc w:val="left"/>
      <w:pPr>
        <w:ind w:left="731" w:hanging="552"/>
        <w:jc w:val="left"/>
      </w:pPr>
      <w:rPr>
        <w:rFonts w:hint="default"/>
      </w:rPr>
    </w:lvl>
    <w:lvl w:ilvl="2">
      <w:start w:val="1"/>
      <w:numFmt w:val="decimal"/>
      <w:lvlText w:val="%1.%2.%3."/>
      <w:lvlJc w:val="left"/>
      <w:pPr>
        <w:ind w:left="731" w:hanging="552"/>
        <w:jc w:val="left"/>
      </w:pPr>
      <w:rPr>
        <w:rFonts w:hint="default" w:ascii="Times New Roman" w:hAnsi="Times New Roman" w:eastAsia="Times New Roman" w:cs="Times New Roman"/>
        <w:b/>
        <w:bCs/>
        <w:spacing w:val="0"/>
        <w:w w:val="99"/>
        <w:sz w:val="20"/>
        <w:szCs w:val="20"/>
      </w:rPr>
    </w:lvl>
    <w:lvl w:ilvl="3">
      <w:start w:val="1"/>
      <w:numFmt w:val="decimal"/>
      <w:lvlText w:val="%4."/>
      <w:lvlJc w:val="left"/>
      <w:pPr>
        <w:ind w:left="899" w:hanging="360"/>
        <w:jc w:val="left"/>
      </w:pPr>
      <w:rPr>
        <w:rFonts w:hint="default" w:ascii="Times New Roman" w:hAnsi="Times New Roman" w:eastAsia="Times New Roman" w:cs="Times New Roman"/>
        <w:spacing w:val="0"/>
        <w:w w:val="99"/>
        <w:sz w:val="20"/>
        <w:szCs w:val="20"/>
      </w:rPr>
    </w:lvl>
    <w:lvl w:ilvl="4">
      <w:start w:val="0"/>
      <w:numFmt w:val="bullet"/>
      <w:lvlText w:val="•"/>
      <w:lvlJc w:val="left"/>
      <w:pPr>
        <w:ind w:left="3920" w:hanging="360"/>
      </w:pPr>
      <w:rPr>
        <w:rFonts w:hint="default"/>
      </w:rPr>
    </w:lvl>
    <w:lvl w:ilvl="5">
      <w:start w:val="0"/>
      <w:numFmt w:val="bullet"/>
      <w:lvlText w:val="•"/>
      <w:lvlJc w:val="left"/>
      <w:pPr>
        <w:ind w:left="4926" w:hanging="360"/>
      </w:pPr>
      <w:rPr>
        <w:rFonts w:hint="default"/>
      </w:rPr>
    </w:lvl>
    <w:lvl w:ilvl="6">
      <w:start w:val="0"/>
      <w:numFmt w:val="bullet"/>
      <w:lvlText w:val="•"/>
      <w:lvlJc w:val="left"/>
      <w:pPr>
        <w:ind w:left="5933" w:hanging="360"/>
      </w:pPr>
      <w:rPr>
        <w:rFonts w:hint="default"/>
      </w:rPr>
    </w:lvl>
    <w:lvl w:ilvl="7">
      <w:start w:val="0"/>
      <w:numFmt w:val="bullet"/>
      <w:lvlText w:val="•"/>
      <w:lvlJc w:val="left"/>
      <w:pPr>
        <w:ind w:left="6940" w:hanging="360"/>
      </w:pPr>
      <w:rPr>
        <w:rFonts w:hint="default"/>
      </w:rPr>
    </w:lvl>
    <w:lvl w:ilvl="8">
      <w:start w:val="0"/>
      <w:numFmt w:val="bullet"/>
      <w:lvlText w:val="•"/>
      <w:lvlJc w:val="left"/>
      <w:pPr>
        <w:ind w:left="7946" w:hanging="360"/>
      </w:pPr>
      <w:rPr>
        <w:rFonts w:hint="default"/>
      </w:rPr>
    </w:lvl>
  </w:abstractNum>
  <w:abstractNum w:abstractNumId="5">
    <w:multiLevelType w:val="hybridMultilevel"/>
    <w:lvl w:ilvl="0">
      <w:start w:val="2"/>
      <w:numFmt w:val="decimal"/>
      <w:lvlText w:val="%1"/>
      <w:lvlJc w:val="left"/>
      <w:pPr>
        <w:ind w:left="179" w:hanging="644"/>
        <w:jc w:val="left"/>
      </w:pPr>
      <w:rPr>
        <w:rFonts w:hint="default"/>
      </w:rPr>
    </w:lvl>
    <w:lvl w:ilvl="1">
      <w:start w:val="2"/>
      <w:numFmt w:val="decimal"/>
      <w:lvlText w:val="%1.%2"/>
      <w:lvlJc w:val="left"/>
      <w:pPr>
        <w:ind w:left="179" w:hanging="644"/>
        <w:jc w:val="left"/>
      </w:pPr>
      <w:rPr>
        <w:rFonts w:hint="default"/>
      </w:rPr>
    </w:lvl>
    <w:lvl w:ilvl="2">
      <w:start w:val="13"/>
      <w:numFmt w:val="decimal"/>
      <w:lvlText w:val="%1.%2.%3."/>
      <w:lvlJc w:val="left"/>
      <w:pPr>
        <w:ind w:left="179" w:hanging="644"/>
        <w:jc w:val="left"/>
      </w:pPr>
      <w:rPr>
        <w:rFonts w:hint="default" w:ascii="Times New Roman" w:hAnsi="Times New Roman" w:eastAsia="Times New Roman" w:cs="Times New Roman"/>
        <w:b/>
        <w:bCs/>
        <w:spacing w:val="-2"/>
        <w:w w:val="99"/>
        <w:sz w:val="20"/>
        <w:szCs w:val="20"/>
      </w:rPr>
    </w:lvl>
    <w:lvl w:ilvl="3">
      <w:start w:val="0"/>
      <w:numFmt w:val="bullet"/>
      <w:lvlText w:val="•"/>
      <w:lvlJc w:val="left"/>
      <w:pPr>
        <w:ind w:left="3114" w:hanging="644"/>
      </w:pPr>
      <w:rPr>
        <w:rFonts w:hint="default"/>
      </w:rPr>
    </w:lvl>
    <w:lvl w:ilvl="4">
      <w:start w:val="0"/>
      <w:numFmt w:val="bullet"/>
      <w:lvlText w:val="•"/>
      <w:lvlJc w:val="left"/>
      <w:pPr>
        <w:ind w:left="4092" w:hanging="644"/>
      </w:pPr>
      <w:rPr>
        <w:rFonts w:hint="default"/>
      </w:rPr>
    </w:lvl>
    <w:lvl w:ilvl="5">
      <w:start w:val="0"/>
      <w:numFmt w:val="bullet"/>
      <w:lvlText w:val="•"/>
      <w:lvlJc w:val="left"/>
      <w:pPr>
        <w:ind w:left="5070" w:hanging="644"/>
      </w:pPr>
      <w:rPr>
        <w:rFonts w:hint="default"/>
      </w:rPr>
    </w:lvl>
    <w:lvl w:ilvl="6">
      <w:start w:val="0"/>
      <w:numFmt w:val="bullet"/>
      <w:lvlText w:val="•"/>
      <w:lvlJc w:val="left"/>
      <w:pPr>
        <w:ind w:left="6048" w:hanging="644"/>
      </w:pPr>
      <w:rPr>
        <w:rFonts w:hint="default"/>
      </w:rPr>
    </w:lvl>
    <w:lvl w:ilvl="7">
      <w:start w:val="0"/>
      <w:numFmt w:val="bullet"/>
      <w:lvlText w:val="•"/>
      <w:lvlJc w:val="left"/>
      <w:pPr>
        <w:ind w:left="7026" w:hanging="644"/>
      </w:pPr>
      <w:rPr>
        <w:rFonts w:hint="default"/>
      </w:rPr>
    </w:lvl>
    <w:lvl w:ilvl="8">
      <w:start w:val="0"/>
      <w:numFmt w:val="bullet"/>
      <w:lvlText w:val="•"/>
      <w:lvlJc w:val="left"/>
      <w:pPr>
        <w:ind w:left="8004" w:hanging="644"/>
      </w:pPr>
      <w:rPr>
        <w:rFonts w:hint="default"/>
      </w:rPr>
    </w:lvl>
  </w:abstractNum>
  <w:abstractNum w:abstractNumId="4">
    <w:multiLevelType w:val="hybridMultilevel"/>
    <w:lvl w:ilvl="0">
      <w:start w:val="2"/>
      <w:numFmt w:val="decimal"/>
      <w:lvlText w:val="%1"/>
      <w:lvlJc w:val="left"/>
      <w:pPr>
        <w:ind w:left="732" w:hanging="552"/>
        <w:jc w:val="left"/>
      </w:pPr>
      <w:rPr>
        <w:rFonts w:hint="default"/>
      </w:rPr>
    </w:lvl>
    <w:lvl w:ilvl="1">
      <w:start w:val="1"/>
      <w:numFmt w:val="decimal"/>
      <w:lvlText w:val="%1.%2"/>
      <w:lvlJc w:val="left"/>
      <w:pPr>
        <w:ind w:left="732" w:hanging="552"/>
        <w:jc w:val="left"/>
      </w:pPr>
      <w:rPr>
        <w:rFonts w:hint="default"/>
      </w:rPr>
    </w:lvl>
    <w:lvl w:ilvl="2">
      <w:start w:val="4"/>
      <w:numFmt w:val="decimal"/>
      <w:lvlText w:val="%1.%2.%3."/>
      <w:lvlJc w:val="left"/>
      <w:pPr>
        <w:ind w:left="732" w:hanging="552"/>
        <w:jc w:val="left"/>
      </w:pPr>
      <w:rPr>
        <w:rFonts w:hint="default" w:ascii="Times New Roman" w:hAnsi="Times New Roman" w:eastAsia="Times New Roman" w:cs="Times New Roman"/>
        <w:b/>
        <w:bCs/>
        <w:spacing w:val="0"/>
        <w:w w:val="99"/>
        <w:sz w:val="20"/>
        <w:szCs w:val="20"/>
      </w:rPr>
    </w:lvl>
    <w:lvl w:ilvl="3">
      <w:start w:val="1"/>
      <w:numFmt w:val="decimal"/>
      <w:lvlText w:val="(%4)"/>
      <w:lvlJc w:val="left"/>
      <w:pPr>
        <w:ind w:left="900" w:hanging="361"/>
        <w:jc w:val="left"/>
      </w:pPr>
      <w:rPr>
        <w:rFonts w:hint="default" w:ascii="Times New Roman" w:hAnsi="Times New Roman" w:eastAsia="Times New Roman" w:cs="Times New Roman"/>
        <w:w w:val="99"/>
        <w:sz w:val="20"/>
        <w:szCs w:val="20"/>
      </w:rPr>
    </w:lvl>
    <w:lvl w:ilvl="4">
      <w:start w:val="0"/>
      <w:numFmt w:val="bullet"/>
      <w:lvlText w:val="•"/>
      <w:lvlJc w:val="left"/>
      <w:pPr>
        <w:ind w:left="3920" w:hanging="361"/>
      </w:pPr>
      <w:rPr>
        <w:rFonts w:hint="default"/>
      </w:rPr>
    </w:lvl>
    <w:lvl w:ilvl="5">
      <w:start w:val="0"/>
      <w:numFmt w:val="bullet"/>
      <w:lvlText w:val="•"/>
      <w:lvlJc w:val="left"/>
      <w:pPr>
        <w:ind w:left="4926" w:hanging="361"/>
      </w:pPr>
      <w:rPr>
        <w:rFonts w:hint="default"/>
      </w:rPr>
    </w:lvl>
    <w:lvl w:ilvl="6">
      <w:start w:val="0"/>
      <w:numFmt w:val="bullet"/>
      <w:lvlText w:val="•"/>
      <w:lvlJc w:val="left"/>
      <w:pPr>
        <w:ind w:left="5933" w:hanging="361"/>
      </w:pPr>
      <w:rPr>
        <w:rFonts w:hint="default"/>
      </w:rPr>
    </w:lvl>
    <w:lvl w:ilvl="7">
      <w:start w:val="0"/>
      <w:numFmt w:val="bullet"/>
      <w:lvlText w:val="•"/>
      <w:lvlJc w:val="left"/>
      <w:pPr>
        <w:ind w:left="6940" w:hanging="361"/>
      </w:pPr>
      <w:rPr>
        <w:rFonts w:hint="default"/>
      </w:rPr>
    </w:lvl>
    <w:lvl w:ilvl="8">
      <w:start w:val="0"/>
      <w:numFmt w:val="bullet"/>
      <w:lvlText w:val="•"/>
      <w:lvlJc w:val="left"/>
      <w:pPr>
        <w:ind w:left="7946" w:hanging="361"/>
      </w:pPr>
      <w:rPr>
        <w:rFonts w:hint="default"/>
      </w:rPr>
    </w:lvl>
  </w:abstractNum>
  <w:abstractNum w:abstractNumId="3">
    <w:multiLevelType w:val="hybridMultilevel"/>
    <w:lvl w:ilvl="0">
      <w:start w:val="2"/>
      <w:numFmt w:val="decimal"/>
      <w:lvlText w:val="%1"/>
      <w:lvlJc w:val="left"/>
      <w:pPr>
        <w:ind w:left="832" w:hanging="653"/>
        <w:jc w:val="left"/>
      </w:pPr>
      <w:rPr>
        <w:rFonts w:hint="default"/>
      </w:rPr>
    </w:lvl>
    <w:lvl w:ilvl="1">
      <w:start w:val="6"/>
      <w:numFmt w:val="decimal"/>
      <w:lvlText w:val="%1.%2"/>
      <w:lvlJc w:val="left"/>
      <w:pPr>
        <w:ind w:left="832" w:hanging="653"/>
        <w:jc w:val="left"/>
      </w:pPr>
      <w:rPr>
        <w:rFonts w:hint="default"/>
      </w:rPr>
    </w:lvl>
    <w:lvl w:ilvl="2">
      <w:start w:val="10"/>
      <w:numFmt w:val="decimal"/>
      <w:lvlText w:val="%1.%2.%3."/>
      <w:lvlJc w:val="left"/>
      <w:pPr>
        <w:ind w:left="832" w:hanging="653"/>
        <w:jc w:val="left"/>
      </w:pPr>
      <w:rPr>
        <w:rFonts w:hint="default" w:ascii="Times New Roman" w:hAnsi="Times New Roman" w:eastAsia="Times New Roman" w:cs="Times New Roman"/>
        <w:spacing w:val="-2"/>
        <w:w w:val="99"/>
        <w:sz w:val="20"/>
        <w:szCs w:val="20"/>
      </w:rPr>
    </w:lvl>
    <w:lvl w:ilvl="3">
      <w:start w:val="0"/>
      <w:numFmt w:val="bullet"/>
      <w:lvlText w:val="•"/>
      <w:lvlJc w:val="left"/>
      <w:pPr>
        <w:ind w:left="3576" w:hanging="653"/>
      </w:pPr>
      <w:rPr>
        <w:rFonts w:hint="default"/>
      </w:rPr>
    </w:lvl>
    <w:lvl w:ilvl="4">
      <w:start w:val="0"/>
      <w:numFmt w:val="bullet"/>
      <w:lvlText w:val="•"/>
      <w:lvlJc w:val="left"/>
      <w:pPr>
        <w:ind w:left="4488" w:hanging="653"/>
      </w:pPr>
      <w:rPr>
        <w:rFonts w:hint="default"/>
      </w:rPr>
    </w:lvl>
    <w:lvl w:ilvl="5">
      <w:start w:val="0"/>
      <w:numFmt w:val="bullet"/>
      <w:lvlText w:val="•"/>
      <w:lvlJc w:val="left"/>
      <w:pPr>
        <w:ind w:left="5400" w:hanging="653"/>
      </w:pPr>
      <w:rPr>
        <w:rFonts w:hint="default"/>
      </w:rPr>
    </w:lvl>
    <w:lvl w:ilvl="6">
      <w:start w:val="0"/>
      <w:numFmt w:val="bullet"/>
      <w:lvlText w:val="•"/>
      <w:lvlJc w:val="left"/>
      <w:pPr>
        <w:ind w:left="6312" w:hanging="653"/>
      </w:pPr>
      <w:rPr>
        <w:rFonts w:hint="default"/>
      </w:rPr>
    </w:lvl>
    <w:lvl w:ilvl="7">
      <w:start w:val="0"/>
      <w:numFmt w:val="bullet"/>
      <w:lvlText w:val="•"/>
      <w:lvlJc w:val="left"/>
      <w:pPr>
        <w:ind w:left="7224" w:hanging="653"/>
      </w:pPr>
      <w:rPr>
        <w:rFonts w:hint="default"/>
      </w:rPr>
    </w:lvl>
    <w:lvl w:ilvl="8">
      <w:start w:val="0"/>
      <w:numFmt w:val="bullet"/>
      <w:lvlText w:val="•"/>
      <w:lvlJc w:val="left"/>
      <w:pPr>
        <w:ind w:left="8136" w:hanging="653"/>
      </w:pPr>
      <w:rPr>
        <w:rFonts w:hint="default"/>
      </w:rPr>
    </w:lvl>
  </w:abstractNum>
  <w:abstractNum w:abstractNumId="2">
    <w:multiLevelType w:val="hybridMultilevel"/>
    <w:lvl w:ilvl="0">
      <w:start w:val="2"/>
      <w:numFmt w:val="decimal"/>
      <w:lvlText w:val="%1"/>
      <w:lvlJc w:val="left"/>
      <w:pPr>
        <w:ind w:left="732" w:hanging="552"/>
        <w:jc w:val="left"/>
      </w:pPr>
      <w:rPr>
        <w:rFonts w:hint="default"/>
      </w:rPr>
    </w:lvl>
    <w:lvl w:ilvl="1">
      <w:start w:val="6"/>
      <w:numFmt w:val="decimal"/>
      <w:lvlText w:val="%1.%2"/>
      <w:lvlJc w:val="left"/>
      <w:pPr>
        <w:ind w:left="732" w:hanging="552"/>
        <w:jc w:val="left"/>
      </w:pPr>
      <w:rPr>
        <w:rFonts w:hint="default"/>
      </w:rPr>
    </w:lvl>
    <w:lvl w:ilvl="2">
      <w:start w:val="1"/>
      <w:numFmt w:val="decimal"/>
      <w:lvlText w:val="%1.%2.%3."/>
      <w:lvlJc w:val="left"/>
      <w:pPr>
        <w:ind w:left="732" w:hanging="552"/>
        <w:jc w:val="left"/>
      </w:pPr>
      <w:rPr>
        <w:rFonts w:hint="default" w:ascii="Times New Roman" w:hAnsi="Times New Roman" w:eastAsia="Times New Roman" w:cs="Times New Roman"/>
        <w:spacing w:val="0"/>
        <w:w w:val="99"/>
        <w:sz w:val="20"/>
        <w:szCs w:val="20"/>
      </w:rPr>
    </w:lvl>
    <w:lvl w:ilvl="3">
      <w:start w:val="0"/>
      <w:numFmt w:val="bullet"/>
      <w:lvlText w:val="•"/>
      <w:lvlJc w:val="left"/>
      <w:pPr>
        <w:ind w:left="3506" w:hanging="552"/>
      </w:pPr>
      <w:rPr>
        <w:rFonts w:hint="default"/>
      </w:rPr>
    </w:lvl>
    <w:lvl w:ilvl="4">
      <w:start w:val="0"/>
      <w:numFmt w:val="bullet"/>
      <w:lvlText w:val="•"/>
      <w:lvlJc w:val="left"/>
      <w:pPr>
        <w:ind w:left="4428" w:hanging="552"/>
      </w:pPr>
      <w:rPr>
        <w:rFonts w:hint="default"/>
      </w:rPr>
    </w:lvl>
    <w:lvl w:ilvl="5">
      <w:start w:val="0"/>
      <w:numFmt w:val="bullet"/>
      <w:lvlText w:val="•"/>
      <w:lvlJc w:val="left"/>
      <w:pPr>
        <w:ind w:left="5350" w:hanging="552"/>
      </w:pPr>
      <w:rPr>
        <w:rFonts w:hint="default"/>
      </w:rPr>
    </w:lvl>
    <w:lvl w:ilvl="6">
      <w:start w:val="0"/>
      <w:numFmt w:val="bullet"/>
      <w:lvlText w:val="•"/>
      <w:lvlJc w:val="left"/>
      <w:pPr>
        <w:ind w:left="6272" w:hanging="552"/>
      </w:pPr>
      <w:rPr>
        <w:rFonts w:hint="default"/>
      </w:rPr>
    </w:lvl>
    <w:lvl w:ilvl="7">
      <w:start w:val="0"/>
      <w:numFmt w:val="bullet"/>
      <w:lvlText w:val="•"/>
      <w:lvlJc w:val="left"/>
      <w:pPr>
        <w:ind w:left="7194" w:hanging="552"/>
      </w:pPr>
      <w:rPr>
        <w:rFonts w:hint="default"/>
      </w:rPr>
    </w:lvl>
    <w:lvl w:ilvl="8">
      <w:start w:val="0"/>
      <w:numFmt w:val="bullet"/>
      <w:lvlText w:val="•"/>
      <w:lvlJc w:val="left"/>
      <w:pPr>
        <w:ind w:left="8116" w:hanging="552"/>
      </w:pPr>
      <w:rPr>
        <w:rFonts w:hint="default"/>
      </w:rPr>
    </w:lvl>
  </w:abstractNum>
  <w:abstractNum w:abstractNumId="1">
    <w:multiLevelType w:val="hybridMultilevel"/>
    <w:lvl w:ilvl="0">
      <w:start w:val="2"/>
      <w:numFmt w:val="decimal"/>
      <w:lvlText w:val="%1"/>
      <w:lvlJc w:val="left"/>
      <w:pPr>
        <w:ind w:left="732" w:hanging="552"/>
        <w:jc w:val="left"/>
      </w:pPr>
      <w:rPr>
        <w:rFonts w:hint="default"/>
      </w:rPr>
    </w:lvl>
    <w:lvl w:ilvl="1">
      <w:start w:val="3"/>
      <w:numFmt w:val="decimal"/>
      <w:lvlText w:val="%1.%2"/>
      <w:lvlJc w:val="left"/>
      <w:pPr>
        <w:ind w:left="732" w:hanging="552"/>
        <w:jc w:val="left"/>
      </w:pPr>
      <w:rPr>
        <w:rFonts w:hint="default"/>
      </w:rPr>
    </w:lvl>
    <w:lvl w:ilvl="2">
      <w:start w:val="1"/>
      <w:numFmt w:val="decimal"/>
      <w:lvlText w:val="%1.%2.%3."/>
      <w:lvlJc w:val="left"/>
      <w:pPr>
        <w:ind w:left="732" w:hanging="552"/>
        <w:jc w:val="left"/>
      </w:pPr>
      <w:rPr>
        <w:rFonts w:hint="default" w:ascii="Times New Roman" w:hAnsi="Times New Roman" w:eastAsia="Times New Roman" w:cs="Times New Roman"/>
        <w:spacing w:val="0"/>
        <w:w w:val="99"/>
        <w:sz w:val="20"/>
        <w:szCs w:val="20"/>
      </w:rPr>
    </w:lvl>
    <w:lvl w:ilvl="3">
      <w:start w:val="0"/>
      <w:numFmt w:val="bullet"/>
      <w:lvlText w:val="•"/>
      <w:lvlJc w:val="left"/>
      <w:pPr>
        <w:ind w:left="3506" w:hanging="552"/>
      </w:pPr>
      <w:rPr>
        <w:rFonts w:hint="default"/>
      </w:rPr>
    </w:lvl>
    <w:lvl w:ilvl="4">
      <w:start w:val="0"/>
      <w:numFmt w:val="bullet"/>
      <w:lvlText w:val="•"/>
      <w:lvlJc w:val="left"/>
      <w:pPr>
        <w:ind w:left="4428" w:hanging="552"/>
      </w:pPr>
      <w:rPr>
        <w:rFonts w:hint="default"/>
      </w:rPr>
    </w:lvl>
    <w:lvl w:ilvl="5">
      <w:start w:val="0"/>
      <w:numFmt w:val="bullet"/>
      <w:lvlText w:val="•"/>
      <w:lvlJc w:val="left"/>
      <w:pPr>
        <w:ind w:left="5350" w:hanging="552"/>
      </w:pPr>
      <w:rPr>
        <w:rFonts w:hint="default"/>
      </w:rPr>
    </w:lvl>
    <w:lvl w:ilvl="6">
      <w:start w:val="0"/>
      <w:numFmt w:val="bullet"/>
      <w:lvlText w:val="•"/>
      <w:lvlJc w:val="left"/>
      <w:pPr>
        <w:ind w:left="6272" w:hanging="552"/>
      </w:pPr>
      <w:rPr>
        <w:rFonts w:hint="default"/>
      </w:rPr>
    </w:lvl>
    <w:lvl w:ilvl="7">
      <w:start w:val="0"/>
      <w:numFmt w:val="bullet"/>
      <w:lvlText w:val="•"/>
      <w:lvlJc w:val="left"/>
      <w:pPr>
        <w:ind w:left="7194" w:hanging="552"/>
      </w:pPr>
      <w:rPr>
        <w:rFonts w:hint="default"/>
      </w:rPr>
    </w:lvl>
    <w:lvl w:ilvl="8">
      <w:start w:val="0"/>
      <w:numFmt w:val="bullet"/>
      <w:lvlText w:val="•"/>
      <w:lvlJc w:val="left"/>
      <w:pPr>
        <w:ind w:left="8116" w:hanging="552"/>
      </w:pPr>
      <w:rPr>
        <w:rFonts w:hint="default"/>
      </w:rPr>
    </w:lvl>
  </w:abstractNum>
  <w:abstractNum w:abstractNumId="0">
    <w:multiLevelType w:val="hybridMultilevel"/>
    <w:lvl w:ilvl="0">
      <w:start w:val="2"/>
      <w:numFmt w:val="decimal"/>
      <w:lvlText w:val="%1"/>
      <w:lvlJc w:val="left"/>
      <w:pPr>
        <w:ind w:left="731" w:hanging="552"/>
        <w:jc w:val="left"/>
      </w:pPr>
      <w:rPr>
        <w:rFonts w:hint="default"/>
      </w:rPr>
    </w:lvl>
    <w:lvl w:ilvl="1">
      <w:start w:val="1"/>
      <w:numFmt w:val="decimal"/>
      <w:lvlText w:val="%1.%2"/>
      <w:lvlJc w:val="left"/>
      <w:pPr>
        <w:ind w:left="731" w:hanging="552"/>
        <w:jc w:val="left"/>
      </w:pPr>
      <w:rPr>
        <w:rFonts w:hint="default"/>
      </w:rPr>
    </w:lvl>
    <w:lvl w:ilvl="2">
      <w:start w:val="4"/>
      <w:numFmt w:val="decimal"/>
      <w:lvlText w:val="%1.%2.%3."/>
      <w:lvlJc w:val="left"/>
      <w:pPr>
        <w:ind w:left="731" w:hanging="552"/>
        <w:jc w:val="left"/>
      </w:pPr>
      <w:rPr>
        <w:rFonts w:hint="default" w:ascii="Times New Roman" w:hAnsi="Times New Roman" w:eastAsia="Times New Roman" w:cs="Times New Roman"/>
        <w:spacing w:val="0"/>
        <w:w w:val="99"/>
        <w:sz w:val="20"/>
        <w:szCs w:val="20"/>
      </w:rPr>
    </w:lvl>
    <w:lvl w:ilvl="3">
      <w:start w:val="0"/>
      <w:numFmt w:val="bullet"/>
      <w:lvlText w:val="•"/>
      <w:lvlJc w:val="left"/>
      <w:pPr>
        <w:ind w:left="3506" w:hanging="552"/>
      </w:pPr>
      <w:rPr>
        <w:rFonts w:hint="default"/>
      </w:rPr>
    </w:lvl>
    <w:lvl w:ilvl="4">
      <w:start w:val="0"/>
      <w:numFmt w:val="bullet"/>
      <w:lvlText w:val="•"/>
      <w:lvlJc w:val="left"/>
      <w:pPr>
        <w:ind w:left="4428" w:hanging="552"/>
      </w:pPr>
      <w:rPr>
        <w:rFonts w:hint="default"/>
      </w:rPr>
    </w:lvl>
    <w:lvl w:ilvl="5">
      <w:start w:val="0"/>
      <w:numFmt w:val="bullet"/>
      <w:lvlText w:val="•"/>
      <w:lvlJc w:val="left"/>
      <w:pPr>
        <w:ind w:left="5350" w:hanging="552"/>
      </w:pPr>
      <w:rPr>
        <w:rFonts w:hint="default"/>
      </w:rPr>
    </w:lvl>
    <w:lvl w:ilvl="6">
      <w:start w:val="0"/>
      <w:numFmt w:val="bullet"/>
      <w:lvlText w:val="•"/>
      <w:lvlJc w:val="left"/>
      <w:pPr>
        <w:ind w:left="6272" w:hanging="552"/>
      </w:pPr>
      <w:rPr>
        <w:rFonts w:hint="default"/>
      </w:rPr>
    </w:lvl>
    <w:lvl w:ilvl="7">
      <w:start w:val="0"/>
      <w:numFmt w:val="bullet"/>
      <w:lvlText w:val="•"/>
      <w:lvlJc w:val="left"/>
      <w:pPr>
        <w:ind w:left="7194" w:hanging="552"/>
      </w:pPr>
      <w:rPr>
        <w:rFonts w:hint="default"/>
      </w:rPr>
    </w:lvl>
    <w:lvl w:ilvl="8">
      <w:start w:val="0"/>
      <w:numFmt w:val="bullet"/>
      <w:lvlText w:val="•"/>
      <w:lvlJc w:val="left"/>
      <w:pPr>
        <w:ind w:left="8116" w:hanging="552"/>
      </w:pPr>
      <w:rPr>
        <w:rFonts w:hint="default"/>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200"/>
      <w:ind w:left="732" w:hanging="552"/>
    </w:pPr>
    <w:rPr>
      <w:rFonts w:ascii="Times New Roman" w:hAnsi="Times New Roman" w:eastAsia="Times New Roman" w:cs="Times New Roman"/>
      <w:sz w:val="20"/>
      <w:szCs w:val="20"/>
    </w:rPr>
  </w:style>
  <w:style w:styleId="TOC2" w:type="paragraph">
    <w:name w:val="TOC 2"/>
    <w:basedOn w:val="Normal"/>
    <w:uiPriority w:val="1"/>
    <w:qFormat/>
    <w:pPr>
      <w:ind w:left="180"/>
    </w:pPr>
    <w:rPr>
      <w:rFonts w:ascii="Times New Roman" w:hAnsi="Times New Roman" w:eastAsia="Times New Roman" w:cs="Times New Roman"/>
      <w:sz w:val="20"/>
      <w:szCs w:val="20"/>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179"/>
      <w:outlineLvl w:val="1"/>
    </w:pPr>
    <w:rPr>
      <w:rFonts w:ascii="Times New Roman" w:hAnsi="Times New Roman" w:eastAsia="Times New Roman" w:cs="Times New Roman"/>
      <w:b/>
      <w:bCs/>
      <w:sz w:val="20"/>
      <w:szCs w:val="20"/>
    </w:rPr>
  </w:style>
  <w:style w:styleId="ListParagraph" w:type="paragraph">
    <w:name w:val="List Paragraph"/>
    <w:basedOn w:val="Normal"/>
    <w:uiPriority w:val="1"/>
    <w:qFormat/>
    <w:pPr>
      <w:ind w:left="899" w:hanging="360"/>
    </w:pPr>
    <w:rPr>
      <w:rFonts w:ascii="Times New Roman" w:hAnsi="Times New Roman" w:eastAsia="Times New Roman" w:cs="Times New Roman"/>
    </w:rPr>
  </w:style>
  <w:style w:styleId="TableParagraph" w:type="paragraph">
    <w:name w:val="Table Paragraph"/>
    <w:basedOn w:val="Normal"/>
    <w:uiPriority w:val="1"/>
    <w:qFormat/>
    <w:pPr>
      <w:spacing w:before="43"/>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s://www.fsis.usda.gov/wps/portal/fsis/topics/regulatory-compliance/labeling/Labeling-Policies" TargetMode="External"/><Relationship Id="rId10" Type="http://schemas.openxmlformats.org/officeDocument/2006/relationships/hyperlink" Target="http://www.fsis.usda.gov/wps/portal/fsis/topics/regulatory-compliance/labeling/labeling-policies/basics-of-labeling/basics-labeling" TargetMode="Externa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image" Target="media/image1.png"/><Relationship Id="rId16" Type="http://schemas.openxmlformats.org/officeDocument/2006/relationships/image" Target="media/image2.png"/><Relationship Id="rId17" Type="http://schemas.openxmlformats.org/officeDocument/2006/relationships/image" Target="media/image3.png"/><Relationship Id="rId18" Type="http://schemas.openxmlformats.org/officeDocument/2006/relationships/image" Target="media/image4.png"/><Relationship Id="rId19" Type="http://schemas.openxmlformats.org/officeDocument/2006/relationships/image" Target="media/image5.png"/><Relationship Id="rId20" Type="http://schemas.openxmlformats.org/officeDocument/2006/relationships/image" Target="media/image6.png"/><Relationship Id="rId21" Type="http://schemas.openxmlformats.org/officeDocument/2006/relationships/image" Target="media/image7.png"/><Relationship Id="rId22" Type="http://schemas.openxmlformats.org/officeDocument/2006/relationships/image" Target="media/image8.png"/><Relationship Id="rId23" Type="http://schemas.openxmlformats.org/officeDocument/2006/relationships/image" Target="media/image9.png"/><Relationship Id="rId24" Type="http://schemas.openxmlformats.org/officeDocument/2006/relationships/footer" Target="footer7.xml"/><Relationship Id="rId25" Type="http://schemas.openxmlformats.org/officeDocument/2006/relationships/footer" Target="footer8.xml"/><Relationship Id="rId26" Type="http://schemas.openxmlformats.org/officeDocument/2006/relationships/hyperlink" Target="http://www.ftc.gov/about-ftc/bureaus-offices/regional-offices" TargetMode="External"/><Relationship Id="rId27" Type="http://schemas.openxmlformats.org/officeDocument/2006/relationships/footer" Target="footer9.xml"/><Relationship Id="rId28" Type="http://schemas.openxmlformats.org/officeDocument/2006/relationships/footer" Target="footer10.xml"/><Relationship Id="rId29" Type="http://schemas.openxmlformats.org/officeDocument/2006/relationships/hyperlink" Target="https://www.nist.gov/pml/weights-and-measures/publications/ncwm-annual-reports" TargetMode="External"/><Relationship Id="rId30" Type="http://schemas.openxmlformats.org/officeDocument/2006/relationships/image" Target="media/image10.png"/><Relationship Id="rId31" Type="http://schemas.openxmlformats.org/officeDocument/2006/relationships/image" Target="media/image11.png"/><Relationship Id="rId32" Type="http://schemas.openxmlformats.org/officeDocument/2006/relationships/footer" Target="footer11.xml"/><Relationship Id="rId33" Type="http://schemas.openxmlformats.org/officeDocument/2006/relationships/footer" Target="footer12.xml"/><Relationship Id="rId34" Type="http://schemas.openxmlformats.org/officeDocument/2006/relationships/footer" Target="footer13.xml"/><Relationship Id="rId35" Type="http://schemas.openxmlformats.org/officeDocument/2006/relationships/footer" Target="footer14.xml"/><Relationship Id="rId36" Type="http://schemas.openxmlformats.org/officeDocument/2006/relationships/image" Target="media/image12.png"/><Relationship Id="rId37" Type="http://schemas.openxmlformats.org/officeDocument/2006/relationships/image" Target="media/image13.png"/><Relationship Id="rId38" Type="http://schemas.openxmlformats.org/officeDocument/2006/relationships/image" Target="media/image14.png"/><Relationship Id="rId39" Type="http://schemas.openxmlformats.org/officeDocument/2006/relationships/image" Target="media/image15.png"/><Relationship Id="rId40" Type="http://schemas.openxmlformats.org/officeDocument/2006/relationships/image" Target="media/image16.png"/><Relationship Id="rId41" Type="http://schemas.openxmlformats.org/officeDocument/2006/relationships/image" Target="media/image17.png"/><Relationship Id="rId42" Type="http://schemas.openxmlformats.org/officeDocument/2006/relationships/image" Target="media/image18.png"/><Relationship Id="rId43" Type="http://schemas.openxmlformats.org/officeDocument/2006/relationships/hyperlink" Target="http://www.tappi.org/" TargetMode="External"/><Relationship Id="rId44" Type="http://schemas.openxmlformats.org/officeDocument/2006/relationships/footer" Target="footer15.xml"/><Relationship Id="rId45" Type="http://schemas.openxmlformats.org/officeDocument/2006/relationships/footer" Target="footer16.xml"/><Relationship Id="rId46" Type="http://schemas.openxmlformats.org/officeDocument/2006/relationships/footer" Target="footer17.xml"/><Relationship Id="rId47" Type="http://schemas.openxmlformats.org/officeDocument/2006/relationships/footer" Target="footer18.xml"/><Relationship Id="rId48" Type="http://schemas.openxmlformats.org/officeDocument/2006/relationships/image" Target="media/image19.jpeg"/><Relationship Id="rId49" Type="http://schemas.openxmlformats.org/officeDocument/2006/relationships/image" Target="media/image20.jpeg"/><Relationship Id="rId50" Type="http://schemas.openxmlformats.org/officeDocument/2006/relationships/image" Target="media/image21.jpeg"/><Relationship Id="rId51" Type="http://schemas.openxmlformats.org/officeDocument/2006/relationships/image" Target="media/image22.jpeg"/><Relationship Id="rId52" Type="http://schemas.openxmlformats.org/officeDocument/2006/relationships/image" Target="media/image23.png"/><Relationship Id="rId53" Type="http://schemas.openxmlformats.org/officeDocument/2006/relationships/image" Target="media/image24.png"/><Relationship Id="rId54" Type="http://schemas.openxmlformats.org/officeDocument/2006/relationships/image" Target="media/image25.jpeg"/><Relationship Id="rId55" Type="http://schemas.openxmlformats.org/officeDocument/2006/relationships/hyperlink" Target="http://www.nist.gov/pml/weights-and-measures/publications/ncwm-annual-reports" TargetMode="External"/><Relationship Id="rId56" Type="http://schemas.openxmlformats.org/officeDocument/2006/relationships/footer" Target="footer19.xml"/><Relationship Id="rId5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2019-12-06T14:17:11Z</dcterms:created>
  <dcterms:modified xsi:type="dcterms:W3CDTF">2019-12-06T14:17:11Z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Acrobat PDFMaker 17 for Word</vt:lpwstr>
  </property>
  <property fmtid="{D5CDD505-2E9C-101B-9397-08002B2CF9AE}" pid="4" name="LastSaved">
    <vt:filetime>2019-12-06T00:00:00Z</vt:filetime>
  </property>
</Properties>
</file>