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PlainTable1"/>
        <w:tblW w:w="14458" w:type="dxa"/>
        <w:jc w:val="center"/>
        <w:tblLook w:val="04A0" w:firstRow="1" w:lastRow="0" w:firstColumn="1" w:lastColumn="0" w:noHBand="0" w:noVBand="1"/>
      </w:tblPr>
      <w:tblGrid>
        <w:gridCol w:w="641"/>
        <w:gridCol w:w="914"/>
        <w:gridCol w:w="780"/>
        <w:gridCol w:w="2430"/>
        <w:gridCol w:w="6044"/>
        <w:gridCol w:w="1786"/>
        <w:gridCol w:w="1863"/>
      </w:tblGrid>
      <w:tr w:rsidR="00DB2B5F" w14:paraId="5EA008F9" w14:textId="77777777" w:rsidTr="00825909">
        <w:trPr>
          <w:cnfStyle w:val="100000000000" w:firstRow="1" w:lastRow="0" w:firstColumn="0" w:lastColumn="0" w:oddVBand="0" w:evenVBand="0" w:oddHBand="0" w:evenHBand="0" w:firstRowFirstColumn="0" w:firstRowLastColumn="0" w:lastRowFirstColumn="0" w:lastRowLastColumn="0"/>
          <w:trHeight w:val="386"/>
          <w:jc w:val="center"/>
        </w:trPr>
        <w:tc>
          <w:tcPr>
            <w:cnfStyle w:val="001000000000" w:firstRow="0" w:lastRow="0" w:firstColumn="1" w:lastColumn="0" w:oddVBand="0" w:evenVBand="0" w:oddHBand="0" w:evenHBand="0" w:firstRowFirstColumn="0" w:firstRowLastColumn="0" w:lastRowFirstColumn="0" w:lastRowLastColumn="0"/>
            <w:tcW w:w="641" w:type="dxa"/>
          </w:tcPr>
          <w:p w14:paraId="582DB6FC" w14:textId="4F4364C2" w:rsidR="00DB2B5F" w:rsidRDefault="00DB2B5F" w:rsidP="001C5DA9">
            <w:r>
              <w:t>Item</w:t>
            </w:r>
          </w:p>
        </w:tc>
        <w:tc>
          <w:tcPr>
            <w:tcW w:w="914" w:type="dxa"/>
          </w:tcPr>
          <w:p w14:paraId="44227D54" w14:textId="48895925" w:rsidR="00DB2B5F" w:rsidRDefault="00DB2B5F" w:rsidP="001C5DA9">
            <w:pPr>
              <w:cnfStyle w:val="100000000000" w:firstRow="1" w:lastRow="0" w:firstColumn="0" w:lastColumn="0" w:oddVBand="0" w:evenVBand="0" w:oddHBand="0" w:evenHBand="0" w:firstRowFirstColumn="0" w:firstRowLastColumn="0" w:lastRowFirstColumn="0" w:lastRowLastColumn="0"/>
            </w:pPr>
            <w:r>
              <w:t>Version</w:t>
            </w:r>
          </w:p>
        </w:tc>
        <w:tc>
          <w:tcPr>
            <w:tcW w:w="780" w:type="dxa"/>
          </w:tcPr>
          <w:p w14:paraId="7A2EE0B2" w14:textId="584DCA9D" w:rsidR="00DB2B5F" w:rsidRDefault="00DB2B5F" w:rsidP="001C5DA9">
            <w:pPr>
              <w:cnfStyle w:val="100000000000" w:firstRow="1" w:lastRow="0" w:firstColumn="0" w:lastColumn="0" w:oddVBand="0" w:evenVBand="0" w:oddHBand="0" w:evenHBand="0" w:firstRowFirstColumn="0" w:firstRowLastColumn="0" w:lastRowFirstColumn="0" w:lastRowLastColumn="0"/>
            </w:pPr>
            <w:r>
              <w:t>Date</w:t>
            </w:r>
          </w:p>
        </w:tc>
        <w:tc>
          <w:tcPr>
            <w:tcW w:w="2430" w:type="dxa"/>
          </w:tcPr>
          <w:p w14:paraId="736EFD0E" w14:textId="5C199229" w:rsidR="00DB2B5F" w:rsidRDefault="00DB2B5F" w:rsidP="001C5DA9">
            <w:pPr>
              <w:cnfStyle w:val="100000000000" w:firstRow="1" w:lastRow="0" w:firstColumn="0" w:lastColumn="0" w:oddVBand="0" w:evenVBand="0" w:oddHBand="0" w:evenHBand="0" w:firstRowFirstColumn="0" w:firstRowLastColumn="0" w:lastRowFirstColumn="0" w:lastRowLastColumn="0"/>
            </w:pPr>
            <w:r>
              <w:t>Document Name</w:t>
            </w:r>
          </w:p>
        </w:tc>
        <w:tc>
          <w:tcPr>
            <w:tcW w:w="6044" w:type="dxa"/>
          </w:tcPr>
          <w:p w14:paraId="03EEED9D" w14:textId="5C0906EF" w:rsidR="00DB2B5F" w:rsidRDefault="00DB2B5F" w:rsidP="001C5DA9">
            <w:pPr>
              <w:cnfStyle w:val="100000000000" w:firstRow="1" w:lastRow="0" w:firstColumn="0" w:lastColumn="0" w:oddVBand="0" w:evenVBand="0" w:oddHBand="0" w:evenHBand="0" w:firstRowFirstColumn="0" w:firstRowLastColumn="0" w:lastRowFirstColumn="0" w:lastRowLastColumn="0"/>
            </w:pPr>
            <w:r>
              <w:t>Description</w:t>
            </w:r>
          </w:p>
        </w:tc>
        <w:tc>
          <w:tcPr>
            <w:tcW w:w="1786" w:type="dxa"/>
          </w:tcPr>
          <w:p w14:paraId="001E4654" w14:textId="615BE912" w:rsidR="00DB2B5F" w:rsidRDefault="00DB2B5F" w:rsidP="001C5DA9">
            <w:pPr>
              <w:cnfStyle w:val="100000000000" w:firstRow="1" w:lastRow="0" w:firstColumn="0" w:lastColumn="0" w:oddVBand="0" w:evenVBand="0" w:oddHBand="0" w:evenHBand="0" w:firstRowFirstColumn="0" w:firstRowLastColumn="0" w:lastRowFirstColumn="0" w:lastRowLastColumn="0"/>
            </w:pPr>
            <w:r>
              <w:t>Submitted by:</w:t>
            </w:r>
          </w:p>
        </w:tc>
        <w:tc>
          <w:tcPr>
            <w:tcW w:w="1863" w:type="dxa"/>
          </w:tcPr>
          <w:p w14:paraId="247CB106" w14:textId="00181597" w:rsidR="00DB2B5F" w:rsidRDefault="00DB2B5F" w:rsidP="001C5DA9">
            <w:pPr>
              <w:cnfStyle w:val="100000000000" w:firstRow="1" w:lastRow="0" w:firstColumn="0" w:lastColumn="0" w:oddVBand="0" w:evenVBand="0" w:oddHBand="0" w:evenHBand="0" w:firstRowFirstColumn="0" w:firstRowLastColumn="0" w:lastRowFirstColumn="0" w:lastRowLastColumn="0"/>
            </w:pPr>
            <w:r>
              <w:t>Status</w:t>
            </w:r>
          </w:p>
        </w:tc>
      </w:tr>
      <w:tr w:rsidR="00DB2B5F" w14:paraId="4AD76DA0" w14:textId="77777777" w:rsidTr="00825909">
        <w:trPr>
          <w:cnfStyle w:val="000000100000" w:firstRow="0" w:lastRow="0" w:firstColumn="0" w:lastColumn="0" w:oddVBand="0" w:evenVBand="0" w:oddHBand="1"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641" w:type="dxa"/>
          </w:tcPr>
          <w:p w14:paraId="43E0C437" w14:textId="677D4B41" w:rsidR="00DB2B5F" w:rsidRDefault="00DB2B5F" w:rsidP="001C5DA9">
            <w:r>
              <w:t>1</w:t>
            </w:r>
          </w:p>
        </w:tc>
        <w:tc>
          <w:tcPr>
            <w:tcW w:w="914" w:type="dxa"/>
          </w:tcPr>
          <w:p w14:paraId="3C851FDC" w14:textId="6CD1B384" w:rsidR="00DB2B5F" w:rsidRDefault="00DB2B5F" w:rsidP="001C5DA9">
            <w:pPr>
              <w:cnfStyle w:val="000000100000" w:firstRow="0" w:lastRow="0" w:firstColumn="0" w:lastColumn="0" w:oddVBand="0" w:evenVBand="0" w:oddHBand="1" w:evenHBand="0" w:firstRowFirstColumn="0" w:firstRowLastColumn="0" w:lastRowFirstColumn="0" w:lastRowLastColumn="0"/>
            </w:pPr>
            <w:r>
              <w:t>1.1</w:t>
            </w:r>
          </w:p>
        </w:tc>
        <w:tc>
          <w:tcPr>
            <w:tcW w:w="780" w:type="dxa"/>
          </w:tcPr>
          <w:p w14:paraId="5A2407DF" w14:textId="7DCFF4F0" w:rsidR="00DB2B5F" w:rsidRDefault="00DB2B5F" w:rsidP="001C5DA9">
            <w:pPr>
              <w:cnfStyle w:val="000000100000" w:firstRow="0" w:lastRow="0" w:firstColumn="0" w:lastColumn="0" w:oddVBand="0" w:evenVBand="0" w:oddHBand="1" w:evenHBand="0" w:firstRowFirstColumn="0" w:firstRowLastColumn="0" w:lastRowFirstColumn="0" w:lastRowLastColumn="0"/>
            </w:pPr>
            <w:r>
              <w:t>8/24</w:t>
            </w:r>
          </w:p>
        </w:tc>
        <w:tc>
          <w:tcPr>
            <w:tcW w:w="2430" w:type="dxa"/>
          </w:tcPr>
          <w:p w14:paraId="2295B974" w14:textId="77777777" w:rsidR="003B6E3E" w:rsidRPr="003B6E3E" w:rsidRDefault="003B6E3E" w:rsidP="003B6E3E">
            <w:pPr>
              <w:cnfStyle w:val="000000100000" w:firstRow="0" w:lastRow="0" w:firstColumn="0" w:lastColumn="0" w:oddVBand="0" w:evenVBand="0" w:oddHBand="1" w:evenHBand="0" w:firstRowFirstColumn="0" w:firstRowLastColumn="0" w:lastRowFirstColumn="0" w:lastRowLastColumn="0"/>
            </w:pPr>
            <w:r w:rsidRPr="003B6E3E">
              <w:rPr>
                <w:i/>
                <w:iCs/>
              </w:rPr>
              <w:t xml:space="preserve">4 – QIC Form 1: Technical Merit Worksheet </w:t>
            </w:r>
          </w:p>
          <w:p w14:paraId="334EE4C2" w14:textId="73E7E6FF" w:rsidR="00DB2B5F" w:rsidRDefault="00632967" w:rsidP="001C5DA9">
            <w:pPr>
              <w:cnfStyle w:val="000000100000" w:firstRow="0" w:lastRow="0" w:firstColumn="0" w:lastColumn="0" w:oddVBand="0" w:evenVBand="0" w:oddHBand="1" w:evenHBand="0" w:firstRowFirstColumn="0" w:firstRowLastColumn="0" w:lastRowFirstColumn="0" w:lastRowLastColumn="0"/>
            </w:pPr>
            <w:r>
              <w:t>Question 7 &amp; 8</w:t>
            </w:r>
          </w:p>
        </w:tc>
        <w:tc>
          <w:tcPr>
            <w:tcW w:w="6044" w:type="dxa"/>
          </w:tcPr>
          <w:p w14:paraId="74AAABC8" w14:textId="7C010888" w:rsidR="00DB2B5F" w:rsidRDefault="00632967" w:rsidP="00632967">
            <w:pPr>
              <w:cnfStyle w:val="000000100000" w:firstRow="0" w:lastRow="0" w:firstColumn="0" w:lastColumn="0" w:oddVBand="0" w:evenVBand="0" w:oddHBand="1" w:evenHBand="0" w:firstRowFirstColumn="0" w:firstRowLastColumn="0" w:lastRowFirstColumn="0" w:lastRowLastColumn="0"/>
            </w:pPr>
            <w:r>
              <w:t xml:space="preserve">Font </w:t>
            </w:r>
            <w:r w:rsidR="00DB2B5F">
              <w:t>caused issues on some computers</w:t>
            </w:r>
            <w:r>
              <w:t xml:space="preserve">. Replace font. </w:t>
            </w:r>
          </w:p>
        </w:tc>
        <w:tc>
          <w:tcPr>
            <w:tcW w:w="1786" w:type="dxa"/>
          </w:tcPr>
          <w:p w14:paraId="528D1888" w14:textId="01885A63" w:rsidR="00DB2B5F" w:rsidRDefault="00DB2B5F" w:rsidP="001C5DA9">
            <w:pPr>
              <w:cnfStyle w:val="000000100000" w:firstRow="0" w:lastRow="0" w:firstColumn="0" w:lastColumn="0" w:oddVBand="0" w:evenVBand="0" w:oddHBand="1" w:evenHBand="0" w:firstRowFirstColumn="0" w:firstRowLastColumn="0" w:lastRowFirstColumn="0" w:lastRowLastColumn="0"/>
            </w:pPr>
            <w:r>
              <w:t>Subcommittee chairs</w:t>
            </w:r>
          </w:p>
        </w:tc>
        <w:tc>
          <w:tcPr>
            <w:tcW w:w="1863" w:type="dxa"/>
          </w:tcPr>
          <w:p w14:paraId="09F3036F" w14:textId="576E989B" w:rsidR="00DB2B5F" w:rsidRDefault="00DB2B5F" w:rsidP="001C5DA9">
            <w:pPr>
              <w:cnfStyle w:val="000000100000" w:firstRow="0" w:lastRow="0" w:firstColumn="0" w:lastColumn="0" w:oddVBand="0" w:evenVBand="0" w:oddHBand="1" w:evenHBand="0" w:firstRowFirstColumn="0" w:firstRowLastColumn="0" w:lastRowFirstColumn="0" w:lastRowLastColumn="0"/>
            </w:pPr>
            <w:r>
              <w:t>Completed</w:t>
            </w:r>
          </w:p>
        </w:tc>
      </w:tr>
      <w:tr w:rsidR="00AD636B" w14:paraId="6D5BCB60" w14:textId="77777777" w:rsidTr="00825909">
        <w:trPr>
          <w:trHeight w:val="531"/>
          <w:jc w:val="center"/>
        </w:trPr>
        <w:tc>
          <w:tcPr>
            <w:cnfStyle w:val="001000000000" w:firstRow="0" w:lastRow="0" w:firstColumn="1" w:lastColumn="0" w:oddVBand="0" w:evenVBand="0" w:oddHBand="0" w:evenHBand="0" w:firstRowFirstColumn="0" w:firstRowLastColumn="0" w:lastRowFirstColumn="0" w:lastRowLastColumn="0"/>
            <w:tcW w:w="641" w:type="dxa"/>
          </w:tcPr>
          <w:p w14:paraId="0CFA371E" w14:textId="123F4ADD" w:rsidR="00AD636B" w:rsidRDefault="00AD636B" w:rsidP="00AD636B">
            <w:r>
              <w:t>2</w:t>
            </w:r>
          </w:p>
        </w:tc>
        <w:tc>
          <w:tcPr>
            <w:tcW w:w="914" w:type="dxa"/>
          </w:tcPr>
          <w:p w14:paraId="459564B9" w14:textId="20D45629" w:rsidR="00AD636B" w:rsidRDefault="00AD636B" w:rsidP="00AD636B">
            <w:pPr>
              <w:cnfStyle w:val="000000000000" w:firstRow="0" w:lastRow="0" w:firstColumn="0" w:lastColumn="0" w:oddVBand="0" w:evenVBand="0" w:oddHBand="0" w:evenHBand="0" w:firstRowFirstColumn="0" w:firstRowLastColumn="0" w:lastRowFirstColumn="0" w:lastRowLastColumn="0"/>
            </w:pPr>
            <w:r>
              <w:t>2.0</w:t>
            </w:r>
          </w:p>
        </w:tc>
        <w:tc>
          <w:tcPr>
            <w:tcW w:w="780" w:type="dxa"/>
          </w:tcPr>
          <w:p w14:paraId="0F45DFA2" w14:textId="499D5FA2" w:rsidR="00AD636B" w:rsidRDefault="00390945" w:rsidP="002414FE">
            <w:pPr>
              <w:cnfStyle w:val="000000000000" w:firstRow="0" w:lastRow="0" w:firstColumn="0" w:lastColumn="0" w:oddVBand="0" w:evenVBand="0" w:oddHBand="0" w:evenHBand="0" w:firstRowFirstColumn="0" w:firstRowLastColumn="0" w:lastRowFirstColumn="0" w:lastRowLastColumn="0"/>
            </w:pPr>
            <w:r>
              <w:t>11/</w:t>
            </w:r>
            <w:r w:rsidR="002414FE">
              <w:t>10</w:t>
            </w:r>
          </w:p>
        </w:tc>
        <w:tc>
          <w:tcPr>
            <w:tcW w:w="2430" w:type="dxa"/>
          </w:tcPr>
          <w:p w14:paraId="06A0F5D7" w14:textId="2EEC4A2F" w:rsidR="00AD636B" w:rsidRDefault="003B6E3E" w:rsidP="003B6E3E">
            <w:pPr>
              <w:cnfStyle w:val="000000000000" w:firstRow="0" w:lastRow="0" w:firstColumn="0" w:lastColumn="0" w:oddVBand="0" w:evenVBand="0" w:oddHBand="0" w:evenHBand="0" w:firstRowFirstColumn="0" w:firstRowLastColumn="0" w:lastRowFirstColumn="0" w:lastRowLastColumn="0"/>
            </w:pPr>
            <w:r w:rsidRPr="003B6E3E">
              <w:rPr>
                <w:i/>
                <w:iCs/>
              </w:rPr>
              <w:t>3 – OSAC Registry Approval Process of Published Standards o</w:t>
            </w:r>
            <w:r>
              <w:rPr>
                <w:i/>
                <w:iCs/>
              </w:rPr>
              <w:t>r Guidelines Process Description</w:t>
            </w:r>
            <w:r w:rsidR="00AD636B">
              <w:t>, (RA-200)</w:t>
            </w:r>
          </w:p>
        </w:tc>
        <w:tc>
          <w:tcPr>
            <w:tcW w:w="6044" w:type="dxa"/>
          </w:tcPr>
          <w:p w14:paraId="6803DE1E" w14:textId="58348AD1" w:rsidR="00AD636B" w:rsidRDefault="00AD636B" w:rsidP="00AD636B">
            <w:pPr>
              <w:cnfStyle w:val="000000000000" w:firstRow="0" w:lastRow="0" w:firstColumn="0" w:lastColumn="0" w:oddVBand="0" w:evenVBand="0" w:oddHBand="0" w:evenHBand="0" w:firstRowFirstColumn="0" w:firstRowLastColumn="0" w:lastRowFirstColumn="0" w:lastRowLastColumn="0"/>
            </w:pPr>
            <w:r>
              <w:t>Suggest that as forms route through Kavi approval, units annotate any changes they make to a form with an audit trail (i.e. if SAC provides comments to form, they should preface the change with “SAC/RA-XXX/</w:t>
            </w:r>
            <w:r>
              <w:rPr>
                <w:rStyle w:val="tgc"/>
              </w:rPr>
              <w:t>YYYY-MM-DD</w:t>
            </w:r>
            <w:r>
              <w:t>” and insert the project stage at which the change was made as well as the date of the change) and that they upload new versions of forms as “revisions” in Kavi.</w:t>
            </w:r>
          </w:p>
        </w:tc>
        <w:tc>
          <w:tcPr>
            <w:tcW w:w="1786" w:type="dxa"/>
          </w:tcPr>
          <w:p w14:paraId="776D1AC2" w14:textId="3048B397" w:rsidR="00AD636B" w:rsidRDefault="00AD636B" w:rsidP="00AD636B">
            <w:pPr>
              <w:cnfStyle w:val="000000000000" w:firstRow="0" w:lastRow="0" w:firstColumn="0" w:lastColumn="0" w:oddVBand="0" w:evenVBand="0" w:oddHBand="0" w:evenHBand="0" w:firstRowFirstColumn="0" w:firstRowLastColumn="0" w:lastRowFirstColumn="0" w:lastRowLastColumn="0"/>
            </w:pPr>
            <w:r>
              <w:t>FSSB discussion</w:t>
            </w:r>
          </w:p>
        </w:tc>
        <w:tc>
          <w:tcPr>
            <w:tcW w:w="1863" w:type="dxa"/>
          </w:tcPr>
          <w:p w14:paraId="2FA879F7" w14:textId="2536BD77" w:rsidR="00AD636B" w:rsidRDefault="00AD636B" w:rsidP="00AD636B">
            <w:pPr>
              <w:cnfStyle w:val="000000000000" w:firstRow="0" w:lastRow="0" w:firstColumn="0" w:lastColumn="0" w:oddVBand="0" w:evenVBand="0" w:oddHBand="0" w:evenHBand="0" w:firstRowFirstColumn="0" w:firstRowLastColumn="0" w:lastRowFirstColumn="0" w:lastRowLastColumn="0"/>
            </w:pPr>
            <w:r>
              <w:t>Completed</w:t>
            </w:r>
          </w:p>
        </w:tc>
      </w:tr>
      <w:tr w:rsidR="002414FE" w14:paraId="450005F2" w14:textId="77777777" w:rsidTr="00825909">
        <w:trPr>
          <w:cnfStyle w:val="000000100000" w:firstRow="0" w:lastRow="0" w:firstColumn="0" w:lastColumn="0" w:oddVBand="0" w:evenVBand="0" w:oddHBand="1"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641" w:type="dxa"/>
          </w:tcPr>
          <w:p w14:paraId="72C802AE" w14:textId="335F8488" w:rsidR="002414FE" w:rsidRPr="00867277" w:rsidRDefault="002414FE" w:rsidP="002414FE">
            <w:r>
              <w:t>3</w:t>
            </w:r>
          </w:p>
        </w:tc>
        <w:tc>
          <w:tcPr>
            <w:tcW w:w="914" w:type="dxa"/>
          </w:tcPr>
          <w:p w14:paraId="75960920" w14:textId="762133AA" w:rsidR="002414FE" w:rsidRDefault="002414FE" w:rsidP="002414FE">
            <w:pPr>
              <w:cnfStyle w:val="000000100000" w:firstRow="0" w:lastRow="0" w:firstColumn="0" w:lastColumn="0" w:oddVBand="0" w:evenVBand="0" w:oddHBand="1" w:evenHBand="0" w:firstRowFirstColumn="0" w:firstRowLastColumn="0" w:lastRowFirstColumn="0" w:lastRowLastColumn="0"/>
            </w:pPr>
            <w:r w:rsidRPr="00867277">
              <w:t>2.0</w:t>
            </w:r>
          </w:p>
        </w:tc>
        <w:tc>
          <w:tcPr>
            <w:tcW w:w="780" w:type="dxa"/>
          </w:tcPr>
          <w:p w14:paraId="17E8F628" w14:textId="263775B8" w:rsidR="002414FE" w:rsidRDefault="002414FE" w:rsidP="002414FE">
            <w:pPr>
              <w:cnfStyle w:val="000000100000" w:firstRow="0" w:lastRow="0" w:firstColumn="0" w:lastColumn="0" w:oddVBand="0" w:evenVBand="0" w:oddHBand="1" w:evenHBand="0" w:firstRowFirstColumn="0" w:firstRowLastColumn="0" w:lastRowFirstColumn="0" w:lastRowLastColumn="0"/>
            </w:pPr>
            <w:r>
              <w:t>11/10</w:t>
            </w:r>
          </w:p>
        </w:tc>
        <w:tc>
          <w:tcPr>
            <w:tcW w:w="2430" w:type="dxa"/>
          </w:tcPr>
          <w:p w14:paraId="5F3814CD" w14:textId="425E074C" w:rsidR="002414FE" w:rsidRDefault="002414FE" w:rsidP="002414FE">
            <w:pPr>
              <w:cnfStyle w:val="000000100000" w:firstRow="0" w:lastRow="0" w:firstColumn="0" w:lastColumn="0" w:oddVBand="0" w:evenVBand="0" w:oddHBand="1" w:evenHBand="0" w:firstRowFirstColumn="0" w:firstRowLastColumn="0" w:lastRowFirstColumn="0" w:lastRowLastColumn="0"/>
            </w:pPr>
            <w:r w:rsidRPr="003B6E3E">
              <w:rPr>
                <w:i/>
                <w:iCs/>
              </w:rPr>
              <w:t>3 – OSAC Registry Approval Process of Published Standards o</w:t>
            </w:r>
            <w:r>
              <w:rPr>
                <w:i/>
                <w:iCs/>
              </w:rPr>
              <w:t>r Guidelines Process Description</w:t>
            </w:r>
            <w:r>
              <w:t>, introductory language</w:t>
            </w:r>
          </w:p>
        </w:tc>
        <w:tc>
          <w:tcPr>
            <w:tcW w:w="6044" w:type="dxa"/>
          </w:tcPr>
          <w:p w14:paraId="0582E620" w14:textId="1BE37C58" w:rsidR="002414FE" w:rsidRDefault="002414FE" w:rsidP="002414FE">
            <w:pPr>
              <w:cnfStyle w:val="000000100000" w:firstRow="0" w:lastRow="0" w:firstColumn="0" w:lastColumn="0" w:oddVBand="0" w:evenVBand="0" w:oddHBand="1" w:evenHBand="0" w:firstRowFirstColumn="0" w:firstRowLastColumn="0" w:lastRowFirstColumn="0" w:lastRowLastColumn="0"/>
            </w:pPr>
            <w:r>
              <w:t xml:space="preserve">Include language that the process starts with a “published or completed” standard or guideline. </w:t>
            </w:r>
          </w:p>
        </w:tc>
        <w:tc>
          <w:tcPr>
            <w:tcW w:w="1786" w:type="dxa"/>
          </w:tcPr>
          <w:p w14:paraId="09C31173" w14:textId="23B65A98" w:rsidR="002414FE" w:rsidRDefault="002414FE" w:rsidP="002414FE">
            <w:pPr>
              <w:cnfStyle w:val="000000100000" w:firstRow="0" w:lastRow="0" w:firstColumn="0" w:lastColumn="0" w:oddVBand="0" w:evenVBand="0" w:oddHBand="1" w:evenHBand="0" w:firstRowFirstColumn="0" w:firstRowLastColumn="0" w:lastRowFirstColumn="0" w:lastRowLastColumn="0"/>
            </w:pPr>
            <w:r>
              <w:t>Physics/SAC Discussion</w:t>
            </w:r>
          </w:p>
        </w:tc>
        <w:tc>
          <w:tcPr>
            <w:tcW w:w="1863" w:type="dxa"/>
          </w:tcPr>
          <w:p w14:paraId="1B81289E" w14:textId="0E377F17" w:rsidR="002414FE" w:rsidRDefault="002414FE" w:rsidP="002414FE">
            <w:pPr>
              <w:cnfStyle w:val="000000100000" w:firstRow="0" w:lastRow="0" w:firstColumn="0" w:lastColumn="0" w:oddVBand="0" w:evenVBand="0" w:oddHBand="1" w:evenHBand="0" w:firstRowFirstColumn="0" w:firstRowLastColumn="0" w:lastRowFirstColumn="0" w:lastRowLastColumn="0"/>
            </w:pPr>
            <w:r>
              <w:t>Completed</w:t>
            </w:r>
          </w:p>
        </w:tc>
      </w:tr>
      <w:tr w:rsidR="002414FE" w14:paraId="0F8D7DF3" w14:textId="77777777" w:rsidTr="00825909">
        <w:trPr>
          <w:trHeight w:val="531"/>
          <w:jc w:val="center"/>
        </w:trPr>
        <w:tc>
          <w:tcPr>
            <w:cnfStyle w:val="001000000000" w:firstRow="0" w:lastRow="0" w:firstColumn="1" w:lastColumn="0" w:oddVBand="0" w:evenVBand="0" w:oddHBand="0" w:evenHBand="0" w:firstRowFirstColumn="0" w:firstRowLastColumn="0" w:lastRowFirstColumn="0" w:lastRowLastColumn="0"/>
            <w:tcW w:w="641" w:type="dxa"/>
          </w:tcPr>
          <w:p w14:paraId="0B762F54" w14:textId="374704A2" w:rsidR="002414FE" w:rsidRPr="00867277" w:rsidRDefault="002414FE" w:rsidP="002414FE">
            <w:r>
              <w:t>4</w:t>
            </w:r>
          </w:p>
        </w:tc>
        <w:tc>
          <w:tcPr>
            <w:tcW w:w="914" w:type="dxa"/>
          </w:tcPr>
          <w:p w14:paraId="2CF0F8DF" w14:textId="7E1BCC36" w:rsidR="002414FE" w:rsidRDefault="002414FE" w:rsidP="002414FE">
            <w:pPr>
              <w:cnfStyle w:val="000000000000" w:firstRow="0" w:lastRow="0" w:firstColumn="0" w:lastColumn="0" w:oddVBand="0" w:evenVBand="0" w:oddHBand="0" w:evenHBand="0" w:firstRowFirstColumn="0" w:firstRowLastColumn="0" w:lastRowFirstColumn="0" w:lastRowLastColumn="0"/>
            </w:pPr>
            <w:r w:rsidRPr="00867277">
              <w:t>2.0</w:t>
            </w:r>
          </w:p>
        </w:tc>
        <w:tc>
          <w:tcPr>
            <w:tcW w:w="780" w:type="dxa"/>
          </w:tcPr>
          <w:p w14:paraId="33884254" w14:textId="7CBD1039" w:rsidR="002414FE" w:rsidRDefault="002414FE" w:rsidP="002414FE">
            <w:pPr>
              <w:cnfStyle w:val="000000000000" w:firstRow="0" w:lastRow="0" w:firstColumn="0" w:lastColumn="0" w:oddVBand="0" w:evenVBand="0" w:oddHBand="0" w:evenHBand="0" w:firstRowFirstColumn="0" w:firstRowLastColumn="0" w:lastRowFirstColumn="0" w:lastRowLastColumn="0"/>
            </w:pPr>
            <w:r>
              <w:t>11/10</w:t>
            </w:r>
          </w:p>
        </w:tc>
        <w:tc>
          <w:tcPr>
            <w:tcW w:w="2430" w:type="dxa"/>
          </w:tcPr>
          <w:p w14:paraId="0D6556A7" w14:textId="4777F7B1" w:rsidR="002414FE" w:rsidRDefault="002414FE" w:rsidP="002414FE">
            <w:pPr>
              <w:cnfStyle w:val="000000000000" w:firstRow="0" w:lastRow="0" w:firstColumn="0" w:lastColumn="0" w:oddVBand="0" w:evenVBand="0" w:oddHBand="0" w:evenHBand="0" w:firstRowFirstColumn="0" w:firstRowLastColumn="0" w:lastRowFirstColumn="0" w:lastRowLastColumn="0"/>
            </w:pPr>
            <w:r>
              <w:t>All forms</w:t>
            </w:r>
          </w:p>
        </w:tc>
        <w:tc>
          <w:tcPr>
            <w:tcW w:w="6044" w:type="dxa"/>
          </w:tcPr>
          <w:p w14:paraId="03B9F8BF" w14:textId="6634320E" w:rsidR="002414FE" w:rsidRDefault="002414FE" w:rsidP="002414FE">
            <w:pPr>
              <w:cnfStyle w:val="000000000000" w:firstRow="0" w:lastRow="0" w:firstColumn="0" w:lastColumn="0" w:oddVBand="0" w:evenVBand="0" w:oddHBand="0" w:evenHBand="0" w:firstRowFirstColumn="0" w:firstRowLastColumn="0" w:lastRowFirstColumn="0" w:lastRowLastColumn="0"/>
            </w:pPr>
            <w:r>
              <w:t xml:space="preserve">Increase size of text box for titles of standards. </w:t>
            </w:r>
          </w:p>
        </w:tc>
        <w:tc>
          <w:tcPr>
            <w:tcW w:w="1786" w:type="dxa"/>
          </w:tcPr>
          <w:p w14:paraId="10887415" w14:textId="4A3FCDD3" w:rsidR="002414FE" w:rsidRDefault="002414FE" w:rsidP="002414FE">
            <w:pPr>
              <w:cnfStyle w:val="000000000000" w:firstRow="0" w:lastRow="0" w:firstColumn="0" w:lastColumn="0" w:oddVBand="0" w:evenVBand="0" w:oddHBand="0" w:evenHBand="0" w:firstRowFirstColumn="0" w:firstRowLastColumn="0" w:lastRowFirstColumn="0" w:lastRowLastColumn="0"/>
            </w:pPr>
            <w:r>
              <w:t>OSAC Affairs</w:t>
            </w:r>
          </w:p>
        </w:tc>
        <w:tc>
          <w:tcPr>
            <w:tcW w:w="1863" w:type="dxa"/>
          </w:tcPr>
          <w:p w14:paraId="5DDA020C" w14:textId="602DE1F1" w:rsidR="002414FE" w:rsidRPr="00AD636B" w:rsidRDefault="002414FE" w:rsidP="002414FE">
            <w:pPr>
              <w:cnfStyle w:val="000000000000" w:firstRow="0" w:lastRow="0" w:firstColumn="0" w:lastColumn="0" w:oddVBand="0" w:evenVBand="0" w:oddHBand="0" w:evenHBand="0" w:firstRowFirstColumn="0" w:firstRowLastColumn="0" w:lastRowFirstColumn="0" w:lastRowLastColumn="0"/>
              <w:rPr>
                <w:highlight w:val="yellow"/>
              </w:rPr>
            </w:pPr>
            <w:r>
              <w:t xml:space="preserve">Completed </w:t>
            </w:r>
          </w:p>
        </w:tc>
      </w:tr>
      <w:tr w:rsidR="002414FE" w14:paraId="6D07F90F" w14:textId="77777777" w:rsidTr="00825909">
        <w:trPr>
          <w:cnfStyle w:val="000000100000" w:firstRow="0" w:lastRow="0" w:firstColumn="0" w:lastColumn="0" w:oddVBand="0" w:evenVBand="0" w:oddHBand="1" w:evenHBand="0" w:firstRowFirstColumn="0" w:firstRowLastColumn="0" w:lastRowFirstColumn="0" w:lastRowLastColumn="0"/>
          <w:trHeight w:val="1142"/>
          <w:jc w:val="center"/>
        </w:trPr>
        <w:tc>
          <w:tcPr>
            <w:cnfStyle w:val="001000000000" w:firstRow="0" w:lastRow="0" w:firstColumn="1" w:lastColumn="0" w:oddVBand="0" w:evenVBand="0" w:oddHBand="0" w:evenHBand="0" w:firstRowFirstColumn="0" w:firstRowLastColumn="0" w:lastRowFirstColumn="0" w:lastRowLastColumn="0"/>
            <w:tcW w:w="641" w:type="dxa"/>
          </w:tcPr>
          <w:p w14:paraId="05155531" w14:textId="191A92B2" w:rsidR="002414FE" w:rsidRPr="00867277" w:rsidRDefault="002414FE" w:rsidP="002414FE">
            <w:r>
              <w:t>5</w:t>
            </w:r>
          </w:p>
        </w:tc>
        <w:tc>
          <w:tcPr>
            <w:tcW w:w="914" w:type="dxa"/>
          </w:tcPr>
          <w:p w14:paraId="422582DB" w14:textId="500258CB" w:rsidR="002414FE" w:rsidRDefault="002414FE" w:rsidP="002414FE">
            <w:pPr>
              <w:cnfStyle w:val="000000100000" w:firstRow="0" w:lastRow="0" w:firstColumn="0" w:lastColumn="0" w:oddVBand="0" w:evenVBand="0" w:oddHBand="1" w:evenHBand="0" w:firstRowFirstColumn="0" w:firstRowLastColumn="0" w:lastRowFirstColumn="0" w:lastRowLastColumn="0"/>
            </w:pPr>
            <w:r w:rsidRPr="00867277">
              <w:t>2.0</w:t>
            </w:r>
          </w:p>
        </w:tc>
        <w:tc>
          <w:tcPr>
            <w:tcW w:w="780" w:type="dxa"/>
          </w:tcPr>
          <w:p w14:paraId="3419F283" w14:textId="71924B7F" w:rsidR="002414FE" w:rsidRDefault="002414FE" w:rsidP="002414FE">
            <w:pPr>
              <w:cnfStyle w:val="000000100000" w:firstRow="0" w:lastRow="0" w:firstColumn="0" w:lastColumn="0" w:oddVBand="0" w:evenVBand="0" w:oddHBand="1" w:evenHBand="0" w:firstRowFirstColumn="0" w:firstRowLastColumn="0" w:lastRowFirstColumn="0" w:lastRowLastColumn="0"/>
            </w:pPr>
            <w:r>
              <w:t>11/10</w:t>
            </w:r>
          </w:p>
        </w:tc>
        <w:tc>
          <w:tcPr>
            <w:tcW w:w="2430" w:type="dxa"/>
          </w:tcPr>
          <w:p w14:paraId="62795518" w14:textId="69781F29" w:rsidR="002414FE" w:rsidRDefault="002414FE" w:rsidP="002414FE">
            <w:pPr>
              <w:cnfStyle w:val="000000100000" w:firstRow="0" w:lastRow="0" w:firstColumn="0" w:lastColumn="0" w:oddVBand="0" w:evenVBand="0" w:oddHBand="1" w:evenHBand="0" w:firstRowFirstColumn="0" w:firstRowLastColumn="0" w:lastRowFirstColumn="0" w:lastRowLastColumn="0"/>
            </w:pPr>
            <w:r w:rsidRPr="003B6E3E">
              <w:rPr>
                <w:i/>
                <w:iCs/>
              </w:rPr>
              <w:t>6 – QIC Form 3: Reg</w:t>
            </w:r>
            <w:r>
              <w:rPr>
                <w:i/>
                <w:iCs/>
              </w:rPr>
              <w:t>istry Request</w:t>
            </w:r>
            <w:r>
              <w:t>, New Question</w:t>
            </w:r>
          </w:p>
        </w:tc>
        <w:tc>
          <w:tcPr>
            <w:tcW w:w="6044" w:type="dxa"/>
          </w:tcPr>
          <w:p w14:paraId="63C25AD3" w14:textId="1CED6F72" w:rsidR="002414FE" w:rsidRDefault="002414FE" w:rsidP="002414FE">
            <w:pPr>
              <w:cnfStyle w:val="000000100000" w:firstRow="0" w:lastRow="0" w:firstColumn="0" w:lastColumn="0" w:oddVBand="0" w:evenVBand="0" w:oddHBand="1" w:evenHBand="0" w:firstRowFirstColumn="0" w:firstRowLastColumn="0" w:lastRowFirstColumn="0" w:lastRowLastColumn="0"/>
            </w:pPr>
            <w:r>
              <w:t xml:space="preserve">Insert question 6, asking “Have you collaborated with the Resource Committees on technical merit, harmonization, impact, or other considerations?” Include radio buttons allowing them to select which committees they have collaborated with.  </w:t>
            </w:r>
          </w:p>
        </w:tc>
        <w:tc>
          <w:tcPr>
            <w:tcW w:w="1786" w:type="dxa"/>
          </w:tcPr>
          <w:p w14:paraId="32233A14" w14:textId="5A209D8B" w:rsidR="002414FE" w:rsidRDefault="002414FE" w:rsidP="002414FE">
            <w:pPr>
              <w:cnfStyle w:val="000000100000" w:firstRow="0" w:lastRow="0" w:firstColumn="0" w:lastColumn="0" w:oddVBand="0" w:evenVBand="0" w:oddHBand="1" w:evenHBand="0" w:firstRowFirstColumn="0" w:firstRowLastColumn="0" w:lastRowFirstColumn="0" w:lastRowLastColumn="0"/>
            </w:pPr>
            <w:r>
              <w:t>FSSB, QIC, RC plenary, SAC discussions</w:t>
            </w:r>
          </w:p>
        </w:tc>
        <w:tc>
          <w:tcPr>
            <w:tcW w:w="1863" w:type="dxa"/>
          </w:tcPr>
          <w:p w14:paraId="0C77DA8D" w14:textId="68CA9894" w:rsidR="002414FE" w:rsidRDefault="002414FE" w:rsidP="002414FE">
            <w:pPr>
              <w:cnfStyle w:val="000000100000" w:firstRow="0" w:lastRow="0" w:firstColumn="0" w:lastColumn="0" w:oddVBand="0" w:evenVBand="0" w:oddHBand="1" w:evenHBand="0" w:firstRowFirstColumn="0" w:firstRowLastColumn="0" w:lastRowFirstColumn="0" w:lastRowLastColumn="0"/>
            </w:pPr>
            <w:r>
              <w:t>Completed</w:t>
            </w:r>
          </w:p>
        </w:tc>
      </w:tr>
      <w:tr w:rsidR="002414FE" w14:paraId="0B88494E" w14:textId="77777777" w:rsidTr="00825909">
        <w:trPr>
          <w:trHeight w:val="692"/>
          <w:jc w:val="center"/>
        </w:trPr>
        <w:tc>
          <w:tcPr>
            <w:cnfStyle w:val="001000000000" w:firstRow="0" w:lastRow="0" w:firstColumn="1" w:lastColumn="0" w:oddVBand="0" w:evenVBand="0" w:oddHBand="0" w:evenHBand="0" w:firstRowFirstColumn="0" w:firstRowLastColumn="0" w:lastRowFirstColumn="0" w:lastRowLastColumn="0"/>
            <w:tcW w:w="641" w:type="dxa"/>
          </w:tcPr>
          <w:p w14:paraId="501A4D91" w14:textId="03FAE5BD" w:rsidR="002414FE" w:rsidRDefault="002414FE" w:rsidP="002414FE">
            <w:r>
              <w:t>6</w:t>
            </w:r>
          </w:p>
        </w:tc>
        <w:tc>
          <w:tcPr>
            <w:tcW w:w="914" w:type="dxa"/>
          </w:tcPr>
          <w:p w14:paraId="1C1E855A" w14:textId="58952769" w:rsidR="002414FE" w:rsidRPr="00867277" w:rsidRDefault="002414FE" w:rsidP="002414FE">
            <w:pPr>
              <w:cnfStyle w:val="000000000000" w:firstRow="0" w:lastRow="0" w:firstColumn="0" w:lastColumn="0" w:oddVBand="0" w:evenVBand="0" w:oddHBand="0" w:evenHBand="0" w:firstRowFirstColumn="0" w:firstRowLastColumn="0" w:lastRowFirstColumn="0" w:lastRowLastColumn="0"/>
            </w:pPr>
            <w:r>
              <w:t>2.0</w:t>
            </w:r>
          </w:p>
        </w:tc>
        <w:tc>
          <w:tcPr>
            <w:tcW w:w="780" w:type="dxa"/>
          </w:tcPr>
          <w:p w14:paraId="59EE80B8" w14:textId="7C3E3C7F" w:rsidR="002414FE" w:rsidRDefault="002414FE" w:rsidP="002414FE">
            <w:pPr>
              <w:cnfStyle w:val="000000000000" w:firstRow="0" w:lastRow="0" w:firstColumn="0" w:lastColumn="0" w:oddVBand="0" w:evenVBand="0" w:oddHBand="0" w:evenHBand="0" w:firstRowFirstColumn="0" w:firstRowLastColumn="0" w:lastRowFirstColumn="0" w:lastRowLastColumn="0"/>
            </w:pPr>
            <w:r>
              <w:t>11/10</w:t>
            </w:r>
          </w:p>
        </w:tc>
        <w:tc>
          <w:tcPr>
            <w:tcW w:w="2430" w:type="dxa"/>
          </w:tcPr>
          <w:p w14:paraId="2DCD076F" w14:textId="30AD3C6A" w:rsidR="002414FE" w:rsidRDefault="002414FE" w:rsidP="002414FE">
            <w:pPr>
              <w:cnfStyle w:val="000000000000" w:firstRow="0" w:lastRow="0" w:firstColumn="0" w:lastColumn="0" w:oddVBand="0" w:evenVBand="0" w:oddHBand="0" w:evenHBand="0" w:firstRowFirstColumn="0" w:firstRowLastColumn="0" w:lastRowFirstColumn="0" w:lastRowLastColumn="0"/>
            </w:pPr>
            <w:r w:rsidRPr="003B6E3E">
              <w:rPr>
                <w:i/>
                <w:iCs/>
              </w:rPr>
              <w:t>3 – OSAC Registry Approval Process of Published Standards o</w:t>
            </w:r>
            <w:r>
              <w:rPr>
                <w:i/>
                <w:iCs/>
              </w:rPr>
              <w:t>r Guidelines Process Description</w:t>
            </w:r>
            <w:r>
              <w:t>, (RA-375)</w:t>
            </w:r>
          </w:p>
        </w:tc>
        <w:tc>
          <w:tcPr>
            <w:tcW w:w="6044" w:type="dxa"/>
          </w:tcPr>
          <w:p w14:paraId="2DA2F914" w14:textId="693D5427" w:rsidR="002414FE" w:rsidRDefault="002414FE" w:rsidP="002414FE">
            <w:pPr>
              <w:cnfStyle w:val="000000000000" w:firstRow="0" w:lastRow="0" w:firstColumn="0" w:lastColumn="0" w:oddVBand="0" w:evenVBand="0" w:oddHBand="0" w:evenHBand="0" w:firstRowFirstColumn="0" w:firstRowLastColumn="0" w:lastRowFirstColumn="0" w:lastRowLastColumn="0"/>
            </w:pPr>
            <w:r>
              <w:t xml:space="preserve">Analyze how the process should address packets that are being resubmitted (for the second time or beyond).  Include language that indicates: “If the Subcommittee elects to resubmit the packet, they should begin the project again at RA-0, and be sure to include a documented response to the relevant </w:t>
            </w:r>
            <w:r w:rsidRPr="00251485">
              <w:rPr>
                <w:b/>
                <w:i/>
              </w:rPr>
              <w:t>QIC Template B</w:t>
            </w:r>
            <w:r>
              <w:rPr>
                <w:b/>
                <w:i/>
              </w:rPr>
              <w:t>:</w:t>
            </w:r>
            <w:r>
              <w:t xml:space="preserve"> </w:t>
            </w:r>
            <w:r>
              <w:rPr>
                <w:b/>
                <w:i/>
              </w:rPr>
              <w:t>Justification for Non-A</w:t>
            </w:r>
            <w:r w:rsidRPr="008319A1">
              <w:rPr>
                <w:b/>
                <w:i/>
              </w:rPr>
              <w:t>pproval</w:t>
            </w:r>
            <w:r>
              <w:rPr>
                <w:b/>
                <w:i/>
              </w:rPr>
              <w:t xml:space="preserve">.” </w:t>
            </w:r>
            <w:r>
              <w:rPr>
                <w:b/>
              </w:rPr>
              <w:t xml:space="preserve"> </w:t>
            </w:r>
            <w:r w:rsidRPr="002049DD">
              <w:t>(Forthcoming</w:t>
            </w:r>
            <w:r>
              <w:rPr>
                <w:b/>
              </w:rPr>
              <w:t xml:space="preserve"> </w:t>
            </w:r>
            <w:r w:rsidRPr="00AD636B">
              <w:t>Kavi instructions will include that subcommittees should a</w:t>
            </w:r>
            <w:r>
              <w:t>nnotate the original project title number to include a “.2” if it is the second submission, “.3” if it is the third submission, etcetera.)</w:t>
            </w:r>
          </w:p>
        </w:tc>
        <w:tc>
          <w:tcPr>
            <w:tcW w:w="1786" w:type="dxa"/>
          </w:tcPr>
          <w:p w14:paraId="603A403E" w14:textId="00F37F0F" w:rsidR="002414FE" w:rsidRDefault="002414FE" w:rsidP="002414FE">
            <w:pPr>
              <w:cnfStyle w:val="000000000000" w:firstRow="0" w:lastRow="0" w:firstColumn="0" w:lastColumn="0" w:oddVBand="0" w:evenVBand="0" w:oddHBand="0" w:evenHBand="0" w:firstRowFirstColumn="0" w:firstRowLastColumn="0" w:lastRowFirstColumn="0" w:lastRowLastColumn="0"/>
            </w:pPr>
            <w:r>
              <w:t>FSSB Discussion</w:t>
            </w:r>
          </w:p>
          <w:p w14:paraId="185E200B" w14:textId="6E00054F" w:rsidR="002414FE" w:rsidRDefault="002414FE" w:rsidP="002414FE">
            <w:pPr>
              <w:cnfStyle w:val="000000000000" w:firstRow="0" w:lastRow="0" w:firstColumn="0" w:lastColumn="0" w:oddVBand="0" w:evenVBand="0" w:oddHBand="0" w:evenHBand="0" w:firstRowFirstColumn="0" w:firstRowLastColumn="0" w:lastRowFirstColumn="0" w:lastRowLastColumn="0"/>
            </w:pPr>
          </w:p>
          <w:p w14:paraId="11D89FB3" w14:textId="77777777" w:rsidR="002414FE" w:rsidRPr="003B6E3E" w:rsidRDefault="002414FE" w:rsidP="002414FE">
            <w:pPr>
              <w:cnfStyle w:val="000000000000" w:firstRow="0" w:lastRow="0" w:firstColumn="0" w:lastColumn="0" w:oddVBand="0" w:evenVBand="0" w:oddHBand="0" w:evenHBand="0" w:firstRowFirstColumn="0" w:firstRowLastColumn="0" w:lastRowFirstColumn="0" w:lastRowLastColumn="0"/>
            </w:pPr>
          </w:p>
        </w:tc>
        <w:tc>
          <w:tcPr>
            <w:tcW w:w="1863" w:type="dxa"/>
          </w:tcPr>
          <w:p w14:paraId="35BF6B68" w14:textId="4CA38F7F" w:rsidR="002414FE" w:rsidRDefault="002414FE" w:rsidP="002414FE">
            <w:pPr>
              <w:cnfStyle w:val="000000000000" w:firstRow="0" w:lastRow="0" w:firstColumn="0" w:lastColumn="0" w:oddVBand="0" w:evenVBand="0" w:oddHBand="0" w:evenHBand="0" w:firstRowFirstColumn="0" w:firstRowLastColumn="0" w:lastRowFirstColumn="0" w:lastRowLastColumn="0"/>
            </w:pPr>
            <w:r>
              <w:t>Completed</w:t>
            </w:r>
          </w:p>
        </w:tc>
      </w:tr>
      <w:tr w:rsidR="002414FE" w14:paraId="0252D062" w14:textId="77777777" w:rsidTr="00825909">
        <w:trPr>
          <w:cnfStyle w:val="000000100000" w:firstRow="0" w:lastRow="0" w:firstColumn="0" w:lastColumn="0" w:oddVBand="0" w:evenVBand="0" w:oddHBand="1" w:evenHBand="0" w:firstRowFirstColumn="0" w:firstRowLastColumn="0" w:lastRowFirstColumn="0" w:lastRowLastColumn="0"/>
          <w:trHeight w:val="647"/>
          <w:jc w:val="center"/>
        </w:trPr>
        <w:tc>
          <w:tcPr>
            <w:cnfStyle w:val="001000000000" w:firstRow="0" w:lastRow="0" w:firstColumn="1" w:lastColumn="0" w:oddVBand="0" w:evenVBand="0" w:oddHBand="0" w:evenHBand="0" w:firstRowFirstColumn="0" w:firstRowLastColumn="0" w:lastRowFirstColumn="0" w:lastRowLastColumn="0"/>
            <w:tcW w:w="641" w:type="dxa"/>
          </w:tcPr>
          <w:p w14:paraId="4D05515E" w14:textId="21D7EE8B" w:rsidR="002414FE" w:rsidRDefault="002414FE" w:rsidP="002414FE">
            <w:r>
              <w:t>7</w:t>
            </w:r>
          </w:p>
        </w:tc>
        <w:tc>
          <w:tcPr>
            <w:tcW w:w="914" w:type="dxa"/>
          </w:tcPr>
          <w:p w14:paraId="600F4F20" w14:textId="7A695672" w:rsidR="002414FE" w:rsidRPr="00867277" w:rsidRDefault="002414FE" w:rsidP="002414FE">
            <w:pPr>
              <w:cnfStyle w:val="000000100000" w:firstRow="0" w:lastRow="0" w:firstColumn="0" w:lastColumn="0" w:oddVBand="0" w:evenVBand="0" w:oddHBand="1" w:evenHBand="0" w:firstRowFirstColumn="0" w:firstRowLastColumn="0" w:lastRowFirstColumn="0" w:lastRowLastColumn="0"/>
            </w:pPr>
            <w:r>
              <w:t>2.0</w:t>
            </w:r>
          </w:p>
        </w:tc>
        <w:tc>
          <w:tcPr>
            <w:tcW w:w="780" w:type="dxa"/>
          </w:tcPr>
          <w:p w14:paraId="465B5F82" w14:textId="445B07F7" w:rsidR="002414FE" w:rsidRDefault="002414FE" w:rsidP="002414FE">
            <w:pPr>
              <w:cnfStyle w:val="000000100000" w:firstRow="0" w:lastRow="0" w:firstColumn="0" w:lastColumn="0" w:oddVBand="0" w:evenVBand="0" w:oddHBand="1" w:evenHBand="0" w:firstRowFirstColumn="0" w:firstRowLastColumn="0" w:lastRowFirstColumn="0" w:lastRowLastColumn="0"/>
            </w:pPr>
            <w:r>
              <w:t>11/10</w:t>
            </w:r>
          </w:p>
        </w:tc>
        <w:tc>
          <w:tcPr>
            <w:tcW w:w="2430" w:type="dxa"/>
          </w:tcPr>
          <w:p w14:paraId="3A6BD2BF" w14:textId="072B7C1F" w:rsidR="002414FE" w:rsidRDefault="002414FE" w:rsidP="002414FE">
            <w:pPr>
              <w:cnfStyle w:val="000000100000" w:firstRow="0" w:lastRow="0" w:firstColumn="0" w:lastColumn="0" w:oddVBand="0" w:evenVBand="0" w:oddHBand="1" w:evenHBand="0" w:firstRowFirstColumn="0" w:firstRowLastColumn="0" w:lastRowFirstColumn="0" w:lastRowLastColumn="0"/>
            </w:pPr>
            <w:r w:rsidRPr="003B6E3E">
              <w:rPr>
                <w:i/>
                <w:iCs/>
              </w:rPr>
              <w:t>6 – QIC Form 3: Reg</w:t>
            </w:r>
            <w:r>
              <w:rPr>
                <w:i/>
                <w:iCs/>
              </w:rPr>
              <w:t>istry Request</w:t>
            </w:r>
          </w:p>
        </w:tc>
        <w:tc>
          <w:tcPr>
            <w:tcW w:w="6044" w:type="dxa"/>
          </w:tcPr>
          <w:p w14:paraId="5580BF07" w14:textId="10B11A55" w:rsidR="002414FE" w:rsidRDefault="002414FE" w:rsidP="002414FE">
            <w:pPr>
              <w:cnfStyle w:val="000000100000" w:firstRow="0" w:lastRow="0" w:firstColumn="0" w:lastColumn="0" w:oddVBand="0" w:evenVBand="0" w:oddHBand="1" w:evenHBand="0" w:firstRowFirstColumn="0" w:firstRowLastColumn="0" w:lastRowFirstColumn="0" w:lastRowLastColumn="0"/>
            </w:pPr>
            <w:r>
              <w:t>Make harmonization form optional.  Language should say “If yes, complete the Harmonization Worksheet…”</w:t>
            </w:r>
          </w:p>
        </w:tc>
        <w:tc>
          <w:tcPr>
            <w:tcW w:w="1786" w:type="dxa"/>
          </w:tcPr>
          <w:p w14:paraId="472D60FC" w14:textId="3E140A32" w:rsidR="002414FE" w:rsidRDefault="002414FE" w:rsidP="002414FE">
            <w:pPr>
              <w:cnfStyle w:val="000000100000" w:firstRow="0" w:lastRow="0" w:firstColumn="0" w:lastColumn="0" w:oddVBand="0" w:evenVBand="0" w:oddHBand="1" w:evenHBand="0" w:firstRowFirstColumn="0" w:firstRowLastColumn="0" w:lastRowFirstColumn="0" w:lastRowLastColumn="0"/>
            </w:pPr>
            <w:r>
              <w:t>OSAC Affairs</w:t>
            </w:r>
          </w:p>
        </w:tc>
        <w:tc>
          <w:tcPr>
            <w:tcW w:w="1863" w:type="dxa"/>
          </w:tcPr>
          <w:p w14:paraId="32EE7D89" w14:textId="15D16BA3" w:rsidR="002414FE" w:rsidRPr="00010D6C" w:rsidRDefault="002414FE" w:rsidP="002414FE">
            <w:pPr>
              <w:cnfStyle w:val="000000100000" w:firstRow="0" w:lastRow="0" w:firstColumn="0" w:lastColumn="0" w:oddVBand="0" w:evenVBand="0" w:oddHBand="1" w:evenHBand="0" w:firstRowFirstColumn="0" w:firstRowLastColumn="0" w:lastRowFirstColumn="0" w:lastRowLastColumn="0"/>
              <w:rPr>
                <w:highlight w:val="yellow"/>
              </w:rPr>
            </w:pPr>
            <w:r w:rsidRPr="00390945">
              <w:t>Completed</w:t>
            </w:r>
          </w:p>
        </w:tc>
      </w:tr>
      <w:tr w:rsidR="002414FE" w14:paraId="7CAB35A5" w14:textId="77777777" w:rsidTr="00412E0D">
        <w:trPr>
          <w:trHeight w:val="926"/>
          <w:jc w:val="center"/>
        </w:trPr>
        <w:tc>
          <w:tcPr>
            <w:cnfStyle w:val="001000000000" w:firstRow="0" w:lastRow="0" w:firstColumn="1" w:lastColumn="0" w:oddVBand="0" w:evenVBand="0" w:oddHBand="0" w:evenHBand="0" w:firstRowFirstColumn="0" w:firstRowLastColumn="0" w:lastRowFirstColumn="0" w:lastRowLastColumn="0"/>
            <w:tcW w:w="641" w:type="dxa"/>
          </w:tcPr>
          <w:p w14:paraId="059DA2DA" w14:textId="13A986AF" w:rsidR="002414FE" w:rsidRDefault="002414FE" w:rsidP="002414FE">
            <w:r>
              <w:t>8</w:t>
            </w:r>
          </w:p>
        </w:tc>
        <w:tc>
          <w:tcPr>
            <w:tcW w:w="914" w:type="dxa"/>
          </w:tcPr>
          <w:p w14:paraId="0B7D4A6F" w14:textId="7497AFC2" w:rsidR="002414FE" w:rsidRPr="00867277" w:rsidRDefault="002414FE" w:rsidP="002414FE">
            <w:pPr>
              <w:cnfStyle w:val="000000000000" w:firstRow="0" w:lastRow="0" w:firstColumn="0" w:lastColumn="0" w:oddVBand="0" w:evenVBand="0" w:oddHBand="0" w:evenHBand="0" w:firstRowFirstColumn="0" w:firstRowLastColumn="0" w:lastRowFirstColumn="0" w:lastRowLastColumn="0"/>
            </w:pPr>
            <w:r w:rsidRPr="00867277">
              <w:t>2.0</w:t>
            </w:r>
          </w:p>
        </w:tc>
        <w:tc>
          <w:tcPr>
            <w:tcW w:w="780" w:type="dxa"/>
          </w:tcPr>
          <w:p w14:paraId="609D3181" w14:textId="28ECD6C2" w:rsidR="002414FE" w:rsidRDefault="002414FE" w:rsidP="002414FE">
            <w:pPr>
              <w:cnfStyle w:val="000000000000" w:firstRow="0" w:lastRow="0" w:firstColumn="0" w:lastColumn="0" w:oddVBand="0" w:evenVBand="0" w:oddHBand="0" w:evenHBand="0" w:firstRowFirstColumn="0" w:firstRowLastColumn="0" w:lastRowFirstColumn="0" w:lastRowLastColumn="0"/>
            </w:pPr>
            <w:r>
              <w:t>11/10</w:t>
            </w:r>
          </w:p>
        </w:tc>
        <w:tc>
          <w:tcPr>
            <w:tcW w:w="2430" w:type="dxa"/>
          </w:tcPr>
          <w:p w14:paraId="09811003" w14:textId="6C986F73" w:rsidR="002414FE" w:rsidRPr="00787732" w:rsidRDefault="002414FE" w:rsidP="002414FE">
            <w:pPr>
              <w:cnfStyle w:val="000000000000" w:firstRow="0" w:lastRow="0" w:firstColumn="0" w:lastColumn="0" w:oddVBand="0" w:evenVBand="0" w:oddHBand="0" w:evenHBand="0" w:firstRowFirstColumn="0" w:firstRowLastColumn="0" w:lastRowFirstColumn="0" w:lastRowLastColumn="0"/>
              <w:rPr>
                <w:i/>
              </w:rPr>
            </w:pPr>
            <w:r w:rsidRPr="00787732">
              <w:rPr>
                <w:i/>
              </w:rPr>
              <w:t>B - QIC Template B: Justification for Non-Approval</w:t>
            </w:r>
          </w:p>
        </w:tc>
        <w:tc>
          <w:tcPr>
            <w:tcW w:w="6044" w:type="dxa"/>
          </w:tcPr>
          <w:p w14:paraId="374FF704" w14:textId="4E29E186" w:rsidR="002414FE" w:rsidRDefault="002414FE" w:rsidP="002414FE">
            <w:pPr>
              <w:cnfStyle w:val="000000000000" w:firstRow="0" w:lastRow="0" w:firstColumn="0" w:lastColumn="0" w:oddVBand="0" w:evenVBand="0" w:oddHBand="0" w:evenHBand="0" w:firstRowFirstColumn="0" w:firstRowLastColumn="0" w:lastRowFirstColumn="0" w:lastRowLastColumn="0"/>
            </w:pPr>
            <w:r>
              <w:t xml:space="preserve">Revise to be more generic for use in multiple processes, to include the </w:t>
            </w:r>
            <w:r w:rsidRPr="00412E0D">
              <w:rPr>
                <w:i/>
              </w:rPr>
              <w:t>OSAC Working with an SDO Process</w:t>
            </w:r>
            <w:r>
              <w:t xml:space="preserve">. </w:t>
            </w:r>
          </w:p>
        </w:tc>
        <w:tc>
          <w:tcPr>
            <w:tcW w:w="1786" w:type="dxa"/>
          </w:tcPr>
          <w:p w14:paraId="11C42993" w14:textId="215D4EEC" w:rsidR="002414FE" w:rsidRDefault="002414FE" w:rsidP="002414FE">
            <w:pPr>
              <w:cnfStyle w:val="000000000000" w:firstRow="0" w:lastRow="0" w:firstColumn="0" w:lastColumn="0" w:oddVBand="0" w:evenVBand="0" w:oddHBand="0" w:evenHBand="0" w:firstRowFirstColumn="0" w:firstRowLastColumn="0" w:lastRowFirstColumn="0" w:lastRowLastColumn="0"/>
            </w:pPr>
            <w:r>
              <w:t>OSAC Affairs</w:t>
            </w:r>
          </w:p>
        </w:tc>
        <w:tc>
          <w:tcPr>
            <w:tcW w:w="1863" w:type="dxa"/>
          </w:tcPr>
          <w:p w14:paraId="2D7BAD11" w14:textId="4612567B" w:rsidR="002414FE" w:rsidRDefault="002414FE" w:rsidP="002414FE">
            <w:pPr>
              <w:cnfStyle w:val="000000000000" w:firstRow="0" w:lastRow="0" w:firstColumn="0" w:lastColumn="0" w:oddVBand="0" w:evenVBand="0" w:oddHBand="0" w:evenHBand="0" w:firstRowFirstColumn="0" w:firstRowLastColumn="0" w:lastRowFirstColumn="0" w:lastRowLastColumn="0"/>
            </w:pPr>
            <w:r>
              <w:t>Completed</w:t>
            </w:r>
          </w:p>
        </w:tc>
      </w:tr>
      <w:tr w:rsidR="00DD2067" w14:paraId="7727651A" w14:textId="77777777" w:rsidTr="00DD2067">
        <w:tblPrEx>
          <w:jc w:val="left"/>
        </w:tblPrEx>
        <w:trPr>
          <w:cnfStyle w:val="000000100000" w:firstRow="0" w:lastRow="0" w:firstColumn="0" w:lastColumn="0" w:oddVBand="0" w:evenVBand="0" w:oddHBand="1" w:evenHBand="0"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641" w:type="dxa"/>
          </w:tcPr>
          <w:p w14:paraId="1DADA953" w14:textId="6E4DCC80" w:rsidR="00DD2067" w:rsidRDefault="00DD2067" w:rsidP="00435FFC">
            <w:r>
              <w:t>9</w:t>
            </w:r>
          </w:p>
        </w:tc>
        <w:tc>
          <w:tcPr>
            <w:tcW w:w="914" w:type="dxa"/>
          </w:tcPr>
          <w:p w14:paraId="2A45A268" w14:textId="7A3B5A45" w:rsidR="00DD2067" w:rsidRPr="00867277" w:rsidRDefault="00DD2067" w:rsidP="00435FFC">
            <w:pPr>
              <w:cnfStyle w:val="000000100000" w:firstRow="0" w:lastRow="0" w:firstColumn="0" w:lastColumn="0" w:oddVBand="0" w:evenVBand="0" w:oddHBand="1" w:evenHBand="0" w:firstRowFirstColumn="0" w:firstRowLastColumn="0" w:lastRowFirstColumn="0" w:lastRowLastColumn="0"/>
            </w:pPr>
            <w:r>
              <w:t>3</w:t>
            </w:r>
            <w:r w:rsidRPr="00867277">
              <w:t>.0</w:t>
            </w:r>
          </w:p>
        </w:tc>
        <w:tc>
          <w:tcPr>
            <w:tcW w:w="780" w:type="dxa"/>
          </w:tcPr>
          <w:p w14:paraId="4C742DAC" w14:textId="77777777" w:rsidR="00DD2067" w:rsidRDefault="00DD2067" w:rsidP="00435FFC">
            <w:pPr>
              <w:cnfStyle w:val="000000100000" w:firstRow="0" w:lastRow="0" w:firstColumn="0" w:lastColumn="0" w:oddVBand="0" w:evenVBand="0" w:oddHBand="1" w:evenHBand="0" w:firstRowFirstColumn="0" w:firstRowLastColumn="0" w:lastRowFirstColumn="0" w:lastRowLastColumn="0"/>
            </w:pPr>
            <w:r>
              <w:t>11/10</w:t>
            </w:r>
          </w:p>
        </w:tc>
        <w:tc>
          <w:tcPr>
            <w:tcW w:w="2430" w:type="dxa"/>
          </w:tcPr>
          <w:p w14:paraId="5D044E74" w14:textId="77777777" w:rsidR="00DD2067" w:rsidRPr="003B6E3E" w:rsidRDefault="00DD2067" w:rsidP="00DD2067">
            <w:pPr>
              <w:cnfStyle w:val="000000100000" w:firstRow="0" w:lastRow="0" w:firstColumn="0" w:lastColumn="0" w:oddVBand="0" w:evenVBand="0" w:oddHBand="1" w:evenHBand="0" w:firstRowFirstColumn="0" w:firstRowLastColumn="0" w:lastRowFirstColumn="0" w:lastRowLastColumn="0"/>
            </w:pPr>
            <w:r w:rsidRPr="003B6E3E">
              <w:rPr>
                <w:i/>
                <w:iCs/>
              </w:rPr>
              <w:t xml:space="preserve">4 – QIC Form 1: Technical Merit Worksheet </w:t>
            </w:r>
          </w:p>
          <w:p w14:paraId="2008FAAD" w14:textId="7E8D2303" w:rsidR="00DD2067" w:rsidRPr="00787732" w:rsidRDefault="00DD2067" w:rsidP="00DD2067">
            <w:pPr>
              <w:cnfStyle w:val="000000100000" w:firstRow="0" w:lastRow="0" w:firstColumn="0" w:lastColumn="0" w:oddVBand="0" w:evenVBand="0" w:oddHBand="1" w:evenHBand="0" w:firstRowFirstColumn="0" w:firstRowLastColumn="0" w:lastRowFirstColumn="0" w:lastRowLastColumn="0"/>
              <w:rPr>
                <w:i/>
              </w:rPr>
            </w:pPr>
            <w:r>
              <w:t xml:space="preserve">Question </w:t>
            </w:r>
            <w:r>
              <w:t xml:space="preserve">6, 13, and addition of a new question (inserted in front of Question 14; v2. Question 14 now becomes Question 15. </w:t>
            </w:r>
          </w:p>
        </w:tc>
        <w:tc>
          <w:tcPr>
            <w:tcW w:w="6044" w:type="dxa"/>
          </w:tcPr>
          <w:p w14:paraId="50D453F5" w14:textId="77777777" w:rsidR="00DD2067" w:rsidRDefault="00DD2067" w:rsidP="00DD2067">
            <w:pPr>
              <w:pStyle w:val="ListBullet"/>
              <w:numPr>
                <w:ilvl w:val="0"/>
                <w:numId w:val="0"/>
              </w:numPr>
              <w:ind w:left="360" w:hanging="360"/>
              <w:cnfStyle w:val="000000100000" w:firstRow="0" w:lastRow="0" w:firstColumn="0" w:lastColumn="0" w:oddVBand="0" w:evenVBand="0" w:oddHBand="1" w:evenHBand="0" w:firstRowFirstColumn="0" w:firstRowLastColumn="0" w:lastRowFirstColumn="0" w:lastRowLastColumn="0"/>
            </w:pPr>
            <w:r>
              <w:t xml:space="preserve">Reworded # 6, </w:t>
            </w:r>
          </w:p>
          <w:p w14:paraId="5D6FCD1A" w14:textId="6900943E" w:rsidR="00DD2067" w:rsidRDefault="00DD2067" w:rsidP="00DD2067">
            <w:pPr>
              <w:pStyle w:val="ListBullet"/>
              <w:numPr>
                <w:ilvl w:val="0"/>
                <w:numId w:val="0"/>
              </w:numPr>
              <w:ind w:left="360"/>
              <w:cnfStyle w:val="000000100000" w:firstRow="0" w:lastRow="0" w:firstColumn="0" w:lastColumn="0" w:oddVBand="0" w:evenVBand="0" w:oddHBand="1" w:evenHBand="0" w:firstRowFirstColumn="0" w:firstRowLastColumn="0" w:lastRowFirstColumn="0" w:lastRowLastColumn="0"/>
            </w:pPr>
            <w:r>
              <w:t xml:space="preserve">From: </w:t>
            </w:r>
            <w:r>
              <w:t>“Does the document provide guidance on estimating uncertainty?”</w:t>
            </w:r>
          </w:p>
          <w:p w14:paraId="77551654" w14:textId="492F480E" w:rsidR="00DD2067" w:rsidRDefault="00DD2067" w:rsidP="00DD2067">
            <w:pPr>
              <w:pStyle w:val="ListBullet2"/>
              <w:cnfStyle w:val="000000100000" w:firstRow="0" w:lastRow="0" w:firstColumn="0" w:lastColumn="0" w:oddVBand="0" w:evenVBand="0" w:oddHBand="1" w:evenHBand="0" w:firstRowFirstColumn="0" w:firstRowLastColumn="0" w:lastRowFirstColumn="0" w:lastRowLastColumn="0"/>
            </w:pPr>
            <w:r>
              <w:t xml:space="preserve">To: </w:t>
            </w:r>
            <w:r>
              <w:t>“Does the document provide adequate guidance on (</w:t>
            </w:r>
            <w:proofErr w:type="spellStart"/>
            <w:r>
              <w:t>i</w:t>
            </w:r>
            <w:proofErr w:type="spellEnd"/>
            <w:r>
              <w:t>) estimating the uncertainty of the resulting measurement(s) and/or (ii) uncertainty with regards to the conclusions ?”</w:t>
            </w:r>
          </w:p>
          <w:p w14:paraId="7E0A5D44" w14:textId="77777777" w:rsidR="00DD2067" w:rsidRDefault="00DD2067" w:rsidP="00DD2067">
            <w:pPr>
              <w:pStyle w:val="ListBullet2"/>
              <w:cnfStyle w:val="000000100000" w:firstRow="0" w:lastRow="0" w:firstColumn="0" w:lastColumn="0" w:oddVBand="0" w:evenVBand="0" w:oddHBand="1" w:evenHBand="0" w:firstRowFirstColumn="0" w:firstRowLastColumn="0" w:lastRowFirstColumn="0" w:lastRowLastColumn="0"/>
            </w:pPr>
          </w:p>
          <w:p w14:paraId="08DC6AF1" w14:textId="0AFF4518" w:rsidR="00DD2067" w:rsidRDefault="00DD2067" w:rsidP="00DD2067">
            <w:pPr>
              <w:pStyle w:val="ListBullet2"/>
              <w:cnfStyle w:val="000000100000" w:firstRow="0" w:lastRow="0" w:firstColumn="0" w:lastColumn="0" w:oddVBand="0" w:evenVBand="0" w:oddHBand="1" w:evenHBand="0" w:firstRowFirstColumn="0" w:firstRowLastColumn="0" w:lastRowFirstColumn="0" w:lastRowLastColumn="0"/>
            </w:pPr>
            <w:r>
              <w:t>Added additional clarifying language to #13</w:t>
            </w:r>
          </w:p>
          <w:p w14:paraId="1673A3A7" w14:textId="77777777" w:rsidR="00DD2067" w:rsidRDefault="00DD2067" w:rsidP="00DD2067">
            <w:pPr>
              <w:pStyle w:val="ListBullet2"/>
              <w:cnfStyle w:val="000000100000" w:firstRow="0" w:lastRow="0" w:firstColumn="0" w:lastColumn="0" w:oddVBand="0" w:evenVBand="0" w:oddHBand="1" w:evenHBand="0" w:firstRowFirstColumn="0" w:firstRowLastColumn="0" w:lastRowFirstColumn="0" w:lastRowLastColumn="0"/>
            </w:pPr>
            <w:r>
              <w:t xml:space="preserve">“If any OSAC member or unit has significant concerns to this document, the dissenting view(s) </w:t>
            </w:r>
            <w:r w:rsidRPr="00F15447">
              <w:rPr>
                <w:b/>
              </w:rPr>
              <w:t>must</w:t>
            </w:r>
            <w:r>
              <w:t xml:space="preserve"> be included here, written by the objecting member with the number of members that agree with the dissenting view(s).” </w:t>
            </w:r>
          </w:p>
          <w:p w14:paraId="10B54DBA" w14:textId="77777777" w:rsidR="00DD2067" w:rsidRDefault="00DD2067" w:rsidP="00DD2067">
            <w:pPr>
              <w:pStyle w:val="ListBullet2"/>
              <w:cnfStyle w:val="000000100000" w:firstRow="0" w:lastRow="0" w:firstColumn="0" w:lastColumn="0" w:oddVBand="0" w:evenVBand="0" w:oddHBand="1" w:evenHBand="0" w:firstRowFirstColumn="0" w:firstRowLastColumn="0" w:lastRowFirstColumn="0" w:lastRowLastColumn="0"/>
            </w:pPr>
          </w:p>
          <w:p w14:paraId="450A64A4" w14:textId="77777777" w:rsidR="00E46A49" w:rsidRDefault="00E46A49" w:rsidP="00E46A49">
            <w:pPr>
              <w:pStyle w:val="ListBullet2"/>
              <w:cnfStyle w:val="000000100000" w:firstRow="0" w:lastRow="0" w:firstColumn="0" w:lastColumn="0" w:oddVBand="0" w:evenVBand="0" w:oddHBand="1" w:evenHBand="0" w:firstRowFirstColumn="0" w:firstRowLastColumn="0" w:lastRowFirstColumn="0" w:lastRowLastColumn="0"/>
            </w:pPr>
            <w:r>
              <w:t>Renumbered #14 to #15.</w:t>
            </w:r>
          </w:p>
          <w:p w14:paraId="6D59F14B" w14:textId="5B2BFEDA" w:rsidR="00DD2067" w:rsidRDefault="00E46A49" w:rsidP="00DD2067">
            <w:pPr>
              <w:pStyle w:val="ListBullet2"/>
              <w:cnfStyle w:val="000000100000" w:firstRow="0" w:lastRow="0" w:firstColumn="0" w:lastColumn="0" w:oddVBand="0" w:evenVBand="0" w:oddHBand="1" w:evenHBand="0" w:firstRowFirstColumn="0" w:firstRowLastColumn="0" w:lastRowFirstColumn="0" w:lastRowLastColumn="0"/>
            </w:pPr>
            <w:bookmarkStart w:id="0" w:name="_GoBack"/>
            <w:bookmarkEnd w:id="0"/>
            <w:r>
              <w:t xml:space="preserve">Added new #14 to capture votes on Technical Merit. </w:t>
            </w:r>
          </w:p>
          <w:p w14:paraId="377FDD29" w14:textId="77777777" w:rsidR="00E46A49" w:rsidRDefault="00E46A49" w:rsidP="00E46A49">
            <w:pPr>
              <w:pStyle w:val="ListBullet2"/>
              <w:cnfStyle w:val="000000100000" w:firstRow="0" w:lastRow="0" w:firstColumn="0" w:lastColumn="0" w:oddVBand="0" w:evenVBand="0" w:oddHBand="1" w:evenHBand="0" w:firstRowFirstColumn="0" w:firstRowLastColumn="0" w:lastRowFirstColumn="0" w:lastRowLastColumn="0"/>
            </w:pPr>
            <w:r>
              <w:t>SAC; # for_______; # against _______; # abstain ______</w:t>
            </w:r>
          </w:p>
          <w:p w14:paraId="3F543C6B" w14:textId="77777777" w:rsidR="00E46A49" w:rsidRDefault="00E46A49" w:rsidP="00E46A49">
            <w:pPr>
              <w:pStyle w:val="ListBullet2"/>
              <w:cnfStyle w:val="000000100000" w:firstRow="0" w:lastRow="0" w:firstColumn="0" w:lastColumn="0" w:oddVBand="0" w:evenVBand="0" w:oddHBand="1" w:evenHBand="0" w:firstRowFirstColumn="0" w:firstRowLastColumn="0" w:lastRowFirstColumn="0" w:lastRowLastColumn="0"/>
            </w:pPr>
            <w:r>
              <w:t xml:space="preserve">Subcommittee: </w:t>
            </w:r>
            <w:r w:rsidRPr="00654AAA">
              <w:t># for</w:t>
            </w:r>
            <w:r>
              <w:t xml:space="preserve"> ____ </w:t>
            </w:r>
            <w:r w:rsidRPr="00654AAA">
              <w:t>; # against</w:t>
            </w:r>
            <w:r>
              <w:t xml:space="preserve"> ____; #abstain_____</w:t>
            </w:r>
          </w:p>
          <w:p w14:paraId="1D9EBC80" w14:textId="77777777" w:rsidR="00E46A49" w:rsidRDefault="00E46A49" w:rsidP="00E46A49">
            <w:pPr>
              <w:pStyle w:val="ListBullet2"/>
              <w:cnfStyle w:val="000000100000" w:firstRow="0" w:lastRow="0" w:firstColumn="0" w:lastColumn="0" w:oddVBand="0" w:evenVBand="0" w:oddHBand="1" w:evenHBand="0" w:firstRowFirstColumn="0" w:firstRowLastColumn="0" w:lastRowFirstColumn="0" w:lastRowLastColumn="0"/>
            </w:pPr>
            <w:r w:rsidRPr="00E06355">
              <w:t>Document Task Group: # for ___; # against ____</w:t>
            </w:r>
            <w:r w:rsidRPr="00F15447">
              <w:t>; #abstain</w:t>
            </w:r>
            <w:r>
              <w:t xml:space="preserve"> _____</w:t>
            </w:r>
          </w:p>
          <w:p w14:paraId="13857480" w14:textId="5AAF8091" w:rsidR="00DD2067" w:rsidRDefault="00DD2067" w:rsidP="00E46A49">
            <w:pPr>
              <w:pStyle w:val="ListBullet2"/>
              <w:cnfStyle w:val="000000100000" w:firstRow="0" w:lastRow="0" w:firstColumn="0" w:lastColumn="0" w:oddVBand="0" w:evenVBand="0" w:oddHBand="1" w:evenHBand="0" w:firstRowFirstColumn="0" w:firstRowLastColumn="0" w:lastRowFirstColumn="0" w:lastRowLastColumn="0"/>
            </w:pPr>
          </w:p>
        </w:tc>
        <w:tc>
          <w:tcPr>
            <w:tcW w:w="1786" w:type="dxa"/>
          </w:tcPr>
          <w:p w14:paraId="01D30814" w14:textId="41F8EA71" w:rsidR="00DD2067" w:rsidRDefault="00DD2067" w:rsidP="00435FFC">
            <w:pPr>
              <w:cnfStyle w:val="000000100000" w:firstRow="0" w:lastRow="0" w:firstColumn="0" w:lastColumn="0" w:oddVBand="0" w:evenVBand="0" w:oddHBand="1" w:evenHBand="0" w:firstRowFirstColumn="0" w:firstRowLastColumn="0" w:lastRowFirstColumn="0" w:lastRowLastColumn="0"/>
            </w:pPr>
            <w:r>
              <w:t xml:space="preserve">QIC </w:t>
            </w:r>
          </w:p>
        </w:tc>
        <w:tc>
          <w:tcPr>
            <w:tcW w:w="1863" w:type="dxa"/>
          </w:tcPr>
          <w:p w14:paraId="17E995E0" w14:textId="77777777" w:rsidR="00DD2067" w:rsidRDefault="00DD2067" w:rsidP="00435FFC">
            <w:pPr>
              <w:cnfStyle w:val="000000100000" w:firstRow="0" w:lastRow="0" w:firstColumn="0" w:lastColumn="0" w:oddVBand="0" w:evenVBand="0" w:oddHBand="1" w:evenHBand="0" w:firstRowFirstColumn="0" w:firstRowLastColumn="0" w:lastRowFirstColumn="0" w:lastRowLastColumn="0"/>
            </w:pPr>
            <w:r>
              <w:t>Completed</w:t>
            </w:r>
          </w:p>
        </w:tc>
      </w:tr>
    </w:tbl>
    <w:p w14:paraId="73BE5782" w14:textId="3D80B525" w:rsidR="00BE0748" w:rsidRPr="00987CE1" w:rsidRDefault="00BE0748" w:rsidP="00987CE1">
      <w:pPr>
        <w:tabs>
          <w:tab w:val="left" w:pos="5407"/>
        </w:tabs>
      </w:pPr>
    </w:p>
    <w:sectPr w:rsidR="00BE0748" w:rsidRPr="00987CE1" w:rsidSect="00987CE1">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F3BDC" w14:textId="77777777" w:rsidR="003F59C7" w:rsidRDefault="003F59C7" w:rsidP="002379E3">
      <w:pPr>
        <w:spacing w:after="0" w:line="240" w:lineRule="auto"/>
      </w:pPr>
      <w:r>
        <w:separator/>
      </w:r>
    </w:p>
  </w:endnote>
  <w:endnote w:type="continuationSeparator" w:id="0">
    <w:p w14:paraId="5C998693" w14:textId="77777777" w:rsidR="003F59C7" w:rsidRDefault="003F59C7" w:rsidP="00237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5D6EC" w14:textId="212AEDD8" w:rsidR="00DD2B47" w:rsidRDefault="00DD2B47">
    <w:pPr>
      <w:pStyle w:val="Footer"/>
    </w:pPr>
    <w:r>
      <w:rPr>
        <w:sz w:val="20"/>
      </w:rPr>
      <w:t xml:space="preserve">Date of Issue: </w:t>
    </w:r>
    <w:r w:rsidR="00863EBC">
      <w:rPr>
        <w:sz w:val="20"/>
      </w:rPr>
      <w:t>11.10</w:t>
    </w:r>
    <w:r w:rsidR="00390945">
      <w:rPr>
        <w:sz w:val="20"/>
      </w:rPr>
      <w:t>.2015</w:t>
    </w:r>
    <w:r>
      <w:rPr>
        <w:sz w:val="20"/>
      </w:rPr>
      <w:t xml:space="preserve"> / Issuing Authority: Forensic Science Standards Board (FSSB)</w:t>
    </w:r>
  </w:p>
  <w:p w14:paraId="3A03B004" w14:textId="77777777" w:rsidR="00DD2B47" w:rsidRDefault="00DD2B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237D6" w14:textId="77777777" w:rsidR="003F59C7" w:rsidRDefault="003F59C7" w:rsidP="002379E3">
      <w:pPr>
        <w:spacing w:after="0" w:line="240" w:lineRule="auto"/>
      </w:pPr>
      <w:r>
        <w:separator/>
      </w:r>
    </w:p>
  </w:footnote>
  <w:footnote w:type="continuationSeparator" w:id="0">
    <w:p w14:paraId="3938C279" w14:textId="77777777" w:rsidR="003F59C7" w:rsidRDefault="003F59C7" w:rsidP="002379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192B1" w14:textId="43806346" w:rsidR="005B7BB5" w:rsidRDefault="005B7BB5">
    <w:pPr>
      <w:pStyle w:val="Header"/>
    </w:pPr>
    <w:r w:rsidRPr="00906994">
      <w:rPr>
        <w:noProof/>
      </w:rPr>
      <w:drawing>
        <wp:anchor distT="0" distB="0" distL="114300" distR="114300" simplePos="0" relativeHeight="251659264" behindDoc="1" locked="0" layoutInCell="1" allowOverlap="1" wp14:anchorId="6135FF5C" wp14:editId="2A6F90FC">
          <wp:simplePos x="0" y="0"/>
          <wp:positionH relativeFrom="margin">
            <wp:align>center</wp:align>
          </wp:positionH>
          <wp:positionV relativeFrom="page">
            <wp:posOffset>236220</wp:posOffset>
          </wp:positionV>
          <wp:extent cx="1028700" cy="838200"/>
          <wp:effectExtent l="0" t="0" r="0" b="0"/>
          <wp:wrapTight wrapText="bothSides">
            <wp:wrapPolygon edited="0">
              <wp:start x="0" y="0"/>
              <wp:lineTo x="0" y="21109"/>
              <wp:lineTo x="21200" y="21109"/>
              <wp:lineTo x="21200" y="0"/>
              <wp:lineTo x="0" y="0"/>
            </wp:wrapPolygon>
          </wp:wrapTight>
          <wp:docPr id="1" name="Picture 1" descr="C:\Users\laurelfarrell.ASCLD-LAB\Desktop\OSAC\LOGO\APPROVED OSAC logo 3-17-2015.jpg"/>
          <wp:cNvGraphicFramePr/>
          <a:graphic xmlns:a="http://schemas.openxmlformats.org/drawingml/2006/main">
            <a:graphicData uri="http://schemas.openxmlformats.org/drawingml/2006/picture">
              <pic:pic xmlns:pic="http://schemas.openxmlformats.org/drawingml/2006/picture">
                <pic:nvPicPr>
                  <pic:cNvPr id="1" name="Picture 1" descr="C:\Users\laurelfarrell.ASCLD-LAB\Desktop\OSAC\LOGO\APPROVED OSAC logo 3-17-2015.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C576BB" w14:textId="77777777" w:rsidR="005B7BB5" w:rsidRDefault="005B7BB5">
    <w:pPr>
      <w:pStyle w:val="Header"/>
    </w:pPr>
  </w:p>
  <w:p w14:paraId="4C8F542B" w14:textId="77777777" w:rsidR="005B7BB5" w:rsidRDefault="005B7BB5">
    <w:pPr>
      <w:pStyle w:val="Header"/>
    </w:pPr>
  </w:p>
  <w:p w14:paraId="09493471" w14:textId="77777777" w:rsidR="005B7BB5" w:rsidRDefault="005B7BB5" w:rsidP="002379E3">
    <w:pPr>
      <w:pStyle w:val="Heading2"/>
      <w:jc w:val="center"/>
    </w:pPr>
  </w:p>
  <w:p w14:paraId="78CFD618" w14:textId="5E71CFF2" w:rsidR="005B7BB5" w:rsidRDefault="00987CE1" w:rsidP="002379E3">
    <w:pPr>
      <w:pStyle w:val="Heading2"/>
      <w:jc w:val="center"/>
    </w:pPr>
    <w:r>
      <w:t xml:space="preserve">OSAC Standards/Guidelines Registry Approval Process </w:t>
    </w:r>
    <w:r w:rsidR="00DB2B5F">
      <w:t>Revisions List</w:t>
    </w:r>
  </w:p>
  <w:p w14:paraId="2B950DE9" w14:textId="77777777" w:rsidR="005B7BB5" w:rsidRDefault="005B7B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E98C3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BF47F4"/>
    <w:multiLevelType w:val="hybridMultilevel"/>
    <w:tmpl w:val="1C9AC878"/>
    <w:lvl w:ilvl="0" w:tplc="36826460">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80795A"/>
    <w:multiLevelType w:val="hybridMultilevel"/>
    <w:tmpl w:val="7B04E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54E20AE"/>
    <w:multiLevelType w:val="hybridMultilevel"/>
    <w:tmpl w:val="EDF69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DEF"/>
    <w:rsid w:val="00010D6C"/>
    <w:rsid w:val="00025F55"/>
    <w:rsid w:val="00027FB2"/>
    <w:rsid w:val="00032DC2"/>
    <w:rsid w:val="000407B3"/>
    <w:rsid w:val="00086576"/>
    <w:rsid w:val="000947C4"/>
    <w:rsid w:val="000F02F5"/>
    <w:rsid w:val="001275BF"/>
    <w:rsid w:val="001604BE"/>
    <w:rsid w:val="001C5DA9"/>
    <w:rsid w:val="001D7B25"/>
    <w:rsid w:val="001F3F49"/>
    <w:rsid w:val="002049DD"/>
    <w:rsid w:val="002379E3"/>
    <w:rsid w:val="002414FE"/>
    <w:rsid w:val="00245DEF"/>
    <w:rsid w:val="00251485"/>
    <w:rsid w:val="00260305"/>
    <w:rsid w:val="002A3A95"/>
    <w:rsid w:val="002C3BA2"/>
    <w:rsid w:val="002D4CF4"/>
    <w:rsid w:val="002D7C07"/>
    <w:rsid w:val="002E174D"/>
    <w:rsid w:val="002E4E2A"/>
    <w:rsid w:val="003412D6"/>
    <w:rsid w:val="00360EC0"/>
    <w:rsid w:val="00382B2B"/>
    <w:rsid w:val="00390945"/>
    <w:rsid w:val="00390B93"/>
    <w:rsid w:val="003B6E3E"/>
    <w:rsid w:val="003D02B7"/>
    <w:rsid w:val="003D0A1B"/>
    <w:rsid w:val="003F4DBB"/>
    <w:rsid w:val="003F59C7"/>
    <w:rsid w:val="00412E0D"/>
    <w:rsid w:val="00431B05"/>
    <w:rsid w:val="00440B9E"/>
    <w:rsid w:val="00446AA5"/>
    <w:rsid w:val="00447E91"/>
    <w:rsid w:val="00484A4D"/>
    <w:rsid w:val="00490318"/>
    <w:rsid w:val="00495494"/>
    <w:rsid w:val="004B374D"/>
    <w:rsid w:val="004F6D89"/>
    <w:rsid w:val="0050348D"/>
    <w:rsid w:val="0051172F"/>
    <w:rsid w:val="005119A2"/>
    <w:rsid w:val="00530DC7"/>
    <w:rsid w:val="00541104"/>
    <w:rsid w:val="005636EF"/>
    <w:rsid w:val="00566655"/>
    <w:rsid w:val="0058618A"/>
    <w:rsid w:val="00593B73"/>
    <w:rsid w:val="00595623"/>
    <w:rsid w:val="00597FA5"/>
    <w:rsid w:val="005A3979"/>
    <w:rsid w:val="005B7BB5"/>
    <w:rsid w:val="005D1C97"/>
    <w:rsid w:val="005E4007"/>
    <w:rsid w:val="00616E6B"/>
    <w:rsid w:val="00632967"/>
    <w:rsid w:val="00642614"/>
    <w:rsid w:val="0065352C"/>
    <w:rsid w:val="00657ED8"/>
    <w:rsid w:val="0066393C"/>
    <w:rsid w:val="0069585D"/>
    <w:rsid w:val="006B6A75"/>
    <w:rsid w:val="00704110"/>
    <w:rsid w:val="0070471A"/>
    <w:rsid w:val="0071206F"/>
    <w:rsid w:val="00712C90"/>
    <w:rsid w:val="00740014"/>
    <w:rsid w:val="00740139"/>
    <w:rsid w:val="007431C5"/>
    <w:rsid w:val="00763652"/>
    <w:rsid w:val="007665D6"/>
    <w:rsid w:val="00771A51"/>
    <w:rsid w:val="00777F0F"/>
    <w:rsid w:val="00780FEC"/>
    <w:rsid w:val="00787732"/>
    <w:rsid w:val="00794994"/>
    <w:rsid w:val="007A1940"/>
    <w:rsid w:val="007A5BEE"/>
    <w:rsid w:val="007F766D"/>
    <w:rsid w:val="00803813"/>
    <w:rsid w:val="00811CB4"/>
    <w:rsid w:val="00825909"/>
    <w:rsid w:val="00826578"/>
    <w:rsid w:val="008319A1"/>
    <w:rsid w:val="00833410"/>
    <w:rsid w:val="00855C6C"/>
    <w:rsid w:val="00863EBC"/>
    <w:rsid w:val="00885375"/>
    <w:rsid w:val="00890518"/>
    <w:rsid w:val="00894BC1"/>
    <w:rsid w:val="00895821"/>
    <w:rsid w:val="008B0E23"/>
    <w:rsid w:val="008B57EF"/>
    <w:rsid w:val="008C25FE"/>
    <w:rsid w:val="008D76C5"/>
    <w:rsid w:val="009141EE"/>
    <w:rsid w:val="00930EC8"/>
    <w:rsid w:val="0094224E"/>
    <w:rsid w:val="00975478"/>
    <w:rsid w:val="00986CC3"/>
    <w:rsid w:val="00987CE1"/>
    <w:rsid w:val="00987E14"/>
    <w:rsid w:val="00997D79"/>
    <w:rsid w:val="009A0E0E"/>
    <w:rsid w:val="009B22DA"/>
    <w:rsid w:val="009C2AD8"/>
    <w:rsid w:val="009C7D32"/>
    <w:rsid w:val="009D6529"/>
    <w:rsid w:val="00A05B4B"/>
    <w:rsid w:val="00A15F3D"/>
    <w:rsid w:val="00A54D9C"/>
    <w:rsid w:val="00A63506"/>
    <w:rsid w:val="00A656E2"/>
    <w:rsid w:val="00A71673"/>
    <w:rsid w:val="00A77292"/>
    <w:rsid w:val="00A7780C"/>
    <w:rsid w:val="00AC5A27"/>
    <w:rsid w:val="00AD636B"/>
    <w:rsid w:val="00AE780C"/>
    <w:rsid w:val="00B14A74"/>
    <w:rsid w:val="00B24138"/>
    <w:rsid w:val="00B27E1E"/>
    <w:rsid w:val="00B55B52"/>
    <w:rsid w:val="00BA16DC"/>
    <w:rsid w:val="00BB1A3B"/>
    <w:rsid w:val="00BD09EA"/>
    <w:rsid w:val="00BE0748"/>
    <w:rsid w:val="00BE2999"/>
    <w:rsid w:val="00BF57A3"/>
    <w:rsid w:val="00BF6385"/>
    <w:rsid w:val="00BF72CA"/>
    <w:rsid w:val="00C0010F"/>
    <w:rsid w:val="00C3334B"/>
    <w:rsid w:val="00C4363A"/>
    <w:rsid w:val="00C53AEA"/>
    <w:rsid w:val="00C66C77"/>
    <w:rsid w:val="00C6783C"/>
    <w:rsid w:val="00C85596"/>
    <w:rsid w:val="00C86833"/>
    <w:rsid w:val="00C97C3E"/>
    <w:rsid w:val="00CC4755"/>
    <w:rsid w:val="00CC724E"/>
    <w:rsid w:val="00CD0666"/>
    <w:rsid w:val="00CE75CA"/>
    <w:rsid w:val="00DA1CD4"/>
    <w:rsid w:val="00DA2236"/>
    <w:rsid w:val="00DB2B5F"/>
    <w:rsid w:val="00DD2067"/>
    <w:rsid w:val="00DD2B47"/>
    <w:rsid w:val="00DE4FFE"/>
    <w:rsid w:val="00E30101"/>
    <w:rsid w:val="00E46A49"/>
    <w:rsid w:val="00E46F5B"/>
    <w:rsid w:val="00E73890"/>
    <w:rsid w:val="00E73BD9"/>
    <w:rsid w:val="00E8696A"/>
    <w:rsid w:val="00ED014A"/>
    <w:rsid w:val="00F13882"/>
    <w:rsid w:val="00F573F4"/>
    <w:rsid w:val="00F66049"/>
    <w:rsid w:val="00F66F05"/>
    <w:rsid w:val="00F81A94"/>
    <w:rsid w:val="00FC72A6"/>
    <w:rsid w:val="00FD04CE"/>
    <w:rsid w:val="00FD0807"/>
    <w:rsid w:val="00FE3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D5EB907"/>
  <w15:docId w15:val="{1F688441-E27D-46CA-91EA-D161DE436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379E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379E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C25FE"/>
    <w:rPr>
      <w:sz w:val="16"/>
      <w:szCs w:val="16"/>
    </w:rPr>
  </w:style>
  <w:style w:type="paragraph" w:styleId="CommentText">
    <w:name w:val="annotation text"/>
    <w:basedOn w:val="Normal"/>
    <w:link w:val="CommentTextChar"/>
    <w:uiPriority w:val="99"/>
    <w:semiHidden/>
    <w:unhideWhenUsed/>
    <w:rsid w:val="008C25FE"/>
    <w:pPr>
      <w:spacing w:line="240" w:lineRule="auto"/>
    </w:pPr>
    <w:rPr>
      <w:sz w:val="20"/>
      <w:szCs w:val="20"/>
    </w:rPr>
  </w:style>
  <w:style w:type="character" w:customStyle="1" w:styleId="CommentTextChar">
    <w:name w:val="Comment Text Char"/>
    <w:basedOn w:val="DefaultParagraphFont"/>
    <w:link w:val="CommentText"/>
    <w:uiPriority w:val="99"/>
    <w:semiHidden/>
    <w:rsid w:val="008C25FE"/>
    <w:rPr>
      <w:sz w:val="20"/>
      <w:szCs w:val="20"/>
    </w:rPr>
  </w:style>
  <w:style w:type="paragraph" w:styleId="CommentSubject">
    <w:name w:val="annotation subject"/>
    <w:basedOn w:val="CommentText"/>
    <w:next w:val="CommentText"/>
    <w:link w:val="CommentSubjectChar"/>
    <w:uiPriority w:val="99"/>
    <w:semiHidden/>
    <w:unhideWhenUsed/>
    <w:rsid w:val="008C25FE"/>
    <w:rPr>
      <w:b/>
      <w:bCs/>
    </w:rPr>
  </w:style>
  <w:style w:type="character" w:customStyle="1" w:styleId="CommentSubjectChar">
    <w:name w:val="Comment Subject Char"/>
    <w:basedOn w:val="CommentTextChar"/>
    <w:link w:val="CommentSubject"/>
    <w:uiPriority w:val="99"/>
    <w:semiHidden/>
    <w:rsid w:val="008C25FE"/>
    <w:rPr>
      <w:b/>
      <w:bCs/>
      <w:sz w:val="20"/>
      <w:szCs w:val="20"/>
    </w:rPr>
  </w:style>
  <w:style w:type="paragraph" w:styleId="BalloonText">
    <w:name w:val="Balloon Text"/>
    <w:basedOn w:val="Normal"/>
    <w:link w:val="BalloonTextChar"/>
    <w:uiPriority w:val="99"/>
    <w:semiHidden/>
    <w:unhideWhenUsed/>
    <w:rsid w:val="008C2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5FE"/>
    <w:rPr>
      <w:rFonts w:ascii="Tahoma" w:hAnsi="Tahoma" w:cs="Tahoma"/>
      <w:sz w:val="16"/>
      <w:szCs w:val="16"/>
    </w:rPr>
  </w:style>
  <w:style w:type="paragraph" w:customStyle="1" w:styleId="Default">
    <w:name w:val="Default"/>
    <w:rsid w:val="00032DC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37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E3"/>
  </w:style>
  <w:style w:type="paragraph" w:styleId="Footer">
    <w:name w:val="footer"/>
    <w:basedOn w:val="Normal"/>
    <w:link w:val="FooterChar"/>
    <w:uiPriority w:val="99"/>
    <w:unhideWhenUsed/>
    <w:rsid w:val="00237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E3"/>
  </w:style>
  <w:style w:type="character" w:customStyle="1" w:styleId="Heading1Char">
    <w:name w:val="Heading 1 Char"/>
    <w:basedOn w:val="DefaultParagraphFont"/>
    <w:link w:val="Heading1"/>
    <w:uiPriority w:val="9"/>
    <w:rsid w:val="002379E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379E3"/>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C0010F"/>
    <w:rPr>
      <w:color w:val="0000FF" w:themeColor="hyperlink"/>
      <w:u w:val="single"/>
    </w:rPr>
  </w:style>
  <w:style w:type="character" w:styleId="FollowedHyperlink">
    <w:name w:val="FollowedHyperlink"/>
    <w:basedOn w:val="DefaultParagraphFont"/>
    <w:uiPriority w:val="99"/>
    <w:semiHidden/>
    <w:unhideWhenUsed/>
    <w:rsid w:val="00F81A94"/>
    <w:rPr>
      <w:color w:val="800080" w:themeColor="followedHyperlink"/>
      <w:u w:val="single"/>
    </w:rPr>
  </w:style>
  <w:style w:type="paragraph" w:styleId="EndnoteText">
    <w:name w:val="endnote text"/>
    <w:basedOn w:val="Normal"/>
    <w:link w:val="EndnoteTextChar"/>
    <w:uiPriority w:val="99"/>
    <w:semiHidden/>
    <w:unhideWhenUsed/>
    <w:rsid w:val="00A7780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780C"/>
    <w:rPr>
      <w:sz w:val="20"/>
      <w:szCs w:val="20"/>
    </w:rPr>
  </w:style>
  <w:style w:type="character" w:styleId="EndnoteReference">
    <w:name w:val="endnote reference"/>
    <w:basedOn w:val="DefaultParagraphFont"/>
    <w:uiPriority w:val="99"/>
    <w:semiHidden/>
    <w:unhideWhenUsed/>
    <w:rsid w:val="00A7780C"/>
    <w:rPr>
      <w:vertAlign w:val="superscript"/>
    </w:rPr>
  </w:style>
  <w:style w:type="paragraph" w:styleId="FootnoteText">
    <w:name w:val="footnote text"/>
    <w:basedOn w:val="Normal"/>
    <w:link w:val="FootnoteTextChar"/>
    <w:uiPriority w:val="99"/>
    <w:semiHidden/>
    <w:unhideWhenUsed/>
    <w:rsid w:val="00A778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780C"/>
    <w:rPr>
      <w:sz w:val="20"/>
      <w:szCs w:val="20"/>
    </w:rPr>
  </w:style>
  <w:style w:type="character" w:styleId="FootnoteReference">
    <w:name w:val="footnote reference"/>
    <w:basedOn w:val="DefaultParagraphFont"/>
    <w:uiPriority w:val="99"/>
    <w:semiHidden/>
    <w:unhideWhenUsed/>
    <w:rsid w:val="00A7780C"/>
    <w:rPr>
      <w:vertAlign w:val="superscript"/>
    </w:rPr>
  </w:style>
  <w:style w:type="paragraph" w:styleId="PlainText">
    <w:name w:val="Plain Text"/>
    <w:basedOn w:val="Normal"/>
    <w:link w:val="PlainTextChar"/>
    <w:uiPriority w:val="99"/>
    <w:semiHidden/>
    <w:unhideWhenUsed/>
    <w:rsid w:val="00777F0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77F0F"/>
    <w:rPr>
      <w:rFonts w:ascii="Calibri" w:hAnsi="Calibri"/>
      <w:szCs w:val="21"/>
    </w:rPr>
  </w:style>
  <w:style w:type="table" w:styleId="TableGrid">
    <w:name w:val="Table Grid"/>
    <w:basedOn w:val="TableNormal"/>
    <w:uiPriority w:val="59"/>
    <w:rsid w:val="00987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99"/>
    <w:rsid w:val="00987CE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987CE1"/>
    <w:pPr>
      <w:spacing w:after="160" w:line="252" w:lineRule="auto"/>
      <w:ind w:left="720"/>
      <w:contextualSpacing/>
    </w:pPr>
    <w:rPr>
      <w:rFonts w:ascii="Calibri" w:hAnsi="Calibri" w:cs="Times New Roman"/>
    </w:rPr>
  </w:style>
  <w:style w:type="character" w:customStyle="1" w:styleId="tgc">
    <w:name w:val="_tgc"/>
    <w:basedOn w:val="DefaultParagraphFont"/>
    <w:rsid w:val="00BE2999"/>
  </w:style>
  <w:style w:type="paragraph" w:styleId="ListBullet">
    <w:name w:val="List Bullet"/>
    <w:basedOn w:val="Normal"/>
    <w:uiPriority w:val="99"/>
    <w:unhideWhenUsed/>
    <w:qFormat/>
    <w:rsid w:val="00DD2067"/>
    <w:pPr>
      <w:numPr>
        <w:numId w:val="3"/>
      </w:numPr>
      <w:spacing w:before="60" w:after="60" w:line="240" w:lineRule="auto"/>
      <w:contextualSpacing/>
    </w:pPr>
    <w:rPr>
      <w:rFonts w:asciiTheme="majorHAnsi" w:eastAsiaTheme="minorEastAsia" w:hAnsiTheme="majorHAnsi"/>
      <w:lang w:eastAsia="ja-JP"/>
    </w:rPr>
  </w:style>
  <w:style w:type="paragraph" w:styleId="ListBullet2">
    <w:name w:val="List Bullet 2"/>
    <w:basedOn w:val="Normal"/>
    <w:autoRedefine/>
    <w:uiPriority w:val="99"/>
    <w:unhideWhenUsed/>
    <w:qFormat/>
    <w:rsid w:val="00DD2067"/>
    <w:pPr>
      <w:spacing w:before="60" w:after="60" w:line="240" w:lineRule="auto"/>
      <w:contextualSpacing/>
    </w:pPr>
    <w:rPr>
      <w:rFonts w:asciiTheme="majorHAnsi" w:eastAsiaTheme="minorEastAsia" w:hAnsiTheme="majorHAns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16030">
      <w:bodyDiv w:val="1"/>
      <w:marLeft w:val="0"/>
      <w:marRight w:val="0"/>
      <w:marTop w:val="0"/>
      <w:marBottom w:val="0"/>
      <w:divBdr>
        <w:top w:val="none" w:sz="0" w:space="0" w:color="auto"/>
        <w:left w:val="none" w:sz="0" w:space="0" w:color="auto"/>
        <w:bottom w:val="none" w:sz="0" w:space="0" w:color="auto"/>
        <w:right w:val="none" w:sz="0" w:space="0" w:color="auto"/>
      </w:divBdr>
    </w:div>
    <w:div w:id="211428520">
      <w:bodyDiv w:val="1"/>
      <w:marLeft w:val="0"/>
      <w:marRight w:val="0"/>
      <w:marTop w:val="0"/>
      <w:marBottom w:val="0"/>
      <w:divBdr>
        <w:top w:val="none" w:sz="0" w:space="0" w:color="auto"/>
        <w:left w:val="none" w:sz="0" w:space="0" w:color="auto"/>
        <w:bottom w:val="none" w:sz="0" w:space="0" w:color="auto"/>
        <w:right w:val="none" w:sz="0" w:space="0" w:color="auto"/>
      </w:divBdr>
    </w:div>
    <w:div w:id="609820413">
      <w:bodyDiv w:val="1"/>
      <w:marLeft w:val="0"/>
      <w:marRight w:val="0"/>
      <w:marTop w:val="0"/>
      <w:marBottom w:val="0"/>
      <w:divBdr>
        <w:top w:val="none" w:sz="0" w:space="0" w:color="auto"/>
        <w:left w:val="none" w:sz="0" w:space="0" w:color="auto"/>
        <w:bottom w:val="none" w:sz="0" w:space="0" w:color="auto"/>
        <w:right w:val="none" w:sz="0" w:space="0" w:color="auto"/>
      </w:divBdr>
    </w:div>
    <w:div w:id="751002499">
      <w:bodyDiv w:val="1"/>
      <w:marLeft w:val="0"/>
      <w:marRight w:val="0"/>
      <w:marTop w:val="0"/>
      <w:marBottom w:val="0"/>
      <w:divBdr>
        <w:top w:val="none" w:sz="0" w:space="0" w:color="auto"/>
        <w:left w:val="none" w:sz="0" w:space="0" w:color="auto"/>
        <w:bottom w:val="none" w:sz="0" w:space="0" w:color="auto"/>
        <w:right w:val="none" w:sz="0" w:space="0" w:color="auto"/>
      </w:divBdr>
    </w:div>
    <w:div w:id="1284582533">
      <w:bodyDiv w:val="1"/>
      <w:marLeft w:val="0"/>
      <w:marRight w:val="0"/>
      <w:marTop w:val="0"/>
      <w:marBottom w:val="0"/>
      <w:divBdr>
        <w:top w:val="none" w:sz="0" w:space="0" w:color="auto"/>
        <w:left w:val="none" w:sz="0" w:space="0" w:color="auto"/>
        <w:bottom w:val="none" w:sz="0" w:space="0" w:color="auto"/>
        <w:right w:val="none" w:sz="0" w:space="0" w:color="auto"/>
      </w:divBdr>
    </w:div>
    <w:div w:id="1625229839">
      <w:bodyDiv w:val="1"/>
      <w:marLeft w:val="0"/>
      <w:marRight w:val="0"/>
      <w:marTop w:val="0"/>
      <w:marBottom w:val="0"/>
      <w:divBdr>
        <w:top w:val="none" w:sz="0" w:space="0" w:color="auto"/>
        <w:left w:val="none" w:sz="0" w:space="0" w:color="auto"/>
        <w:bottom w:val="none" w:sz="0" w:space="0" w:color="auto"/>
        <w:right w:val="none" w:sz="0" w:space="0" w:color="auto"/>
      </w:divBdr>
    </w:div>
    <w:div w:id="1912690098">
      <w:bodyDiv w:val="1"/>
      <w:marLeft w:val="0"/>
      <w:marRight w:val="0"/>
      <w:marTop w:val="0"/>
      <w:marBottom w:val="0"/>
      <w:divBdr>
        <w:top w:val="none" w:sz="0" w:space="0" w:color="auto"/>
        <w:left w:val="none" w:sz="0" w:space="0" w:color="auto"/>
        <w:bottom w:val="none" w:sz="0" w:space="0" w:color="auto"/>
        <w:right w:val="none" w:sz="0" w:space="0" w:color="auto"/>
      </w:divBdr>
    </w:div>
    <w:div w:id="194349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08661-E40A-431C-A830-C377D4FA2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Shannan</dc:creator>
  <cp:lastModifiedBy>Reczek, Karen</cp:lastModifiedBy>
  <cp:revision>2</cp:revision>
  <dcterms:created xsi:type="dcterms:W3CDTF">2015-12-21T18:15:00Z</dcterms:created>
  <dcterms:modified xsi:type="dcterms:W3CDTF">2015-12-21T18:15:00Z</dcterms:modified>
</cp:coreProperties>
</file>