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99" w:rsidRDefault="00C57399">
      <w:pPr>
        <w:pStyle w:val="Heading2"/>
        <w:jc w:val="center"/>
        <w:rPr>
          <w:rFonts w:ascii="Helvetica" w:hAnsi="Helvetica" w:cs="Arial"/>
        </w:rPr>
      </w:pPr>
      <w:bookmarkStart w:id="0" w:name="_GoBack"/>
      <w:bookmarkEnd w:id="0"/>
    </w:p>
    <w:p w:rsidR="00C57399" w:rsidRDefault="00C57399">
      <w:pPr>
        <w:pStyle w:val="Heading2"/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This table lists the competencies you</w:t>
      </w:r>
      <w:r w:rsidR="004F6049">
        <w:rPr>
          <w:rFonts w:ascii="Helvetica" w:hAnsi="Helvetica" w:cs="Arial"/>
        </w:rPr>
        <w:t xml:space="preserve"> need to fulfill your role as a Baldrige</w:t>
      </w:r>
      <w:r>
        <w:rPr>
          <w:rFonts w:ascii="Helvetica" w:hAnsi="Helvetica" w:cs="Arial"/>
        </w:rPr>
        <w:t xml:space="preserve"> Examiner, and suggests </w:t>
      </w:r>
    </w:p>
    <w:p w:rsidR="00C57399" w:rsidRDefault="00C57399" w:rsidP="00F1058E">
      <w:pPr>
        <w:pStyle w:val="Heading2"/>
        <w:jc w:val="center"/>
      </w:pPr>
      <w:r>
        <w:rPr>
          <w:rFonts w:ascii="Helvetica" w:hAnsi="Helvetica" w:cs="Arial"/>
        </w:rPr>
        <w:t>information / activities that will help you develop these competencies.</w:t>
      </w:r>
    </w:p>
    <w:p w:rsidR="00C57399" w:rsidRDefault="00C57399">
      <w:pPr>
        <w:jc w:val="center"/>
      </w:pPr>
    </w:p>
    <w:tbl>
      <w:tblPr>
        <w:tblW w:w="498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46"/>
        <w:gridCol w:w="412"/>
        <w:gridCol w:w="474"/>
        <w:gridCol w:w="430"/>
        <w:gridCol w:w="15"/>
        <w:gridCol w:w="426"/>
        <w:gridCol w:w="466"/>
        <w:gridCol w:w="653"/>
        <w:gridCol w:w="452"/>
        <w:gridCol w:w="15"/>
        <w:gridCol w:w="466"/>
        <w:gridCol w:w="475"/>
        <w:gridCol w:w="487"/>
        <w:gridCol w:w="641"/>
        <w:gridCol w:w="5907"/>
        <w:gridCol w:w="7"/>
      </w:tblGrid>
      <w:tr w:rsidR="00F1058E" w:rsidTr="00F1058E">
        <w:trPr>
          <w:gridAfter w:val="1"/>
          <w:wAfter w:w="2" w:type="pct"/>
          <w:cantSplit/>
          <w:trHeight w:val="350"/>
        </w:trPr>
        <w:tc>
          <w:tcPr>
            <w:tcW w:w="1114" w:type="pct"/>
            <w:shd w:val="clear" w:color="auto" w:fill="99CCFF"/>
            <w:vAlign w:val="bottom"/>
          </w:tcPr>
          <w:p w:rsidR="00F1058E" w:rsidRDefault="00F1058E">
            <w:pPr>
              <w:rPr>
                <w:rFonts w:ascii="Helvetica" w:hAnsi="Helvetica" w:cs="Arial"/>
                <w:b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Pre Classroom</w:t>
            </w:r>
          </w:p>
        </w:tc>
        <w:tc>
          <w:tcPr>
            <w:tcW w:w="690" w:type="pct"/>
            <w:gridSpan w:val="5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Classroom</w:t>
            </w:r>
          </w:p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(at NIST)</w:t>
            </w:r>
          </w:p>
        </w:tc>
        <w:tc>
          <w:tcPr>
            <w:tcW w:w="715" w:type="pct"/>
            <w:gridSpan w:val="5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Post Classroom</w:t>
            </w:r>
          </w:p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>(On-the-Team)</w:t>
            </w:r>
          </w:p>
        </w:tc>
        <w:tc>
          <w:tcPr>
            <w:tcW w:w="202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</w:tr>
      <w:tr w:rsidR="00F1058E" w:rsidTr="006532BE">
        <w:trPr>
          <w:cantSplit/>
          <w:trHeight w:val="2321"/>
        </w:trPr>
        <w:tc>
          <w:tcPr>
            <w:tcW w:w="111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</w:rPr>
            </w:pPr>
          </w:p>
          <w:p w:rsidR="00F1058E" w:rsidRDefault="00F1058E">
            <w:pPr>
              <w:jc w:val="center"/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</w:rPr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</w:rPr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  <w:p w:rsidR="00F1058E" w:rsidRDefault="00F1058E">
            <w:pPr>
              <w:pStyle w:val="Heading1"/>
              <w:jc w:val="center"/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Competency</w:t>
            </w:r>
          </w:p>
        </w:tc>
        <w:tc>
          <w:tcPr>
            <w:tcW w:w="141" w:type="pct"/>
            <w:textDirection w:val="btLr"/>
            <w:vAlign w:val="center"/>
          </w:tcPr>
          <w:p w:rsidR="00F1058E" w:rsidRDefault="00F1058E" w:rsidP="00696486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Job Experience  Prior to  Appointment to the Board </w:t>
            </w:r>
          </w:p>
        </w:tc>
        <w:tc>
          <w:tcPr>
            <w:tcW w:w="163" w:type="pct"/>
            <w:textDirection w:val="btLr"/>
            <w:vAlign w:val="center"/>
          </w:tcPr>
          <w:p w:rsidR="00F1058E" w:rsidRDefault="00F1058E" w:rsidP="00696486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Pre –work Activities </w:t>
            </w:r>
          </w:p>
        </w:tc>
        <w:tc>
          <w:tcPr>
            <w:tcW w:w="153" w:type="pct"/>
            <w:gridSpan w:val="2"/>
            <w:textDirection w:val="btLr"/>
            <w:vAlign w:val="cente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Coaching</w:t>
            </w:r>
            <w:r w:rsidR="00A36886">
              <w:rPr>
                <w:rFonts w:ascii="Helvetica" w:hAnsi="Helvetica" w:cs="Arial"/>
                <w:sz w:val="16"/>
              </w:rPr>
              <w:t xml:space="preserve"> </w:t>
            </w:r>
          </w:p>
        </w:tc>
        <w:tc>
          <w:tcPr>
            <w:tcW w:w="146" w:type="pct"/>
            <w:textDirection w:val="btLr"/>
            <w:vAlign w:val="cente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New Examiner Orientation</w:t>
            </w:r>
          </w:p>
        </w:tc>
        <w:tc>
          <w:tcPr>
            <w:tcW w:w="160" w:type="pct"/>
            <w:textDirection w:val="btLr"/>
            <w:vAlign w:val="cente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Examiner Preparation Training</w:t>
            </w:r>
          </w:p>
        </w:tc>
        <w:tc>
          <w:tcPr>
            <w:tcW w:w="224" w:type="pct"/>
            <w:textDirection w:val="btLr"/>
            <w:vAlign w:val="cente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Senior Examiner Preparation Training</w:t>
            </w:r>
          </w:p>
        </w:tc>
        <w:tc>
          <w:tcPr>
            <w:tcW w:w="160" w:type="pct"/>
            <w:gridSpan w:val="2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Coaching</w:t>
            </w:r>
          </w:p>
        </w:tc>
        <w:tc>
          <w:tcPr>
            <w:tcW w:w="160" w:type="pct"/>
            <w:textDirection w:val="btLr"/>
            <w:vAlign w:val="center"/>
          </w:tcPr>
          <w:p w:rsidR="00F1058E" w:rsidRDefault="00F1058E" w:rsidP="00F37FE2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Independent Review  </w:t>
            </w:r>
          </w:p>
        </w:tc>
        <w:tc>
          <w:tcPr>
            <w:tcW w:w="163" w:type="pct"/>
            <w:textDirection w:val="btLr"/>
            <w:vAlign w:val="center"/>
          </w:tcPr>
          <w:p w:rsidR="00F1058E" w:rsidRDefault="00F1058E" w:rsidP="00F37FE2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Consensus Process </w:t>
            </w:r>
          </w:p>
        </w:tc>
        <w:tc>
          <w:tcPr>
            <w:tcW w:w="167" w:type="pct"/>
            <w:textDirection w:val="btLr"/>
            <w:vAlign w:val="center"/>
          </w:tcPr>
          <w:p w:rsidR="00F1058E" w:rsidRDefault="00F1058E" w:rsidP="00F37FE2">
            <w:pPr>
              <w:ind w:left="113" w:right="113"/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 xml:space="preserve">Site Visit </w:t>
            </w:r>
          </w:p>
        </w:tc>
        <w:tc>
          <w:tcPr>
            <w:tcW w:w="220" w:type="pct"/>
            <w:textDirection w:val="btLr"/>
            <w:vAlign w:val="center"/>
          </w:tcPr>
          <w:p w:rsidR="00A36886" w:rsidRDefault="00A36886" w:rsidP="00A36886">
            <w:pPr>
              <w:ind w:left="113" w:right="113"/>
              <w:jc w:val="both"/>
              <w:rPr>
                <w:rFonts w:ascii="Helvetica" w:hAnsi="Helvetica" w:cs="Arial"/>
                <w:sz w:val="16"/>
              </w:rPr>
            </w:pPr>
          </w:p>
          <w:p w:rsidR="00F1058E" w:rsidRPr="00A36886" w:rsidRDefault="00F1058E" w:rsidP="00A36886">
            <w:pPr>
              <w:ind w:left="113" w:right="113"/>
              <w:jc w:val="both"/>
              <w:rPr>
                <w:rFonts w:ascii="Helvetica" w:hAnsi="Helvetica" w:cs="Arial"/>
                <w:color w:val="FF0000"/>
                <w:sz w:val="16"/>
                <w:u w:val="single"/>
              </w:rPr>
            </w:pPr>
            <w:r w:rsidRPr="00A36886">
              <w:rPr>
                <w:rFonts w:ascii="Helvetica" w:hAnsi="Helvetica" w:cs="Arial"/>
                <w:sz w:val="16"/>
              </w:rPr>
              <w:t>Coaching</w:t>
            </w:r>
            <w:r w:rsidR="005E774B" w:rsidRPr="00A36886">
              <w:rPr>
                <w:rFonts w:ascii="Helvetica" w:hAnsi="Helvetica" w:cs="Arial"/>
                <w:sz w:val="16"/>
              </w:rPr>
              <w:t xml:space="preserve">  </w:t>
            </w:r>
          </w:p>
          <w:p w:rsidR="005E774B" w:rsidRPr="005E774B" w:rsidRDefault="005E774B" w:rsidP="005E774B">
            <w:pPr>
              <w:ind w:left="113" w:right="113"/>
              <w:rPr>
                <w:rFonts w:ascii="Helvetica" w:hAnsi="Helvetica" w:cs="Arial"/>
                <w:color w:val="FF0000"/>
                <w:sz w:val="16"/>
              </w:rPr>
            </w:pPr>
          </w:p>
        </w:tc>
        <w:tc>
          <w:tcPr>
            <w:tcW w:w="2029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sz w:val="16"/>
              </w:rPr>
            </w:pPr>
          </w:p>
          <w:p w:rsidR="00F1058E" w:rsidRDefault="00F1058E">
            <w:pPr>
              <w:jc w:val="center"/>
              <w:rPr>
                <w:rFonts w:ascii="Helvetica" w:hAnsi="Helvetica" w:cs="Arial"/>
                <w:sz w:val="16"/>
              </w:rPr>
            </w:pPr>
          </w:p>
          <w:p w:rsidR="00F1058E" w:rsidRDefault="00F1058E">
            <w:pPr>
              <w:jc w:val="center"/>
              <w:rPr>
                <w:rFonts w:ascii="Helvetica" w:hAnsi="Helvetica" w:cs="Arial"/>
                <w:sz w:val="16"/>
              </w:rPr>
            </w:pPr>
          </w:p>
          <w:p w:rsidR="00F1058E" w:rsidRDefault="00F1058E">
            <w:pPr>
              <w:jc w:val="center"/>
              <w:rPr>
                <w:rFonts w:ascii="Helvetica" w:hAnsi="Helvetica" w:cs="Arial"/>
                <w:b/>
                <w:sz w:val="16"/>
              </w:rPr>
            </w:pPr>
          </w:p>
          <w:p w:rsidR="00131687" w:rsidRDefault="00131687">
            <w:pPr>
              <w:jc w:val="center"/>
              <w:rPr>
                <w:rFonts w:ascii="Helvetica" w:hAnsi="Helvetica" w:cs="Arial"/>
                <w:b/>
                <w:sz w:val="16"/>
              </w:rPr>
            </w:pPr>
          </w:p>
          <w:p w:rsidR="00131687" w:rsidRDefault="00131687">
            <w:pPr>
              <w:jc w:val="center"/>
              <w:rPr>
                <w:rFonts w:ascii="Helvetica" w:hAnsi="Helvetica" w:cs="Arial"/>
                <w:b/>
                <w:sz w:val="16"/>
              </w:rPr>
            </w:pPr>
          </w:p>
          <w:p w:rsidR="00F1058E" w:rsidRDefault="0010296D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r>
              <w:rPr>
                <w:rFonts w:ascii="Helvetica" w:hAnsi="Helvetica" w:cs="Arial"/>
                <w:b/>
                <w:sz w:val="16"/>
              </w:rPr>
              <w:t xml:space="preserve">Self-Study </w:t>
            </w:r>
            <w:r w:rsidR="00131687">
              <w:rPr>
                <w:rFonts w:ascii="Helvetica" w:hAnsi="Helvetica" w:cs="Arial"/>
                <w:b/>
                <w:sz w:val="16"/>
              </w:rPr>
              <w:t>Resources on</w:t>
            </w:r>
          </w:p>
          <w:p w:rsidR="00F1058E" w:rsidRDefault="0001185B">
            <w:pPr>
              <w:jc w:val="center"/>
              <w:rPr>
                <w:rFonts w:ascii="Helvetica" w:hAnsi="Helvetica" w:cs="Arial"/>
                <w:b/>
                <w:sz w:val="16"/>
              </w:rPr>
            </w:pPr>
            <w:hyperlink r:id="rId8" w:history="1">
              <w:r w:rsidR="00F1058E">
                <w:rPr>
                  <w:rStyle w:val="Hyperlink"/>
                  <w:rFonts w:ascii="Helvetica" w:hAnsi="Helvetica" w:cs="Arial"/>
                  <w:b/>
                  <w:sz w:val="16"/>
                </w:rPr>
                <w:t>Examiner Resource Center</w:t>
              </w:r>
            </w:hyperlink>
            <w:r w:rsidR="001775D0">
              <w:rPr>
                <w:rFonts w:ascii="Helvetica" w:hAnsi="Helvetica" w:cs="Arial"/>
                <w:b/>
                <w:sz w:val="16"/>
              </w:rPr>
              <w:t xml:space="preserve">  </w:t>
            </w:r>
          </w:p>
          <w:p w:rsidR="00F1058E" w:rsidRPr="00131687" w:rsidRDefault="00830423" w:rsidP="00131687">
            <w:pPr>
              <w:jc w:val="center"/>
              <w:rPr>
                <w:rFonts w:ascii="Helvetica" w:hAnsi="Helvetica" w:cs="Arial"/>
                <w:b/>
                <w:color w:val="FF0000"/>
                <w:sz w:val="16"/>
              </w:rPr>
            </w:pPr>
            <w:r w:rsidRPr="00830423">
              <w:rPr>
                <w:rFonts w:ascii="Helvetica" w:hAnsi="Helvetica" w:cs="Arial"/>
                <w:b/>
                <w:i/>
                <w:color w:val="FF0000"/>
                <w:sz w:val="16"/>
              </w:rPr>
              <w:t xml:space="preserve">  </w:t>
            </w:r>
          </w:p>
          <w:p w:rsidR="00F1058E" w:rsidRDefault="00F1058E">
            <w:pPr>
              <w:jc w:val="center"/>
              <w:rPr>
                <w:rFonts w:ascii="Helvetica" w:hAnsi="Helvetica" w:cs="Arial"/>
                <w:sz w:val="16"/>
              </w:rPr>
            </w:pPr>
          </w:p>
        </w:tc>
      </w:tr>
      <w:tr w:rsidR="00F1058E" w:rsidTr="006532BE">
        <w:trPr>
          <w:cantSplit/>
          <w:trHeight w:val="287"/>
        </w:trPr>
        <w:tc>
          <w:tcPr>
            <w:tcW w:w="1114" w:type="pct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General Competencies</w:t>
            </w:r>
          </w:p>
        </w:tc>
        <w:tc>
          <w:tcPr>
            <w:tcW w:w="141" w:type="pct"/>
            <w:shd w:val="clear" w:color="auto" w:fill="99CCFF"/>
            <w:textDirection w:val="btLr"/>
            <w:vAlign w:val="cente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3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53" w:type="pct"/>
            <w:gridSpan w:val="2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46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0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224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0" w:type="pct"/>
            <w:gridSpan w:val="2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0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3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167" w:type="pct"/>
            <w:shd w:val="clear" w:color="auto" w:fill="99CCFF"/>
            <w:textDirection w:val="btLr"/>
          </w:tcPr>
          <w:p w:rsidR="00F1058E" w:rsidRDefault="00F1058E">
            <w:pPr>
              <w:ind w:left="113" w:right="113"/>
              <w:rPr>
                <w:rFonts w:ascii="Helvetica" w:hAnsi="Helvetica" w:cs="Arial"/>
                <w:sz w:val="16"/>
              </w:rPr>
            </w:pPr>
          </w:p>
        </w:tc>
        <w:tc>
          <w:tcPr>
            <w:tcW w:w="220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  <w:tc>
          <w:tcPr>
            <w:tcW w:w="2029" w:type="pct"/>
            <w:gridSpan w:val="2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Customer Focus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vAlign w:val="center"/>
          </w:tcPr>
          <w:p w:rsidR="00F1058E" w:rsidRDefault="00F1058E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4" w:type="pct"/>
            <w:vAlign w:val="center"/>
          </w:tcPr>
          <w:p w:rsidR="00F1058E" w:rsidRDefault="00F1058E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 w:rsidP="006A0F4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Examiners as Ambassadors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B</w:t>
            </w:r>
            <w:r w:rsidR="00FC552D" w:rsidRPr="000A3293">
              <w:rPr>
                <w:rFonts w:ascii="Helvetica" w:hAnsi="Helvetica" w:cs="Arial"/>
                <w:sz w:val="16"/>
                <w:szCs w:val="16"/>
              </w:rPr>
              <w:t xml:space="preserve">aldrige Program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Overview</w:t>
            </w:r>
          </w:p>
          <w:p w:rsidR="00F1058E" w:rsidRPr="00131687" w:rsidRDefault="00F1058E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earning module: </w:t>
            </w:r>
            <w:r w:rsidR="00FC552D" w:rsidRPr="000A3293">
              <w:rPr>
                <w:rFonts w:ascii="Helvetica" w:hAnsi="Helvetica" w:cs="Arial"/>
                <w:sz w:val="16"/>
                <w:szCs w:val="16"/>
              </w:rPr>
              <w:t>Overview of the Award Evaluation Process</w:t>
            </w:r>
          </w:p>
        </w:tc>
      </w:tr>
      <w:tr w:rsidR="00F1058E" w:rsidTr="006532BE">
        <w:tc>
          <w:tcPr>
            <w:tcW w:w="1114" w:type="pct"/>
            <w:vAlign w:val="center"/>
          </w:tcPr>
          <w:p w:rsidR="00131687" w:rsidRDefault="00F1058E" w:rsidP="00131687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Oral/Written Communication  </w:t>
            </w:r>
          </w:p>
          <w:p w:rsidR="00F1058E" w:rsidRDefault="00F1058E" w:rsidP="00F37FE2">
            <w:pPr>
              <w:rPr>
                <w:rFonts w:ascii="Helvetica" w:hAnsi="Helvetica" w:cs="Arial"/>
                <w:sz w:val="18"/>
              </w:rPr>
            </w:pP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0" w:type="pct"/>
            <w:vAlign w:val="center"/>
          </w:tcPr>
          <w:p w:rsidR="00F1058E" w:rsidRDefault="00F1058E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>learning modules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 xml:space="preserve">Scoring &amp;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Comment Guidelines</w:t>
            </w:r>
          </w:p>
          <w:p w:rsidR="00F1058E" w:rsidRPr="00F37FE2" w:rsidRDefault="00F1058E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Step by Step Instructions for Independent Review</w:t>
            </w:r>
          </w:p>
          <w:p w:rsidR="00F1058E" w:rsidRPr="00F03997" w:rsidRDefault="00F1058E" w:rsidP="00F37FE2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Step by Step Instructions for Consensus Review</w:t>
            </w:r>
          </w:p>
          <w:p w:rsidR="00F1058E" w:rsidRPr="00131687" w:rsidRDefault="00F1058E" w:rsidP="00131687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Ethics</w:t>
            </w:r>
          </w:p>
        </w:tc>
        <w:tc>
          <w:tcPr>
            <w:tcW w:w="141" w:type="pct"/>
            <w:vAlign w:val="center"/>
          </w:tcPr>
          <w:p w:rsidR="00F1058E" w:rsidRDefault="006532B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Examiner Code of</w:t>
            </w:r>
            <w:r w:rsidR="000A3293">
              <w:rPr>
                <w:rFonts w:ascii="Helvetica" w:hAnsi="Helvetica" w:cs="Arial"/>
                <w:sz w:val="16"/>
                <w:szCs w:val="16"/>
              </w:rPr>
              <w:t xml:space="preserve"> Ethical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 xml:space="preserve"> Conduct</w:t>
            </w:r>
          </w:p>
          <w:p w:rsidR="00F1058E" w:rsidRPr="00131687" w:rsidRDefault="00F1058E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Code of Ethical Conduct</w:t>
            </w: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Listening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Action Orientation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Peer Relationships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Time Management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F0399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rPr>
          <w:trHeight w:val="260"/>
        </w:trPr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Self-Development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Technical Learning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53" w:type="pct"/>
            <w:gridSpan w:val="2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3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131687">
            <w:pPr>
              <w:ind w:left="360"/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6532BE">
        <w:tc>
          <w:tcPr>
            <w:tcW w:w="1114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Criteria Category Expertise</w:t>
            </w:r>
          </w:p>
        </w:tc>
        <w:tc>
          <w:tcPr>
            <w:tcW w:w="141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53" w:type="pct"/>
            <w:gridSpan w:val="2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6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4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gridSpan w:val="2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0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3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0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29" w:type="pct"/>
            <w:gridSpan w:val="2"/>
          </w:tcPr>
          <w:p w:rsidR="00F1058E" w:rsidRDefault="00F1058E" w:rsidP="00F0399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  <w:p w:rsidR="00F1058E" w:rsidRPr="00131687" w:rsidRDefault="00F1058E" w:rsidP="00131687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Understanding the Criteria</w:t>
            </w:r>
          </w:p>
        </w:tc>
      </w:tr>
    </w:tbl>
    <w:p w:rsidR="00F1058E" w:rsidRDefault="00F1058E">
      <w:r>
        <w:br w:type="page"/>
      </w:r>
    </w:p>
    <w:tbl>
      <w:tblPr>
        <w:tblW w:w="4979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6"/>
        <w:gridCol w:w="410"/>
        <w:gridCol w:w="486"/>
        <w:gridCol w:w="495"/>
        <w:gridCol w:w="410"/>
        <w:gridCol w:w="477"/>
        <w:gridCol w:w="664"/>
        <w:gridCol w:w="480"/>
        <w:gridCol w:w="483"/>
        <w:gridCol w:w="486"/>
        <w:gridCol w:w="498"/>
        <w:gridCol w:w="501"/>
        <w:gridCol w:w="6099"/>
      </w:tblGrid>
      <w:tr w:rsidR="00F1058E" w:rsidTr="00F1058E">
        <w:trPr>
          <w:trHeight w:val="485"/>
        </w:trPr>
        <w:tc>
          <w:tcPr>
            <w:tcW w:w="1053" w:type="pct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lastRenderedPageBreak/>
              <w:t>Award Process Knowledge</w:t>
            </w:r>
          </w:p>
          <w:p w:rsidR="00F1058E" w:rsidRDefault="00F1058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&amp; Skills</w:t>
            </w: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  <w:shd w:val="clear" w:color="auto" w:fill="99CCFF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  <w:tc>
          <w:tcPr>
            <w:tcW w:w="2095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</w:rPr>
            </w:pP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Knowledge of  Award Process and Steps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Examiner Application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  <w:r w:rsidR="000A3293">
              <w:rPr>
                <w:rFonts w:ascii="Helvetica" w:hAnsi="Helvetica" w:cs="Arial"/>
                <w:sz w:val="16"/>
                <w:szCs w:val="16"/>
              </w:rPr>
              <w:t>/ Baldrige Excellence Framework</w:t>
            </w:r>
          </w:p>
          <w:p w:rsidR="00F1058E" w:rsidRPr="00F37FE2" w:rsidRDefault="00F1058E" w:rsidP="000D6279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Step by Step Instructions for Independent Review</w:t>
            </w:r>
          </w:p>
          <w:p w:rsidR="00F1058E" w:rsidRPr="000D6279" w:rsidRDefault="00F1058E" w:rsidP="000D6279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Step by Step Instructions for Consensus Review</w:t>
            </w:r>
          </w:p>
          <w:p w:rsidR="00F1058E" w:rsidRPr="00F03997" w:rsidRDefault="00F1058E" w:rsidP="000D6279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="00FC552D">
              <w:rPr>
                <w:rFonts w:ascii="Helvetica" w:hAnsi="Helvetica" w:cs="Arial"/>
                <w:sz w:val="16"/>
                <w:szCs w:val="16"/>
              </w:rPr>
              <w:t xml:space="preserve">Overview of the 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Application Evaluation Process </w:t>
            </w:r>
          </w:p>
          <w:p w:rsidR="00F1058E" w:rsidRPr="006532BE" w:rsidRDefault="00F1058E" w:rsidP="006532BE">
            <w:pPr>
              <w:numPr>
                <w:ilvl w:val="0"/>
                <w:numId w:val="6"/>
              </w:num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Examiner Responsibilities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</w:rPr>
            </w:pPr>
            <w:r>
              <w:rPr>
                <w:rFonts w:ascii="Helvetica" w:hAnsi="Helvetica" w:cs="Arial"/>
                <w:sz w:val="16"/>
              </w:rPr>
              <w:t>Examiner Application</w:t>
            </w:r>
          </w:p>
          <w:p w:rsidR="00F1058E" w:rsidRPr="006532BE" w:rsidRDefault="00F1058E" w:rsidP="006532B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Role of the Examiner</w:t>
            </w:r>
          </w:p>
        </w:tc>
      </w:tr>
      <w:tr w:rsidR="00F1058E" w:rsidTr="00F1058E">
        <w:tc>
          <w:tcPr>
            <w:tcW w:w="1053" w:type="pct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Understand</w:t>
            </w:r>
            <w:r w:rsidR="006532BE">
              <w:rPr>
                <w:rFonts w:ascii="Helvetica" w:hAnsi="Helvetica" w:cs="Arial"/>
                <w:sz w:val="18"/>
              </w:rPr>
              <w:t xml:space="preserve">ing </w:t>
            </w:r>
            <w:r>
              <w:rPr>
                <w:rFonts w:ascii="Helvetica" w:hAnsi="Helvetica" w:cs="Arial"/>
                <w:sz w:val="18"/>
              </w:rPr>
              <w:t xml:space="preserve"> the Criteria Booklet – content and structure</w:t>
            </w:r>
          </w:p>
        </w:tc>
        <w:tc>
          <w:tcPr>
            <w:tcW w:w="141" w:type="pct"/>
            <w:vAlign w:val="center"/>
          </w:tcPr>
          <w:p w:rsidR="00F1058E" w:rsidRPr="005E774B" w:rsidRDefault="00F1058E" w:rsidP="000D6279">
            <w:pPr>
              <w:jc w:val="center"/>
              <w:rPr>
                <w:rFonts w:ascii="Helvetica" w:hAnsi="Helvetica" w:cs="Arial"/>
                <w:strike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0D6279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Default="00F1058E" w:rsidP="006A0F43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  <w:p w:rsidR="00F1058E" w:rsidRPr="006532BE" w:rsidRDefault="00F1058E" w:rsidP="006532B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>learning module: Understanding the Criteria</w:t>
            </w:r>
          </w:p>
        </w:tc>
      </w:tr>
      <w:tr w:rsidR="00F1058E" w:rsidTr="00F1058E">
        <w:tc>
          <w:tcPr>
            <w:tcW w:w="1053" w:type="pct"/>
            <w:shd w:val="clear" w:color="auto" w:fill="99CCFF"/>
            <w:vAlign w:val="center"/>
          </w:tcPr>
          <w:p w:rsidR="00F1058E" w:rsidRDefault="00F1058E">
            <w:pPr>
              <w:tabs>
                <w:tab w:val="right" w:pos="2232"/>
              </w:tabs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Analytical Skills</w:t>
            </w: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  <w:shd w:val="clear" w:color="auto" w:fill="99CCFF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095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6532BE" w:rsidP="0093580F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Ability to analyze and evaluate applicant’s responses considering the evaluation factors, Criteria requirements, and applicant key factors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modules: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Evaluating Process Items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;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Evaluating Results Items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,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Elements of a Well-Written Comment</w:t>
            </w:r>
          </w:p>
          <w:p w:rsidR="00F1058E" w:rsidRPr="0093580F" w:rsidRDefault="00F1058E" w:rsidP="0093580F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Step by Step Instructions for Independent Review and Consensus Review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Scoring &amp; Comment Guidelines</w:t>
            </w:r>
          </w:p>
          <w:p w:rsidR="00F1058E" w:rsidRPr="00AA2D31" w:rsidRDefault="00F1058E" w:rsidP="00AA2D3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Understand linkages between Process and Results Items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Pr="00AA2D31" w:rsidRDefault="00F1058E" w:rsidP="00AA2D3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Scoring </w:t>
            </w:r>
            <w:r w:rsidR="00F1058E">
              <w:rPr>
                <w:rFonts w:ascii="Helvetica" w:hAnsi="Helvetica" w:cs="Arial"/>
                <w:sz w:val="18"/>
              </w:rPr>
              <w:t>a</w:t>
            </w:r>
            <w:r>
              <w:rPr>
                <w:rFonts w:ascii="Helvetica" w:hAnsi="Helvetica" w:cs="Arial"/>
                <w:sz w:val="18"/>
              </w:rPr>
              <w:t xml:space="preserve"> Criteria Category </w:t>
            </w:r>
            <w:r w:rsidR="00F1058E">
              <w:rPr>
                <w:rFonts w:ascii="Helvetica" w:hAnsi="Helvetica" w:cs="Arial"/>
                <w:sz w:val="18"/>
              </w:rPr>
              <w:t>Item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4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28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Criteria for Performance Excellence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Step by Step Instructions for Independent Review</w:t>
            </w:r>
          </w:p>
          <w:p w:rsidR="00F1058E" w:rsidRPr="00AA2D31" w:rsidRDefault="00F1058E" w:rsidP="00AA2D31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Scoring &amp; Comment Guidelines</w:t>
            </w:r>
          </w:p>
        </w:tc>
      </w:tr>
      <w:tr w:rsidR="00F1058E" w:rsidTr="00F1058E">
        <w:tc>
          <w:tcPr>
            <w:tcW w:w="1053" w:type="pct"/>
          </w:tcPr>
          <w:p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Developing and </w:t>
            </w:r>
            <w:r w:rsidR="00F1058E">
              <w:rPr>
                <w:rFonts w:ascii="Helvetica" w:hAnsi="Helvetica" w:cs="Arial"/>
                <w:sz w:val="18"/>
              </w:rPr>
              <w:t>writ</w:t>
            </w:r>
            <w:r>
              <w:rPr>
                <w:rFonts w:ascii="Helvetica" w:hAnsi="Helvetica" w:cs="Arial"/>
                <w:sz w:val="18"/>
              </w:rPr>
              <w:t xml:space="preserve">ing </w:t>
            </w:r>
            <w:r w:rsidR="00F1058E">
              <w:rPr>
                <w:rFonts w:ascii="Helvetica" w:hAnsi="Helvetica" w:cs="Arial"/>
                <w:sz w:val="18"/>
              </w:rPr>
              <w:t>key themes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:rsidR="00F1058E" w:rsidRDefault="00F1058E" w:rsidP="007D7DC0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Pr="00001164" w:rsidRDefault="00F1058E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What is a Key Theme?</w:t>
            </w:r>
          </w:p>
        </w:tc>
      </w:tr>
      <w:tr w:rsidR="00F1058E" w:rsidTr="00F1058E">
        <w:tc>
          <w:tcPr>
            <w:tcW w:w="1053" w:type="pct"/>
          </w:tcPr>
          <w:p w:rsidR="00F1058E" w:rsidRDefault="006532BE" w:rsidP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Performing a</w:t>
            </w:r>
            <w:r w:rsidR="00F1058E">
              <w:rPr>
                <w:rFonts w:ascii="Helvetica" w:hAnsi="Helvetica" w:cs="Arial"/>
                <w:sz w:val="18"/>
              </w:rPr>
              <w:t xml:space="preserve"> consensus</w:t>
            </w:r>
            <w:r>
              <w:rPr>
                <w:rFonts w:ascii="Helvetica" w:hAnsi="Helvetica" w:cs="Arial"/>
                <w:sz w:val="18"/>
              </w:rPr>
              <w:t xml:space="preserve"> review of an application.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Consensus Review Toolkit</w:t>
            </w:r>
          </w:p>
          <w:p w:rsidR="00F1058E" w:rsidRPr="00001164" w:rsidRDefault="00F1058E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module: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The Power of Consensus</w:t>
            </w:r>
          </w:p>
        </w:tc>
      </w:tr>
      <w:tr w:rsidR="00F1058E" w:rsidTr="00F1058E">
        <w:tc>
          <w:tcPr>
            <w:tcW w:w="1053" w:type="pct"/>
          </w:tcPr>
          <w:p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Leading a consensus review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Pr="00001164" w:rsidRDefault="00F1058E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Consensus Review Toolkit</w:t>
            </w:r>
          </w:p>
        </w:tc>
      </w:tr>
      <w:tr w:rsidR="00F1058E" w:rsidTr="00F1058E">
        <w:tc>
          <w:tcPr>
            <w:tcW w:w="1053" w:type="pct"/>
          </w:tcPr>
          <w:p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 xml:space="preserve">Backing up the team leader </w:t>
            </w:r>
            <w:r w:rsidR="00F1058E">
              <w:rPr>
                <w:rFonts w:ascii="Helvetica" w:hAnsi="Helvetica" w:cs="Arial"/>
                <w:sz w:val="18"/>
              </w:rPr>
              <w:t>on consensus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5" w:type="pct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:rsidR="00F1058E" w:rsidRDefault="00F1058E" w:rsidP="0093580F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F1058E" w:rsidRPr="00001164" w:rsidRDefault="00F1058E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Consensus Review Toolkit</w:t>
            </w:r>
          </w:p>
        </w:tc>
      </w:tr>
      <w:tr w:rsidR="00F1058E" w:rsidTr="00F1058E">
        <w:tc>
          <w:tcPr>
            <w:tcW w:w="1053" w:type="pct"/>
          </w:tcPr>
          <w:p w:rsidR="00F1058E" w:rsidRDefault="006532B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Performing a site visit review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0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:rsidR="00F1058E" w:rsidRDefault="00F1058E" w:rsidP="00A75383">
            <w:pPr>
              <w:rPr>
                <w:rFonts w:ascii="Helvetica" w:hAnsi="Helvetica" w:cs="Arial"/>
              </w:rPr>
            </w:pPr>
          </w:p>
        </w:tc>
        <w:tc>
          <w:tcPr>
            <w:tcW w:w="166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2" w:type="pct"/>
          </w:tcPr>
          <w:p w:rsidR="00F1058E" w:rsidRDefault="00F1058E" w:rsidP="000D6279">
            <w:pPr>
              <w:rPr>
                <w:rFonts w:ascii="Helvetica" w:hAnsi="Helvetica" w:cs="Arial"/>
                <w:sz w:val="16"/>
                <w:szCs w:val="16"/>
              </w:rPr>
            </w:pPr>
          </w:p>
        </w:tc>
        <w:tc>
          <w:tcPr>
            <w:tcW w:w="2095" w:type="pct"/>
            <w:vAlign w:val="center"/>
          </w:tcPr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Site Visit Tools</w:t>
            </w:r>
          </w:p>
          <w:p w:rsidR="00F1058E" w:rsidRDefault="00F1058E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 w:rsidRPr="000A3293">
              <w:rPr>
                <w:rFonts w:ascii="Helvetica" w:hAnsi="Helvetica" w:cs="Arial"/>
                <w:sz w:val="16"/>
                <w:szCs w:val="16"/>
              </w:rPr>
              <w:t>Site Visit Manual</w:t>
            </w:r>
          </w:p>
          <w:p w:rsidR="00F1058E" w:rsidRPr="00001164" w:rsidRDefault="00F1058E" w:rsidP="00001164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</w:t>
            </w:r>
            <w:r w:rsidR="00FC552D">
              <w:rPr>
                <w:rFonts w:ascii="Helvetica" w:hAnsi="Helvetica" w:cs="Arial"/>
                <w:sz w:val="16"/>
                <w:szCs w:val="16"/>
              </w:rPr>
              <w:t>-</w:t>
            </w:r>
            <w:r>
              <w:rPr>
                <w:rFonts w:ascii="Helvetica" w:hAnsi="Helvetica" w:cs="Arial"/>
                <w:sz w:val="16"/>
                <w:szCs w:val="16"/>
              </w:rPr>
              <w:t xml:space="preserve">learning modules on </w:t>
            </w:r>
            <w:r w:rsidRPr="000A3293">
              <w:rPr>
                <w:rFonts w:ascii="Helvetica" w:hAnsi="Helvetica" w:cs="Arial"/>
                <w:sz w:val="16"/>
                <w:szCs w:val="16"/>
              </w:rPr>
              <w:t>Site Visit</w:t>
            </w:r>
          </w:p>
        </w:tc>
      </w:tr>
      <w:tr w:rsidR="00F1058E" w:rsidTr="00F1058E">
        <w:tc>
          <w:tcPr>
            <w:tcW w:w="1053" w:type="pct"/>
            <w:shd w:val="clear" w:color="auto" w:fill="99CCFF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>
              <w:rPr>
                <w:rFonts w:ascii="Helvetica" w:hAnsi="Helvetica" w:cs="Arial"/>
                <w:b/>
                <w:sz w:val="20"/>
              </w:rPr>
              <w:t>Computer Skills</w:t>
            </w: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  <w:shd w:val="clear" w:color="auto" w:fill="99CCFF"/>
          </w:tcPr>
          <w:p w:rsidR="00F1058E" w:rsidRDefault="00F1058E" w:rsidP="00A75383">
            <w:pPr>
              <w:rPr>
                <w:rFonts w:ascii="Helvetica" w:hAnsi="Helvetica" w:cs="Arial"/>
              </w:rPr>
            </w:pPr>
          </w:p>
        </w:tc>
        <w:tc>
          <w:tcPr>
            <w:tcW w:w="166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095" w:type="pct"/>
            <w:shd w:val="clear" w:color="auto" w:fill="99CCFF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MS Office Suite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</w:tcPr>
          <w:p w:rsidR="00F1058E" w:rsidRDefault="00F1058E" w:rsidP="00A75383">
            <w:pPr>
              <w:rPr>
                <w:rFonts w:ascii="Helvetica" w:hAnsi="Helvetica" w:cs="Arial"/>
              </w:rPr>
            </w:pPr>
          </w:p>
        </w:tc>
        <w:tc>
          <w:tcPr>
            <w:tcW w:w="166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095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Internet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0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41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4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28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6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67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1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172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  <w:tc>
          <w:tcPr>
            <w:tcW w:w="2095" w:type="pct"/>
          </w:tcPr>
          <w:p w:rsidR="00F1058E" w:rsidRDefault="00F1058E">
            <w:pPr>
              <w:rPr>
                <w:rFonts w:ascii="Helvetica" w:hAnsi="Helvetica" w:cs="Arial"/>
              </w:rPr>
            </w:pPr>
          </w:p>
        </w:tc>
      </w:tr>
      <w:tr w:rsidR="00F1058E" w:rsidTr="00F1058E">
        <w:tc>
          <w:tcPr>
            <w:tcW w:w="1053" w:type="pct"/>
            <w:vAlign w:val="center"/>
          </w:tcPr>
          <w:p w:rsidR="00F1058E" w:rsidRDefault="00F1058E">
            <w:pPr>
              <w:rPr>
                <w:rFonts w:ascii="Helvetica" w:hAnsi="Helvetica" w:cs="Arial"/>
                <w:sz w:val="18"/>
              </w:rPr>
            </w:pPr>
            <w:r>
              <w:rPr>
                <w:rFonts w:ascii="Helvetica" w:hAnsi="Helvetica" w:cs="Arial"/>
                <w:sz w:val="18"/>
              </w:rPr>
              <w:t>BOSS</w:t>
            </w:r>
          </w:p>
        </w:tc>
        <w:tc>
          <w:tcPr>
            <w:tcW w:w="141" w:type="pct"/>
            <w:vAlign w:val="center"/>
          </w:tcPr>
          <w:p w:rsidR="00F1058E" w:rsidRDefault="00F1058E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7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0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41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4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28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65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6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67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171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172" w:type="pct"/>
            <w:vAlign w:val="center"/>
          </w:tcPr>
          <w:p w:rsidR="00F1058E" w:rsidRDefault="00F1058E" w:rsidP="00A75383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x</w:t>
            </w:r>
          </w:p>
        </w:tc>
        <w:tc>
          <w:tcPr>
            <w:tcW w:w="2095" w:type="pct"/>
            <w:vAlign w:val="center"/>
          </w:tcPr>
          <w:p w:rsidR="00A36886" w:rsidRDefault="00F1058E" w:rsidP="00A36886">
            <w:pPr>
              <w:numPr>
                <w:ilvl w:val="0"/>
                <w:numId w:val="4"/>
              </w:numPr>
              <w:rPr>
                <w:rFonts w:ascii="Helvetica" w:hAnsi="Helvetica" w:cs="Arial"/>
                <w:sz w:val="16"/>
                <w:szCs w:val="16"/>
              </w:rPr>
            </w:pPr>
            <w:r>
              <w:rPr>
                <w:rFonts w:ascii="Helvetica" w:hAnsi="Helvetica" w:cs="Arial"/>
                <w:sz w:val="16"/>
                <w:szCs w:val="16"/>
              </w:rPr>
              <w:t>Elearning modules on BOSS</w:t>
            </w:r>
          </w:p>
        </w:tc>
      </w:tr>
    </w:tbl>
    <w:p w:rsidR="00C57399" w:rsidRDefault="00C57399">
      <w:pPr>
        <w:rPr>
          <w:rFonts w:ascii="Helvetica" w:hAnsi="Helvetica" w:cs="Arial"/>
        </w:rPr>
      </w:pPr>
    </w:p>
    <w:p w:rsidR="004F6049" w:rsidRDefault="004F6049">
      <w:pPr>
        <w:rPr>
          <w:rFonts w:ascii="Helvetica" w:hAnsi="Helvetica" w:cs="Arial"/>
        </w:rPr>
      </w:pPr>
    </w:p>
    <w:p w:rsidR="004F6049" w:rsidRPr="004F6049" w:rsidRDefault="004F6049">
      <w:pPr>
        <w:rPr>
          <w:rFonts w:ascii="Helvetica" w:hAnsi="Helvetica" w:cs="Arial"/>
          <w:sz w:val="16"/>
          <w:szCs w:val="16"/>
        </w:rPr>
      </w:pPr>
      <w:r w:rsidRPr="004F6049">
        <w:rPr>
          <w:rFonts w:ascii="Helvetica" w:hAnsi="Helvetica" w:cs="Arial"/>
          <w:sz w:val="16"/>
          <w:szCs w:val="16"/>
        </w:rPr>
        <w:t xml:space="preserve">rev: </w:t>
      </w:r>
      <w:r w:rsidR="00352260">
        <w:rPr>
          <w:rFonts w:ascii="Helvetica" w:hAnsi="Helvetica" w:cs="Arial"/>
          <w:sz w:val="16"/>
          <w:szCs w:val="16"/>
        </w:rPr>
        <w:t>3/2013</w:t>
      </w:r>
    </w:p>
    <w:sectPr w:rsidR="004F6049" w:rsidRPr="004F6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5B" w:rsidRDefault="0001185B">
      <w:r>
        <w:separator/>
      </w:r>
    </w:p>
  </w:endnote>
  <w:endnote w:type="continuationSeparator" w:id="0">
    <w:p w:rsidR="0001185B" w:rsidRDefault="000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5B" w:rsidRDefault="0001185B">
      <w:r>
        <w:separator/>
      </w:r>
    </w:p>
  </w:footnote>
  <w:footnote w:type="continuationSeparator" w:id="0">
    <w:p w:rsidR="0001185B" w:rsidRDefault="0001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8CF" w:rsidRDefault="00FA7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254"/>
    <w:multiLevelType w:val="hybridMultilevel"/>
    <w:tmpl w:val="8EA86776"/>
    <w:lvl w:ilvl="0" w:tplc="4A6442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D09DF"/>
    <w:multiLevelType w:val="hybridMultilevel"/>
    <w:tmpl w:val="900200BA"/>
    <w:lvl w:ilvl="0" w:tplc="1098EAFE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76765"/>
    <w:multiLevelType w:val="hybridMultilevel"/>
    <w:tmpl w:val="C138F692"/>
    <w:lvl w:ilvl="0" w:tplc="1098EA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83936"/>
    <w:multiLevelType w:val="multilevel"/>
    <w:tmpl w:val="8EA867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B23E3A"/>
    <w:multiLevelType w:val="hybridMultilevel"/>
    <w:tmpl w:val="F3E094BA"/>
    <w:lvl w:ilvl="0" w:tplc="4A6442F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7E503A"/>
    <w:multiLevelType w:val="multilevel"/>
    <w:tmpl w:val="900200BA"/>
    <w:lvl w:ilvl="0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0B6516"/>
    <w:multiLevelType w:val="hybridMultilevel"/>
    <w:tmpl w:val="8E3AB1B8"/>
    <w:lvl w:ilvl="0" w:tplc="7FB23BE4">
      <w:start w:val="1"/>
      <w:numFmt w:val="bullet"/>
      <w:lvlText w:val=""/>
      <w:lvlJc w:val="left"/>
      <w:pPr>
        <w:tabs>
          <w:tab w:val="num" w:pos="144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AD"/>
    <w:rsid w:val="00001164"/>
    <w:rsid w:val="0001185B"/>
    <w:rsid w:val="00024AAD"/>
    <w:rsid w:val="000A3293"/>
    <w:rsid w:val="000D206E"/>
    <w:rsid w:val="000D6279"/>
    <w:rsid w:val="0010296D"/>
    <w:rsid w:val="00131687"/>
    <w:rsid w:val="001775D0"/>
    <w:rsid w:val="001F63BA"/>
    <w:rsid w:val="00280613"/>
    <w:rsid w:val="00352260"/>
    <w:rsid w:val="003C5CA9"/>
    <w:rsid w:val="004C0425"/>
    <w:rsid w:val="004D6B47"/>
    <w:rsid w:val="004F6049"/>
    <w:rsid w:val="005E2E98"/>
    <w:rsid w:val="005E774B"/>
    <w:rsid w:val="0063287B"/>
    <w:rsid w:val="006532BE"/>
    <w:rsid w:val="00696486"/>
    <w:rsid w:val="006A0F43"/>
    <w:rsid w:val="00704E6F"/>
    <w:rsid w:val="007214A0"/>
    <w:rsid w:val="007C3551"/>
    <w:rsid w:val="007D7DC0"/>
    <w:rsid w:val="00825495"/>
    <w:rsid w:val="00830423"/>
    <w:rsid w:val="008362DD"/>
    <w:rsid w:val="008A50DA"/>
    <w:rsid w:val="00902586"/>
    <w:rsid w:val="0093580F"/>
    <w:rsid w:val="009B20D4"/>
    <w:rsid w:val="009C5AF4"/>
    <w:rsid w:val="00A36886"/>
    <w:rsid w:val="00A75383"/>
    <w:rsid w:val="00AA2D31"/>
    <w:rsid w:val="00B438EB"/>
    <w:rsid w:val="00BA454D"/>
    <w:rsid w:val="00BF0853"/>
    <w:rsid w:val="00C57399"/>
    <w:rsid w:val="00C7488B"/>
    <w:rsid w:val="00CA0387"/>
    <w:rsid w:val="00D021B6"/>
    <w:rsid w:val="00D408CD"/>
    <w:rsid w:val="00D541A0"/>
    <w:rsid w:val="00D868DD"/>
    <w:rsid w:val="00E16A0B"/>
    <w:rsid w:val="00E1791F"/>
    <w:rsid w:val="00EB5539"/>
    <w:rsid w:val="00F03997"/>
    <w:rsid w:val="00F055F7"/>
    <w:rsid w:val="00F1058E"/>
    <w:rsid w:val="00F37FE2"/>
    <w:rsid w:val="00F87205"/>
    <w:rsid w:val="00FA78CF"/>
    <w:rsid w:val="00FC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8CF"/>
    <w:rPr>
      <w:sz w:val="24"/>
    </w:rPr>
  </w:style>
  <w:style w:type="paragraph" w:styleId="Footer">
    <w:name w:val="footer"/>
    <w:basedOn w:val="Normal"/>
    <w:link w:val="FooterChar"/>
    <w:rsid w:val="00FA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78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78CF"/>
    <w:rPr>
      <w:sz w:val="24"/>
    </w:rPr>
  </w:style>
  <w:style w:type="paragraph" w:styleId="Footer">
    <w:name w:val="footer"/>
    <w:basedOn w:val="Normal"/>
    <w:link w:val="FooterChar"/>
    <w:rsid w:val="00FA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78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drige.nist.gov/Examiner_Resources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3460</CharactersWithSpaces>
  <SharedDoc>false</SharedDoc>
  <HLinks>
    <vt:vector size="120" baseType="variant">
      <vt:variant>
        <vt:i4>2752534</vt:i4>
      </vt:variant>
      <vt:variant>
        <vt:i4>57</vt:i4>
      </vt:variant>
      <vt:variant>
        <vt:i4>0</vt:i4>
      </vt:variant>
      <vt:variant>
        <vt:i4>5</vt:i4>
      </vt:variant>
      <vt:variant>
        <vt:lpwstr>http://www.nist.gov/baldrige/examiners/resource_center/ontheboard.cfm</vt:lpwstr>
      </vt:variant>
      <vt:variant>
        <vt:lpwstr/>
      </vt:variant>
      <vt:variant>
        <vt:i4>1114122</vt:i4>
      </vt:variant>
      <vt:variant>
        <vt:i4>54</vt:i4>
      </vt:variant>
      <vt:variant>
        <vt:i4>0</vt:i4>
      </vt:variant>
      <vt:variant>
        <vt:i4>5</vt:i4>
      </vt:variant>
      <vt:variant>
        <vt:lpwstr>http://www.nist.gov/baldrige/examiners/resource_center/site_visit.cfm</vt:lpwstr>
      </vt:variant>
      <vt:variant>
        <vt:lpwstr/>
      </vt:variant>
      <vt:variant>
        <vt:i4>1114122</vt:i4>
      </vt:variant>
      <vt:variant>
        <vt:i4>51</vt:i4>
      </vt:variant>
      <vt:variant>
        <vt:i4>0</vt:i4>
      </vt:variant>
      <vt:variant>
        <vt:i4>5</vt:i4>
      </vt:variant>
      <vt:variant>
        <vt:lpwstr>http://www.nist.gov/baldrige/examiners/resource_center/site_visit.cfm</vt:lpwstr>
      </vt:variant>
      <vt:variant>
        <vt:lpwstr/>
      </vt:variant>
      <vt:variant>
        <vt:i4>2752534</vt:i4>
      </vt:variant>
      <vt:variant>
        <vt:i4>48</vt:i4>
      </vt:variant>
      <vt:variant>
        <vt:i4>0</vt:i4>
      </vt:variant>
      <vt:variant>
        <vt:i4>5</vt:i4>
      </vt:variant>
      <vt:variant>
        <vt:lpwstr>http://www.nist.gov/baldrige/examiners/resource_center/ontheboard.cfm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4194388</vt:i4>
      </vt:variant>
      <vt:variant>
        <vt:i4>42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786503</vt:i4>
      </vt:variant>
      <vt:variant>
        <vt:i4>39</vt:i4>
      </vt:variant>
      <vt:variant>
        <vt:i4>0</vt:i4>
      </vt:variant>
      <vt:variant>
        <vt:i4>5</vt:i4>
      </vt:variant>
      <vt:variant>
        <vt:lpwstr>http://www.baldrige.nist.gov/eLearning/Elements of a Well-Written Comment/player.html</vt:lpwstr>
      </vt:variant>
      <vt:variant>
        <vt:lpwstr/>
      </vt:variant>
      <vt:variant>
        <vt:i4>3473458</vt:i4>
      </vt:variant>
      <vt:variant>
        <vt:i4>36</vt:i4>
      </vt:variant>
      <vt:variant>
        <vt:i4>0</vt:i4>
      </vt:variant>
      <vt:variant>
        <vt:i4>5</vt:i4>
      </vt:variant>
      <vt:variant>
        <vt:lpwstr>http://www.baldrige.nist.gov/eLearning/Evaluating Results Items/player.html</vt:lpwstr>
      </vt:variant>
      <vt:variant>
        <vt:lpwstr/>
      </vt:variant>
      <vt:variant>
        <vt:i4>3342373</vt:i4>
      </vt:variant>
      <vt:variant>
        <vt:i4>33</vt:i4>
      </vt:variant>
      <vt:variant>
        <vt:i4>0</vt:i4>
      </vt:variant>
      <vt:variant>
        <vt:i4>5</vt:i4>
      </vt:variant>
      <vt:variant>
        <vt:lpwstr>http://www.baldrige.nist.gov/eLearning/Evaluating Process Items/player.html</vt:lpwstr>
      </vt:variant>
      <vt:variant>
        <vt:lpwstr/>
      </vt:variant>
      <vt:variant>
        <vt:i4>6422562</vt:i4>
      </vt:variant>
      <vt:variant>
        <vt:i4>30</vt:i4>
      </vt:variant>
      <vt:variant>
        <vt:i4>0</vt:i4>
      </vt:variant>
      <vt:variant>
        <vt:i4>5</vt:i4>
      </vt:variant>
      <vt:variant>
        <vt:lpwstr>http://www.baldrige.nist.gov/eLearning/Role of the Examiner/player.html</vt:lpwstr>
      </vt:variant>
      <vt:variant>
        <vt:lpwstr/>
      </vt:variant>
      <vt:variant>
        <vt:i4>4194388</vt:i4>
      </vt:variant>
      <vt:variant>
        <vt:i4>27</vt:i4>
      </vt:variant>
      <vt:variant>
        <vt:i4>0</vt:i4>
      </vt:variant>
      <vt:variant>
        <vt:i4>5</vt:i4>
      </vt:variant>
      <vt:variant>
        <vt:lpwstr>http://www.nist.gov/baldrige/examiners/resource_center/consensus_review.cfm</vt:lpwstr>
      </vt:variant>
      <vt:variant>
        <vt:lpwstr/>
      </vt:variant>
      <vt:variant>
        <vt:i4>2752567</vt:i4>
      </vt:variant>
      <vt:variant>
        <vt:i4>24</vt:i4>
      </vt:variant>
      <vt:variant>
        <vt:i4>0</vt:i4>
      </vt:variant>
      <vt:variant>
        <vt:i4>5</vt:i4>
      </vt:variant>
      <vt:variant>
        <vt:lpwstr>http://www.nist.gov/baldrige/examiners/resource_center/independent_review.cfm</vt:lpwstr>
      </vt:variant>
      <vt:variant>
        <vt:lpwstr/>
      </vt:variant>
      <vt:variant>
        <vt:i4>7864372</vt:i4>
      </vt:variant>
      <vt:variant>
        <vt:i4>21</vt:i4>
      </vt:variant>
      <vt:variant>
        <vt:i4>0</vt:i4>
      </vt:variant>
      <vt:variant>
        <vt:i4>5</vt:i4>
      </vt:variant>
      <vt:variant>
        <vt:lpwstr>http://www.nist.gov/baldrige/publications/criteria.cfm</vt:lpwstr>
      </vt:variant>
      <vt:variant>
        <vt:lpwstr/>
      </vt:variant>
      <vt:variant>
        <vt:i4>4390984</vt:i4>
      </vt:variant>
      <vt:variant>
        <vt:i4>18</vt:i4>
      </vt:variant>
      <vt:variant>
        <vt:i4>0</vt:i4>
      </vt:variant>
      <vt:variant>
        <vt:i4>5</vt:i4>
      </vt:variant>
      <vt:variant>
        <vt:lpwstr>http://www.baldrige.nist.gov/eLearning/Understanding the Criteria/player.html</vt:lpwstr>
      </vt:variant>
      <vt:variant>
        <vt:lpwstr/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http://www.baldrige.nist.gov/eLearning/Code of Ethical Conduct/player.html</vt:lpwstr>
      </vt:variant>
      <vt:variant>
        <vt:lpwstr/>
      </vt:variant>
      <vt:variant>
        <vt:i4>65595</vt:i4>
      </vt:variant>
      <vt:variant>
        <vt:i4>12</vt:i4>
      </vt:variant>
      <vt:variant>
        <vt:i4>0</vt:i4>
      </vt:variant>
      <vt:variant>
        <vt:i4>5</vt:i4>
      </vt:variant>
      <vt:variant>
        <vt:lpwstr>http://www.nist.gov/baldrige/examiners/resource_center/</vt:lpwstr>
      </vt:variant>
      <vt:variant>
        <vt:lpwstr/>
      </vt:variant>
      <vt:variant>
        <vt:i4>6619152</vt:i4>
      </vt:variant>
      <vt:variant>
        <vt:i4>9</vt:i4>
      </vt:variant>
      <vt:variant>
        <vt:i4>0</vt:i4>
      </vt:variant>
      <vt:variant>
        <vt:i4>5</vt:i4>
      </vt:variant>
      <vt:variant>
        <vt:lpwstr>http://www.nist.gov/baldrige/examiners/resource_center/upload/2011_Comment_Guidelines.pdf</vt:lpwstr>
      </vt:variant>
      <vt:variant>
        <vt:lpwstr/>
      </vt:variant>
      <vt:variant>
        <vt:i4>4128815</vt:i4>
      </vt:variant>
      <vt:variant>
        <vt:i4>6</vt:i4>
      </vt:variant>
      <vt:variant>
        <vt:i4>0</vt:i4>
      </vt:variant>
      <vt:variant>
        <vt:i4>5</vt:i4>
      </vt:variant>
      <vt:variant>
        <vt:lpwstr>http://www.baldrige.nist.gov/eLearning/Overview of the Award Application Evaluation Process/player.html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http://www.baldrige.nist.gov/eLearning/Baldrige Program Overview/player.html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http://www.baldrige.nist.gov/Examiner_Resources.htm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2016-03-16T20:11:00Z</dcterms:created>
  <dcterms:modified xsi:type="dcterms:W3CDTF">2016-03-16T20:11:00Z</dcterms:modified>
</cp:coreProperties>
</file>