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80" w:rsidRPr="00F3504E" w:rsidRDefault="00F20AB5" w:rsidP="003C4B56">
      <w:pPr>
        <w:pStyle w:val="AppendixHeading"/>
      </w:pPr>
      <w:bookmarkStart w:id="0" w:name="_Toc301768233"/>
      <w:bookmarkStart w:id="1" w:name="_Toc308527686"/>
      <w:r w:rsidRPr="00F3504E">
        <w:t xml:space="preserve">Appendix </w:t>
      </w:r>
      <w:bookmarkEnd w:id="0"/>
      <w:bookmarkEnd w:id="1"/>
      <w:r w:rsidR="001C5285">
        <w:t>E</w:t>
      </w:r>
    </w:p>
    <w:p w:rsidR="00F20AB5" w:rsidRPr="00F3504E" w:rsidRDefault="001C5285" w:rsidP="00443A38">
      <w:pPr>
        <w:pStyle w:val="AppendixHeading"/>
      </w:pPr>
      <w:r>
        <w:t>National Type Evaluation Technical Committee (NTETC)</w:t>
      </w:r>
      <w:r>
        <w:br/>
        <w:t>Weighing Sector Meeting Summary</w:t>
      </w:r>
    </w:p>
    <w:p w:rsidR="00BE1AFF" w:rsidRDefault="001C5285" w:rsidP="00233C4C">
      <w:pPr>
        <w:spacing w:after="0"/>
        <w:jc w:val="center"/>
      </w:pPr>
      <w:bookmarkStart w:id="2" w:name="_Toc301535051"/>
      <w:bookmarkStart w:id="3" w:name="_Toc301768234"/>
      <w:bookmarkStart w:id="4" w:name="_Toc301773549"/>
      <w:bookmarkStart w:id="5" w:name="_Toc301773720"/>
      <w:bookmarkStart w:id="6" w:name="_Toc301773950"/>
      <w:bookmarkStart w:id="7" w:name="_Toc301774082"/>
      <w:r>
        <w:t xml:space="preserve">August 30 </w:t>
      </w:r>
      <w:r w:rsidR="00BE1AFF">
        <w:t>-</w:t>
      </w:r>
      <w:r>
        <w:t xml:space="preserve"> September 1, 2011</w:t>
      </w:r>
    </w:p>
    <w:p w:rsidR="00233C4C" w:rsidRPr="00F3504E" w:rsidRDefault="001C5285" w:rsidP="00233C4C">
      <w:pPr>
        <w:spacing w:after="0"/>
        <w:jc w:val="center"/>
      </w:pPr>
      <w:r>
        <w:t>Sacramento, California</w:t>
      </w:r>
    </w:p>
    <w:p w:rsidR="00F20AB5" w:rsidRPr="00F3504E" w:rsidRDefault="00F20AB5" w:rsidP="00F20AB5">
      <w:pPr>
        <w:pStyle w:val="Heading1"/>
      </w:pPr>
      <w:bookmarkStart w:id="8" w:name="_Toc308527688"/>
      <w:bookmarkStart w:id="9" w:name="_Toc310427959"/>
      <w:bookmarkStart w:id="10" w:name="_Toc311539238"/>
      <w:bookmarkStart w:id="11" w:name="INTRO"/>
      <w:r w:rsidRPr="00F3504E">
        <w:t>Introduction</w:t>
      </w:r>
      <w:bookmarkEnd w:id="2"/>
      <w:bookmarkEnd w:id="3"/>
      <w:bookmarkEnd w:id="4"/>
      <w:bookmarkEnd w:id="5"/>
      <w:bookmarkEnd w:id="6"/>
      <w:bookmarkEnd w:id="7"/>
      <w:bookmarkEnd w:id="8"/>
      <w:bookmarkEnd w:id="9"/>
      <w:bookmarkEnd w:id="10"/>
    </w:p>
    <w:bookmarkEnd w:id="11"/>
    <w:p w:rsidR="001B1E22" w:rsidRPr="009165F9" w:rsidRDefault="001C5285" w:rsidP="001B1E22">
      <w:pPr>
        <w:rPr>
          <w:i/>
        </w:rPr>
      </w:pPr>
      <w:r>
        <w:t xml:space="preserve">The charge of the </w:t>
      </w:r>
      <w:r w:rsidR="00ED616C">
        <w:t xml:space="preserve">NTETC </w:t>
      </w:r>
      <w:r>
        <w:t xml:space="preserve">Weighing Sector </w:t>
      </w:r>
      <w:r w:rsidR="009165F9">
        <w:t>(</w:t>
      </w:r>
      <w:r w:rsidR="009165F9" w:rsidRPr="00C83B0B">
        <w:rPr>
          <w:u w:color="82C42A"/>
        </w:rPr>
        <w:t>herein after</w:t>
      </w:r>
      <w:r w:rsidR="009165F9" w:rsidRPr="00C83B0B">
        <w:t xml:space="preserve"> </w:t>
      </w:r>
      <w:r w:rsidR="009165F9">
        <w:t xml:space="preserve">referred to as “Sector”) </w:t>
      </w:r>
      <w:r>
        <w:t xml:space="preserve">is </w:t>
      </w:r>
      <w:r w:rsidR="001B1E22">
        <w:t>to provide</w:t>
      </w:r>
      <w:r>
        <w:t xml:space="preserve"> appropriate type evaluation criteria based on specifications, tolerances</w:t>
      </w:r>
      <w:r w:rsidR="009165F9">
        <w:t>,</w:t>
      </w:r>
      <w:r>
        <w:t xml:space="preserve"> and technical requirements of </w:t>
      </w:r>
      <w:r w:rsidR="001B1E22" w:rsidRPr="009165F9">
        <w:t>NIST Handbook 44</w:t>
      </w:r>
      <w:r w:rsidR="00EF6613" w:rsidRPr="009165F9">
        <w:t>,</w:t>
      </w:r>
      <w:r w:rsidR="001B1E22">
        <w:t xml:space="preserve"> </w:t>
      </w:r>
      <w:r w:rsidR="001B1E22" w:rsidRPr="003C76E8">
        <w:rPr>
          <w:i/>
        </w:rPr>
        <w:t>Specifications, Tolerances, and Other Technical Requirements for Weighing and Measuring Devices</w:t>
      </w:r>
      <w:r w:rsidR="00EF6613">
        <w:rPr>
          <w:i/>
        </w:rPr>
        <w:t>,</w:t>
      </w:r>
      <w:r w:rsidR="001B1E22">
        <w:t xml:space="preserve"> Sections 1.10.</w:t>
      </w:r>
      <w:r w:rsidR="00BE1AFF">
        <w:t> </w:t>
      </w:r>
      <w:r w:rsidR="001B1E22">
        <w:t>General</w:t>
      </w:r>
      <w:r w:rsidR="00EF6613">
        <w:t xml:space="preserve"> Code, 2.20</w:t>
      </w:r>
      <w:r w:rsidR="00BE1AFF">
        <w:t>.</w:t>
      </w:r>
      <w:r w:rsidR="00EF6613">
        <w:t> Scales, 2.22</w:t>
      </w:r>
      <w:r w:rsidR="00BE1AFF">
        <w:t>.</w:t>
      </w:r>
      <w:r w:rsidR="00EF6613">
        <w:t xml:space="preserve"> Automatic Bulk Weighing Systems, and 2.24</w:t>
      </w:r>
      <w:r w:rsidR="00BE1AFF">
        <w:t>.</w:t>
      </w:r>
      <w:r w:rsidR="00EF6613">
        <w:t xml:space="preserve"> Automatic Weighing Systems.</w:t>
      </w:r>
      <w:r w:rsidR="001B1E22">
        <w:t xml:space="preserve">.  The Sector’s recommendations are presented to the National Type Evaluation Program (NTEP) Committee each January for approval and inclusion in </w:t>
      </w:r>
      <w:r w:rsidR="001B1E22" w:rsidRPr="009165F9">
        <w:t>NCWM Publication 14</w:t>
      </w:r>
      <w:r w:rsidR="00EF6613">
        <w:t>,</w:t>
      </w:r>
      <w:r w:rsidR="001B1E22" w:rsidRPr="00D72B51">
        <w:rPr>
          <w:i/>
        </w:rPr>
        <w:t xml:space="preserve"> Technical Policy, Checklists, and Test Procedures</w:t>
      </w:r>
      <w:r w:rsidR="00EF6613">
        <w:rPr>
          <w:i/>
        </w:rPr>
        <w:t>,</w:t>
      </w:r>
      <w:r w:rsidR="001B1E22">
        <w:t xml:space="preserve"> for national type evaluation.</w:t>
      </w:r>
    </w:p>
    <w:p w:rsidR="00F20AB5" w:rsidRDefault="001C5285" w:rsidP="001C5285">
      <w:r>
        <w:t xml:space="preserve">The </w:t>
      </w:r>
      <w:r w:rsidR="009165F9">
        <w:t>S</w:t>
      </w:r>
      <w:r>
        <w:t xml:space="preserve">ector is also called upon occasionally for technical expertise in addressing difficult </w:t>
      </w:r>
      <w:r w:rsidR="00ED616C" w:rsidRPr="009165F9">
        <w:t xml:space="preserve">NIST </w:t>
      </w:r>
      <w:r w:rsidRPr="009165F9">
        <w:t>Handbook 44</w:t>
      </w:r>
      <w:r>
        <w:t xml:space="preserve"> issues on the agenda of </w:t>
      </w:r>
      <w:r w:rsidR="00AA641B">
        <w:t>National Conference on Weights and Measures (</w:t>
      </w:r>
      <w:r>
        <w:t>NCWM</w:t>
      </w:r>
      <w:r w:rsidR="00AA641B">
        <w:t>)</w:t>
      </w:r>
      <w:r>
        <w:t xml:space="preserve"> Specifications and Tolerances</w:t>
      </w:r>
      <w:r w:rsidR="00AA641B">
        <w:t xml:space="preserve"> (S&amp;T)</w:t>
      </w:r>
      <w:r>
        <w:t xml:space="preserve"> Committee. </w:t>
      </w:r>
      <w:r w:rsidR="009165F9">
        <w:t xml:space="preserve"> </w:t>
      </w:r>
      <w:r>
        <w:t>Sector membership includes industry, NTEP laboratory representatives, technical advisors and the NTEP Administrator.</w:t>
      </w:r>
      <w:r w:rsidR="00ED616C">
        <w:t xml:space="preserve"> </w:t>
      </w:r>
      <w:r>
        <w:t xml:space="preserve"> Meetings are held annually, or as needed and are open to all NCWM members and other registered parties.</w:t>
      </w:r>
    </w:p>
    <w:p w:rsidR="000C53C7" w:rsidRDefault="00A04BE4" w:rsidP="001C5285">
      <w:r>
        <w:t xml:space="preserve">Suggested revisions are shown in </w:t>
      </w:r>
      <w:r w:rsidR="000C53C7" w:rsidRPr="009207FE">
        <w:rPr>
          <w:b/>
        </w:rPr>
        <w:t>bold face print</w:t>
      </w:r>
      <w:r w:rsidR="000C53C7" w:rsidRPr="009207FE">
        <w:t xml:space="preserve"> by </w:t>
      </w:r>
      <w:r w:rsidR="000C53C7" w:rsidRPr="009207FE">
        <w:rPr>
          <w:b/>
          <w:strike/>
        </w:rPr>
        <w:t>striking out</w:t>
      </w:r>
      <w:r w:rsidR="000C53C7" w:rsidRPr="009207FE">
        <w:t xml:space="preserve"> information to be deleted and </w:t>
      </w:r>
      <w:r w:rsidR="000C53C7" w:rsidRPr="009207FE">
        <w:rPr>
          <w:b/>
          <w:u w:val="single"/>
        </w:rPr>
        <w:t>underlining</w:t>
      </w:r>
      <w:r w:rsidR="000C53C7" w:rsidRPr="009207FE">
        <w:t xml:space="preserve"> information </w:t>
      </w:r>
      <w:r w:rsidR="009207FE" w:rsidRPr="009207FE">
        <w:t>to be</w:t>
      </w:r>
      <w:r w:rsidR="000C53C7" w:rsidRPr="009207FE">
        <w:t xml:space="preserve"> added.</w:t>
      </w:r>
      <w:r w:rsidR="000C53C7">
        <w:t xml:space="preserve">  Requirements that are proposed to be </w:t>
      </w:r>
      <w:r w:rsidR="000C53C7" w:rsidRPr="00C83B0B">
        <w:rPr>
          <w:u w:color="82C42A"/>
        </w:rPr>
        <w:t>nonretroactive</w:t>
      </w:r>
      <w:r w:rsidR="000C53C7" w:rsidRPr="00C83B0B">
        <w:t xml:space="preserve"> </w:t>
      </w:r>
      <w:r w:rsidR="000C53C7">
        <w:t xml:space="preserve">are printed in </w:t>
      </w:r>
      <w:r w:rsidR="000C53C7" w:rsidRPr="005D4239">
        <w:rPr>
          <w:b/>
          <w:i/>
        </w:rPr>
        <w:t>bold faced italics</w:t>
      </w:r>
      <w:r w:rsidR="000C53C7">
        <w:t>.</w:t>
      </w:r>
    </w:p>
    <w:p w:rsidR="001B1E22" w:rsidRPr="00F3504E" w:rsidRDefault="001B1E22" w:rsidP="001C5285">
      <w:r w:rsidRPr="00C15387">
        <w:rPr>
          <w:b/>
        </w:rPr>
        <w:t>Note:</w:t>
      </w:r>
      <w:r w:rsidRPr="00C15387">
        <w:t xml:space="preserve"> </w:t>
      </w:r>
      <w:r w:rsidR="009165F9">
        <w:t xml:space="preserve"> </w:t>
      </w:r>
      <w:r w:rsidRPr="00C15387">
        <w:t>It is policy to use metric units of measurement in publications; however, recommendations received by NCWM technical committees and regional weights and measures associations have been printed in this publication as submitted.  Therefore, the report may contain references to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F20AB5" w:rsidRPr="008C3A8E" w:rsidTr="00F20AB5">
        <w:tc>
          <w:tcPr>
            <w:tcW w:w="9360" w:type="dxa"/>
            <w:gridSpan w:val="3"/>
            <w:tcBorders>
              <w:top w:val="single" w:sz="12" w:space="0" w:color="auto"/>
              <w:bottom w:val="single" w:sz="12" w:space="0" w:color="auto"/>
            </w:tcBorders>
          </w:tcPr>
          <w:p w:rsidR="00F20AB5" w:rsidRPr="00267274" w:rsidRDefault="00F20AB5" w:rsidP="00F8763B">
            <w:pPr>
              <w:pStyle w:val="TableHeading"/>
            </w:pPr>
            <w:r w:rsidRPr="00267274">
              <w:t>Table A</w:t>
            </w:r>
            <w:r w:rsidR="00443A38" w:rsidRPr="00267274">
              <w:br/>
            </w:r>
            <w:r w:rsidR="00F8763B" w:rsidRPr="00267274">
              <w:t>Table of Contents</w:t>
            </w:r>
          </w:p>
        </w:tc>
      </w:tr>
      <w:tr w:rsidR="00F20AB5" w:rsidRPr="00F3504E" w:rsidTr="00F20AB5">
        <w:trPr>
          <w:trHeight w:val="317"/>
        </w:trPr>
        <w:tc>
          <w:tcPr>
            <w:tcW w:w="3110" w:type="dxa"/>
            <w:tcBorders>
              <w:top w:val="single" w:sz="12" w:space="0" w:color="auto"/>
              <w:bottom w:val="single" w:sz="12" w:space="0" w:color="auto"/>
            </w:tcBorders>
            <w:vAlign w:val="bottom"/>
          </w:tcPr>
          <w:p w:rsidR="00F20AB5" w:rsidRPr="00F3504E" w:rsidRDefault="00125727" w:rsidP="009A61F2">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F20AB5" w:rsidRPr="00F3504E" w:rsidRDefault="00F20AB5" w:rsidP="0038520D">
            <w:pPr>
              <w:pStyle w:val="TableColumnHeadings"/>
            </w:pPr>
          </w:p>
        </w:tc>
        <w:tc>
          <w:tcPr>
            <w:tcW w:w="3140" w:type="dxa"/>
            <w:tcBorders>
              <w:top w:val="single" w:sz="12" w:space="0" w:color="auto"/>
              <w:bottom w:val="single" w:sz="12" w:space="0" w:color="auto"/>
            </w:tcBorders>
            <w:vAlign w:val="bottom"/>
          </w:tcPr>
          <w:p w:rsidR="00F20AB5" w:rsidRPr="00F3504E" w:rsidRDefault="00ED616C" w:rsidP="009A61F2">
            <w:pPr>
              <w:pStyle w:val="TableColumnHeadings"/>
              <w:ind w:right="-108"/>
              <w:jc w:val="right"/>
            </w:pPr>
            <w:r>
              <w:t>NTEP - E</w:t>
            </w:r>
            <w:r w:rsidR="00F8763B">
              <w:t xml:space="preserve"> </w:t>
            </w:r>
            <w:r w:rsidR="00F20AB5" w:rsidRPr="00F3504E">
              <w:t>Page</w:t>
            </w:r>
          </w:p>
        </w:tc>
      </w:tr>
    </w:tbl>
    <w:p w:rsidR="00CE0D0B" w:rsidRDefault="00D0082F">
      <w:pPr>
        <w:pStyle w:val="TOC1"/>
        <w:rPr>
          <w:rFonts w:asciiTheme="minorHAnsi" w:hAnsiTheme="minorHAnsi"/>
          <w:b w:val="0"/>
          <w:caps w:val="0"/>
          <w:noProof/>
          <w:color w:val="auto"/>
          <w:sz w:val="22"/>
          <w:lang w:eastAsia="en-US"/>
        </w:rPr>
      </w:pPr>
      <w:r>
        <w:rPr>
          <w:b w:val="0"/>
          <w:caps w:val="0"/>
        </w:rPr>
        <w:fldChar w:fldCharType="begin"/>
      </w:r>
      <w:r>
        <w:rPr>
          <w:b w:val="0"/>
          <w:caps w:val="0"/>
        </w:rPr>
        <w:instrText xml:space="preserve"> TOC \o "1-1" \h \z \t "Item Heading,2,Item Heading letters,3" </w:instrText>
      </w:r>
      <w:r>
        <w:rPr>
          <w:b w:val="0"/>
          <w:caps w:val="0"/>
        </w:rPr>
        <w:fldChar w:fldCharType="separate"/>
      </w:r>
      <w:hyperlink w:anchor="_Toc311539238" w:history="1">
        <w:r w:rsidR="00CE0D0B" w:rsidRPr="000F29D1">
          <w:rPr>
            <w:rStyle w:val="Hyperlink"/>
          </w:rPr>
          <w:t>Introduction</w:t>
        </w:r>
        <w:r w:rsidR="00CE0D0B">
          <w:rPr>
            <w:noProof/>
            <w:webHidden/>
          </w:rPr>
          <w:tab/>
          <w:t>E</w:t>
        </w:r>
        <w:r w:rsidR="00CE0D0B">
          <w:rPr>
            <w:noProof/>
            <w:webHidden/>
          </w:rPr>
          <w:fldChar w:fldCharType="begin"/>
        </w:r>
        <w:r w:rsidR="00CE0D0B">
          <w:rPr>
            <w:noProof/>
            <w:webHidden/>
          </w:rPr>
          <w:instrText xml:space="preserve"> PAGEREF _Toc311539238 \h </w:instrText>
        </w:r>
        <w:r w:rsidR="00CE0D0B">
          <w:rPr>
            <w:noProof/>
            <w:webHidden/>
          </w:rPr>
        </w:r>
        <w:r w:rsidR="00CE0D0B">
          <w:rPr>
            <w:noProof/>
            <w:webHidden/>
          </w:rPr>
          <w:fldChar w:fldCharType="separate"/>
        </w:r>
        <w:r w:rsidR="00C83B0B">
          <w:rPr>
            <w:noProof/>
            <w:webHidden/>
          </w:rPr>
          <w:t>1</w:t>
        </w:r>
        <w:r w:rsidR="00CE0D0B">
          <w:rPr>
            <w:noProof/>
            <w:webHidden/>
          </w:rPr>
          <w:fldChar w:fldCharType="end"/>
        </w:r>
      </w:hyperlink>
    </w:p>
    <w:p w:rsidR="00CE0D0B" w:rsidRDefault="00FC7A3B">
      <w:pPr>
        <w:pStyle w:val="TOC1"/>
        <w:rPr>
          <w:rFonts w:asciiTheme="minorHAnsi" w:hAnsiTheme="minorHAnsi"/>
          <w:b w:val="0"/>
          <w:caps w:val="0"/>
          <w:noProof/>
          <w:color w:val="auto"/>
          <w:sz w:val="22"/>
          <w:lang w:eastAsia="en-US"/>
        </w:rPr>
      </w:pPr>
      <w:hyperlink w:anchor="_Toc311539239" w:history="1">
        <w:r w:rsidR="00CE0D0B" w:rsidRPr="000F29D1">
          <w:rPr>
            <w:rStyle w:val="Hyperlink"/>
          </w:rPr>
          <w:t>Carry-over Items</w:t>
        </w:r>
        <w:r w:rsidR="00CE0D0B">
          <w:rPr>
            <w:noProof/>
            <w:webHidden/>
          </w:rPr>
          <w:tab/>
          <w:t>E</w:t>
        </w:r>
        <w:r w:rsidR="00CE0D0B">
          <w:rPr>
            <w:noProof/>
            <w:webHidden/>
          </w:rPr>
          <w:fldChar w:fldCharType="begin"/>
        </w:r>
        <w:r w:rsidR="00CE0D0B">
          <w:rPr>
            <w:noProof/>
            <w:webHidden/>
          </w:rPr>
          <w:instrText xml:space="preserve"> PAGEREF _Toc311539239 \h </w:instrText>
        </w:r>
        <w:r w:rsidR="00CE0D0B">
          <w:rPr>
            <w:noProof/>
            <w:webHidden/>
          </w:rPr>
        </w:r>
        <w:r w:rsidR="00CE0D0B">
          <w:rPr>
            <w:noProof/>
            <w:webHidden/>
          </w:rPr>
          <w:fldChar w:fldCharType="separate"/>
        </w:r>
        <w:r w:rsidR="00C83B0B">
          <w:rPr>
            <w:noProof/>
            <w:webHidden/>
          </w:rPr>
          <w:t>3</w:t>
        </w:r>
        <w:r w:rsidR="00CE0D0B">
          <w:rPr>
            <w:noProof/>
            <w:webHidden/>
          </w:rPr>
          <w:fldChar w:fldCharType="end"/>
        </w:r>
      </w:hyperlink>
    </w:p>
    <w:p w:rsidR="00CE0D0B" w:rsidRDefault="00FC7A3B">
      <w:pPr>
        <w:pStyle w:val="TOC2"/>
        <w:rPr>
          <w:rFonts w:asciiTheme="minorHAnsi" w:hAnsiTheme="minorHAnsi"/>
          <w:noProof/>
          <w:color w:val="auto"/>
          <w:sz w:val="22"/>
          <w:lang w:eastAsia="en-US"/>
        </w:rPr>
      </w:pPr>
      <w:hyperlink w:anchor="_Toc311539240" w:history="1">
        <w:r w:rsidR="00CE0D0B" w:rsidRPr="000F29D1">
          <w:rPr>
            <w:rStyle w:val="Hyperlink"/>
          </w:rPr>
          <w:t>1.</w:t>
        </w:r>
        <w:r w:rsidR="00CE0D0B">
          <w:rPr>
            <w:rFonts w:asciiTheme="minorHAnsi" w:hAnsiTheme="minorHAnsi"/>
            <w:noProof/>
            <w:color w:val="auto"/>
            <w:sz w:val="22"/>
            <w:lang w:eastAsia="en-US"/>
          </w:rPr>
          <w:tab/>
        </w:r>
        <w:r w:rsidR="00CE0D0B" w:rsidRPr="000F29D1">
          <w:rPr>
            <w:rStyle w:val="Hyperlink"/>
          </w:rPr>
          <w:t>Recommended Changes to NCWM Publication 14</w:t>
        </w:r>
        <w:r w:rsidR="00CE0D0B">
          <w:rPr>
            <w:noProof/>
            <w:webHidden/>
          </w:rPr>
          <w:tab/>
          <w:t>E</w:t>
        </w:r>
        <w:r w:rsidR="00CE0D0B">
          <w:rPr>
            <w:noProof/>
            <w:webHidden/>
          </w:rPr>
          <w:fldChar w:fldCharType="begin"/>
        </w:r>
        <w:r w:rsidR="00CE0D0B">
          <w:rPr>
            <w:noProof/>
            <w:webHidden/>
          </w:rPr>
          <w:instrText xml:space="preserve"> PAGEREF _Toc311539240 \h </w:instrText>
        </w:r>
        <w:r w:rsidR="00CE0D0B">
          <w:rPr>
            <w:noProof/>
            <w:webHidden/>
          </w:rPr>
        </w:r>
        <w:r w:rsidR="00CE0D0B">
          <w:rPr>
            <w:noProof/>
            <w:webHidden/>
          </w:rPr>
          <w:fldChar w:fldCharType="separate"/>
        </w:r>
        <w:r w:rsidR="00C83B0B">
          <w:rPr>
            <w:noProof/>
            <w:webHidden/>
          </w:rPr>
          <w:t>3</w:t>
        </w:r>
        <w:r w:rsidR="00CE0D0B">
          <w:rPr>
            <w:noProof/>
            <w:webHidden/>
          </w:rPr>
          <w:fldChar w:fldCharType="end"/>
        </w:r>
      </w:hyperlink>
    </w:p>
    <w:p w:rsidR="00CE0D0B" w:rsidRDefault="00FC7A3B" w:rsidP="00CE0D0B">
      <w:pPr>
        <w:pStyle w:val="TOC3"/>
        <w:rPr>
          <w:rFonts w:asciiTheme="minorHAnsi" w:eastAsiaTheme="minorEastAsia" w:hAnsiTheme="minorHAnsi" w:cstheme="minorBidi"/>
          <w:sz w:val="22"/>
          <w:lang w:eastAsia="en-US"/>
        </w:rPr>
      </w:pPr>
      <w:hyperlink w:anchor="_Toc311539241" w:history="1">
        <w:r w:rsidR="00CE0D0B" w:rsidRPr="000F29D1">
          <w:rPr>
            <w:rStyle w:val="Hyperlink"/>
          </w:rPr>
          <w:t>1.a.</w:t>
        </w:r>
        <w:r w:rsidR="00CE0D0B">
          <w:rPr>
            <w:rFonts w:asciiTheme="minorHAnsi" w:eastAsiaTheme="minorEastAsia" w:hAnsiTheme="minorHAnsi" w:cstheme="minorBidi"/>
            <w:sz w:val="22"/>
            <w:lang w:eastAsia="en-US"/>
          </w:rPr>
          <w:tab/>
        </w:r>
        <w:r w:rsidR="00CE0D0B" w:rsidRPr="000F29D1">
          <w:rPr>
            <w:rStyle w:val="Hyperlink"/>
          </w:rPr>
          <w:t>Item 310-1:</w:t>
        </w:r>
        <w:r w:rsidR="009165F9">
          <w:rPr>
            <w:rStyle w:val="Hyperlink"/>
          </w:rPr>
          <w:t xml:space="preserve"> </w:t>
        </w:r>
        <w:r w:rsidR="00CE0D0B" w:rsidRPr="000F29D1">
          <w:rPr>
            <w:rStyle w:val="Hyperlink"/>
          </w:rPr>
          <w:t xml:space="preserve"> </w:t>
        </w:r>
        <w:r w:rsidR="00CE0D0B" w:rsidRPr="009165F9">
          <w:rPr>
            <w:rStyle w:val="Hyperlink"/>
          </w:rPr>
          <w:t>NIST Handbook 44</w:t>
        </w:r>
        <w:r w:rsidR="00CE0D0B" w:rsidRPr="000F29D1">
          <w:rPr>
            <w:rStyle w:val="Hyperlink"/>
          </w:rPr>
          <w:t xml:space="preserve"> G-S.8. Provisions for Sealing Adjustable Components</w:t>
        </w:r>
        <w:r w:rsidR="00CE0D0B">
          <w:rPr>
            <w:webHidden/>
          </w:rPr>
          <w:tab/>
          <w:t>E</w:t>
        </w:r>
        <w:r w:rsidR="00CE0D0B">
          <w:rPr>
            <w:webHidden/>
          </w:rPr>
          <w:fldChar w:fldCharType="begin"/>
        </w:r>
        <w:r w:rsidR="00CE0D0B">
          <w:rPr>
            <w:webHidden/>
          </w:rPr>
          <w:instrText xml:space="preserve"> PAGEREF _Toc311539241 \h </w:instrText>
        </w:r>
        <w:r w:rsidR="00CE0D0B">
          <w:rPr>
            <w:webHidden/>
          </w:rPr>
        </w:r>
        <w:r w:rsidR="00CE0D0B">
          <w:rPr>
            <w:webHidden/>
          </w:rPr>
          <w:fldChar w:fldCharType="separate"/>
        </w:r>
        <w:r w:rsidR="00C83B0B">
          <w:rPr>
            <w:webHidden/>
          </w:rPr>
          <w:t>3</w:t>
        </w:r>
        <w:r w:rsidR="00CE0D0B">
          <w:rPr>
            <w:webHidden/>
          </w:rPr>
          <w:fldChar w:fldCharType="end"/>
        </w:r>
      </w:hyperlink>
    </w:p>
    <w:p w:rsidR="00CE0D0B" w:rsidRDefault="00FC7A3B" w:rsidP="00CE0D0B">
      <w:pPr>
        <w:pStyle w:val="TOC3"/>
        <w:rPr>
          <w:rFonts w:asciiTheme="minorHAnsi" w:eastAsiaTheme="minorEastAsia" w:hAnsiTheme="minorHAnsi" w:cstheme="minorBidi"/>
          <w:sz w:val="22"/>
          <w:lang w:eastAsia="en-US"/>
        </w:rPr>
      </w:pPr>
      <w:hyperlink w:anchor="_Toc311539242" w:history="1">
        <w:r w:rsidR="00CE0D0B" w:rsidRPr="000F29D1">
          <w:rPr>
            <w:rStyle w:val="Hyperlink"/>
          </w:rPr>
          <w:t>1.b.</w:t>
        </w:r>
        <w:r w:rsidR="00CE0D0B">
          <w:rPr>
            <w:rFonts w:asciiTheme="minorHAnsi" w:eastAsiaTheme="minorEastAsia" w:hAnsiTheme="minorHAnsi" w:cstheme="minorBidi"/>
            <w:sz w:val="22"/>
            <w:lang w:eastAsia="en-US"/>
          </w:rPr>
          <w:tab/>
        </w:r>
        <w:r w:rsidR="00CE0D0B" w:rsidRPr="000F29D1">
          <w:rPr>
            <w:rStyle w:val="Hyperlink"/>
          </w:rPr>
          <w:t xml:space="preserve">Item 320-1: </w:t>
        </w:r>
        <w:r w:rsidR="009165F9">
          <w:rPr>
            <w:rStyle w:val="Hyperlink"/>
          </w:rPr>
          <w:t xml:space="preserve"> </w:t>
        </w:r>
        <w:r w:rsidR="00CE0D0B" w:rsidRPr="009165F9">
          <w:rPr>
            <w:rStyle w:val="Hyperlink"/>
          </w:rPr>
          <w:t xml:space="preserve">NIST Handbook 44 </w:t>
        </w:r>
        <w:r w:rsidR="00CE0D0B" w:rsidRPr="000F29D1">
          <w:rPr>
            <w:rStyle w:val="Hyperlink"/>
          </w:rPr>
          <w:t>Scales Code - T.N.4.5.1. Creep and Creep Recovery Requirements for Class III Scales with n &gt; 4000 divisions.</w:t>
        </w:r>
        <w:r w:rsidR="00CE0D0B">
          <w:rPr>
            <w:webHidden/>
          </w:rPr>
          <w:tab/>
          <w:t>E</w:t>
        </w:r>
        <w:r w:rsidR="00CE0D0B">
          <w:rPr>
            <w:webHidden/>
          </w:rPr>
          <w:fldChar w:fldCharType="begin"/>
        </w:r>
        <w:r w:rsidR="00CE0D0B">
          <w:rPr>
            <w:webHidden/>
          </w:rPr>
          <w:instrText xml:space="preserve"> PAGEREF _Toc311539242 \h </w:instrText>
        </w:r>
        <w:r w:rsidR="00CE0D0B">
          <w:rPr>
            <w:webHidden/>
          </w:rPr>
        </w:r>
        <w:r w:rsidR="00CE0D0B">
          <w:rPr>
            <w:webHidden/>
          </w:rPr>
          <w:fldChar w:fldCharType="separate"/>
        </w:r>
        <w:r w:rsidR="00C83B0B">
          <w:rPr>
            <w:webHidden/>
          </w:rPr>
          <w:t>4</w:t>
        </w:r>
        <w:r w:rsidR="00CE0D0B">
          <w:rPr>
            <w:webHidden/>
          </w:rPr>
          <w:fldChar w:fldCharType="end"/>
        </w:r>
      </w:hyperlink>
    </w:p>
    <w:p w:rsidR="00CE0D0B" w:rsidRDefault="00FC7A3B" w:rsidP="00CE0D0B">
      <w:pPr>
        <w:pStyle w:val="TOC3"/>
        <w:rPr>
          <w:rFonts w:asciiTheme="minorHAnsi" w:eastAsiaTheme="minorEastAsia" w:hAnsiTheme="minorHAnsi" w:cstheme="minorBidi"/>
          <w:sz w:val="22"/>
          <w:lang w:eastAsia="en-US"/>
        </w:rPr>
      </w:pPr>
      <w:hyperlink w:anchor="_Toc311539243" w:history="1">
        <w:r w:rsidR="00CE0D0B" w:rsidRPr="000F29D1">
          <w:rPr>
            <w:rStyle w:val="Hyperlink"/>
          </w:rPr>
          <w:t>1.c.</w:t>
        </w:r>
        <w:r w:rsidR="00CE0D0B">
          <w:rPr>
            <w:rFonts w:asciiTheme="minorHAnsi" w:eastAsiaTheme="minorEastAsia" w:hAnsiTheme="minorHAnsi" w:cstheme="minorBidi"/>
            <w:sz w:val="22"/>
            <w:lang w:eastAsia="en-US"/>
          </w:rPr>
          <w:tab/>
        </w:r>
        <w:r w:rsidR="00CE0D0B" w:rsidRPr="000F29D1">
          <w:rPr>
            <w:rStyle w:val="Hyperlink"/>
          </w:rPr>
          <w:t xml:space="preserve">Item 320-2: </w:t>
        </w:r>
        <w:r w:rsidR="009165F9">
          <w:rPr>
            <w:rStyle w:val="Hyperlink"/>
          </w:rPr>
          <w:t xml:space="preserve"> </w:t>
        </w:r>
        <w:r w:rsidR="00CE0D0B" w:rsidRPr="009165F9">
          <w:rPr>
            <w:rStyle w:val="Hyperlink"/>
          </w:rPr>
          <w:t>NIST Handbook 44</w:t>
        </w:r>
        <w:r w:rsidR="00CE0D0B" w:rsidRPr="000F29D1">
          <w:rPr>
            <w:rStyle w:val="Hyperlink"/>
          </w:rPr>
          <w:t xml:space="preserve"> Scales Code – T.N.4.7. Amend Creep Recovery Tolerances </w:t>
        </w:r>
        <w:r w:rsidR="00CE0D0B">
          <w:rPr>
            <w:rStyle w:val="Hyperlink"/>
          </w:rPr>
          <w:br/>
        </w:r>
        <w:r w:rsidR="00CE0D0B" w:rsidRPr="000F29D1">
          <w:rPr>
            <w:rStyle w:val="Hyperlink"/>
          </w:rPr>
          <w:t>for Class III L Load Cells</w:t>
        </w:r>
        <w:r w:rsidR="00CE0D0B">
          <w:rPr>
            <w:webHidden/>
          </w:rPr>
          <w:tab/>
          <w:t>E</w:t>
        </w:r>
        <w:r w:rsidR="00CE0D0B">
          <w:rPr>
            <w:webHidden/>
          </w:rPr>
          <w:fldChar w:fldCharType="begin"/>
        </w:r>
        <w:r w:rsidR="00CE0D0B">
          <w:rPr>
            <w:webHidden/>
          </w:rPr>
          <w:instrText xml:space="preserve"> PAGEREF _Toc311539243 \h </w:instrText>
        </w:r>
        <w:r w:rsidR="00CE0D0B">
          <w:rPr>
            <w:webHidden/>
          </w:rPr>
        </w:r>
        <w:r w:rsidR="00CE0D0B">
          <w:rPr>
            <w:webHidden/>
          </w:rPr>
          <w:fldChar w:fldCharType="separate"/>
        </w:r>
        <w:r w:rsidR="00C83B0B">
          <w:rPr>
            <w:webHidden/>
          </w:rPr>
          <w:t>5</w:t>
        </w:r>
        <w:r w:rsidR="00CE0D0B">
          <w:rPr>
            <w:webHidden/>
          </w:rPr>
          <w:fldChar w:fldCharType="end"/>
        </w:r>
      </w:hyperlink>
    </w:p>
    <w:p w:rsidR="00CE0D0B" w:rsidRDefault="00FC7A3B">
      <w:pPr>
        <w:pStyle w:val="TOC2"/>
        <w:rPr>
          <w:rFonts w:asciiTheme="minorHAnsi" w:hAnsiTheme="minorHAnsi"/>
          <w:noProof/>
          <w:color w:val="auto"/>
          <w:sz w:val="22"/>
          <w:lang w:eastAsia="en-US"/>
        </w:rPr>
      </w:pPr>
      <w:hyperlink w:anchor="_Toc311539244" w:history="1">
        <w:r w:rsidR="00CE0D0B" w:rsidRPr="000F29D1">
          <w:rPr>
            <w:rStyle w:val="Hyperlink"/>
          </w:rPr>
          <w:t>2.</w:t>
        </w:r>
        <w:r w:rsidR="00CE0D0B">
          <w:rPr>
            <w:rFonts w:asciiTheme="minorHAnsi" w:hAnsiTheme="minorHAnsi"/>
            <w:noProof/>
            <w:color w:val="auto"/>
            <w:sz w:val="22"/>
            <w:lang w:eastAsia="en-US"/>
          </w:rPr>
          <w:tab/>
        </w:r>
        <w:r w:rsidR="00CE0D0B" w:rsidRPr="000F29D1">
          <w:rPr>
            <w:rStyle w:val="Hyperlink"/>
          </w:rPr>
          <w:t xml:space="preserve">DES Section 42. Zero-Load and Tare Adjustment – Monorail </w:t>
        </w:r>
        <w:r w:rsidR="00CE0D0B">
          <w:rPr>
            <w:rStyle w:val="Hyperlink"/>
          </w:rPr>
          <w:t>Scales Rounding of Intermediate</w:t>
        </w:r>
        <w:r w:rsidR="00CE0D0B">
          <w:rPr>
            <w:rStyle w:val="Hyperlink"/>
          </w:rPr>
          <w:br/>
        </w:r>
        <w:r w:rsidR="00CE0D0B" w:rsidRPr="000F29D1">
          <w:rPr>
            <w:rStyle w:val="Hyperlink"/>
          </w:rPr>
          <w:t>Values in an Equation</w:t>
        </w:r>
        <w:r w:rsidR="00CE0D0B">
          <w:rPr>
            <w:noProof/>
            <w:webHidden/>
          </w:rPr>
          <w:tab/>
          <w:t>E</w:t>
        </w:r>
        <w:r w:rsidR="00CE0D0B">
          <w:rPr>
            <w:noProof/>
            <w:webHidden/>
          </w:rPr>
          <w:fldChar w:fldCharType="begin"/>
        </w:r>
        <w:r w:rsidR="00CE0D0B">
          <w:rPr>
            <w:noProof/>
            <w:webHidden/>
          </w:rPr>
          <w:instrText xml:space="preserve"> PAGEREF _Toc311539244 \h </w:instrText>
        </w:r>
        <w:r w:rsidR="00CE0D0B">
          <w:rPr>
            <w:noProof/>
            <w:webHidden/>
          </w:rPr>
        </w:r>
        <w:r w:rsidR="00CE0D0B">
          <w:rPr>
            <w:noProof/>
            <w:webHidden/>
          </w:rPr>
          <w:fldChar w:fldCharType="separate"/>
        </w:r>
        <w:r w:rsidR="00C83B0B">
          <w:rPr>
            <w:noProof/>
            <w:webHidden/>
          </w:rPr>
          <w:t>6</w:t>
        </w:r>
        <w:r w:rsidR="00CE0D0B">
          <w:rPr>
            <w:noProof/>
            <w:webHidden/>
          </w:rPr>
          <w:fldChar w:fldCharType="end"/>
        </w:r>
      </w:hyperlink>
    </w:p>
    <w:p w:rsidR="00CE0D0B" w:rsidRDefault="00FC7A3B">
      <w:pPr>
        <w:pStyle w:val="TOC2"/>
        <w:rPr>
          <w:rFonts w:asciiTheme="minorHAnsi" w:hAnsiTheme="minorHAnsi"/>
          <w:noProof/>
          <w:color w:val="auto"/>
          <w:sz w:val="22"/>
          <w:lang w:eastAsia="en-US"/>
        </w:rPr>
      </w:pPr>
      <w:hyperlink w:anchor="_Toc311539245" w:history="1">
        <w:r w:rsidR="00CE0D0B" w:rsidRPr="000F29D1">
          <w:rPr>
            <w:rStyle w:val="Hyperlink"/>
          </w:rPr>
          <w:t>3.</w:t>
        </w:r>
        <w:r w:rsidR="00CE0D0B">
          <w:rPr>
            <w:rFonts w:asciiTheme="minorHAnsi" w:hAnsiTheme="minorHAnsi"/>
            <w:noProof/>
            <w:color w:val="auto"/>
            <w:sz w:val="22"/>
            <w:lang w:eastAsia="en-US"/>
          </w:rPr>
          <w:tab/>
        </w:r>
        <w:r w:rsidR="00CE0D0B" w:rsidRPr="000F29D1">
          <w:rPr>
            <w:rStyle w:val="Hyperlink"/>
          </w:rPr>
          <w:t xml:space="preserve">Acceptable Symbols/Abbreviations to Display the Certificate of Conformance (CC) Number </w:t>
        </w:r>
        <w:r w:rsidR="00967910">
          <w:rPr>
            <w:rStyle w:val="Hyperlink"/>
          </w:rPr>
          <w:t>v</w:t>
        </w:r>
        <w:r w:rsidR="00967910" w:rsidRPr="000F29D1">
          <w:rPr>
            <w:rStyle w:val="Hyperlink"/>
          </w:rPr>
          <w:t>ia</w:t>
        </w:r>
        <w:r w:rsidR="009165F9">
          <w:rPr>
            <w:rStyle w:val="Hyperlink"/>
          </w:rPr>
          <w:t xml:space="preserve"> </w:t>
        </w:r>
        <w:r w:rsidR="00CE0D0B" w:rsidRPr="000F29D1">
          <w:rPr>
            <w:rStyle w:val="Hyperlink"/>
          </w:rPr>
          <w:t>a Device’s User Interface</w:t>
        </w:r>
        <w:r w:rsidR="00CE0D0B">
          <w:rPr>
            <w:noProof/>
            <w:webHidden/>
          </w:rPr>
          <w:tab/>
          <w:t>E</w:t>
        </w:r>
        <w:r w:rsidR="00CE0D0B">
          <w:rPr>
            <w:noProof/>
            <w:webHidden/>
          </w:rPr>
          <w:fldChar w:fldCharType="begin"/>
        </w:r>
        <w:r w:rsidR="00CE0D0B">
          <w:rPr>
            <w:noProof/>
            <w:webHidden/>
          </w:rPr>
          <w:instrText xml:space="preserve"> PAGEREF _Toc311539245 \h </w:instrText>
        </w:r>
        <w:r w:rsidR="00CE0D0B">
          <w:rPr>
            <w:noProof/>
            <w:webHidden/>
          </w:rPr>
        </w:r>
        <w:r w:rsidR="00CE0D0B">
          <w:rPr>
            <w:noProof/>
            <w:webHidden/>
          </w:rPr>
          <w:fldChar w:fldCharType="separate"/>
        </w:r>
        <w:r w:rsidR="00C83B0B">
          <w:rPr>
            <w:noProof/>
            <w:webHidden/>
          </w:rPr>
          <w:t>7</w:t>
        </w:r>
        <w:r w:rsidR="00CE0D0B">
          <w:rPr>
            <w:noProof/>
            <w:webHidden/>
          </w:rPr>
          <w:fldChar w:fldCharType="end"/>
        </w:r>
      </w:hyperlink>
    </w:p>
    <w:p w:rsidR="00CE0D0B" w:rsidRDefault="00B13403">
      <w:pPr>
        <w:pStyle w:val="TOC1"/>
        <w:rPr>
          <w:rFonts w:asciiTheme="minorHAnsi" w:hAnsiTheme="minorHAnsi"/>
          <w:b w:val="0"/>
          <w:caps w:val="0"/>
          <w:noProof/>
          <w:color w:val="auto"/>
          <w:sz w:val="22"/>
          <w:lang w:eastAsia="en-US"/>
        </w:rPr>
      </w:pPr>
      <w:hyperlink w:anchor="_Toc311539246" w:history="1">
        <w:r w:rsidR="00CE0D0B" w:rsidRPr="000F29D1">
          <w:rPr>
            <w:rStyle w:val="Hyperlink"/>
          </w:rPr>
          <w:t>New Items</w:t>
        </w:r>
        <w:r w:rsidR="00CE0D0B">
          <w:rPr>
            <w:noProof/>
            <w:webHidden/>
          </w:rPr>
          <w:tab/>
          <w:t>E</w:t>
        </w:r>
        <w:r w:rsidR="00CE0D0B">
          <w:rPr>
            <w:noProof/>
            <w:webHidden/>
          </w:rPr>
          <w:fldChar w:fldCharType="begin"/>
        </w:r>
        <w:r w:rsidR="00CE0D0B">
          <w:rPr>
            <w:noProof/>
            <w:webHidden/>
          </w:rPr>
          <w:instrText xml:space="preserve"> PAGEREF _Toc311539246 \h </w:instrText>
        </w:r>
        <w:r w:rsidR="00CE0D0B">
          <w:rPr>
            <w:noProof/>
            <w:webHidden/>
          </w:rPr>
        </w:r>
        <w:r w:rsidR="00CE0D0B">
          <w:rPr>
            <w:noProof/>
            <w:webHidden/>
          </w:rPr>
          <w:fldChar w:fldCharType="separate"/>
        </w:r>
        <w:r w:rsidR="00C83B0B">
          <w:rPr>
            <w:noProof/>
            <w:webHidden/>
          </w:rPr>
          <w:t>8</w:t>
        </w:r>
        <w:r w:rsidR="00CE0D0B">
          <w:rPr>
            <w:noProof/>
            <w:webHidden/>
          </w:rPr>
          <w:fldChar w:fldCharType="end"/>
        </w:r>
      </w:hyperlink>
    </w:p>
    <w:p w:rsidR="00CE0D0B" w:rsidRDefault="00FC7A3B">
      <w:pPr>
        <w:pStyle w:val="TOC2"/>
        <w:rPr>
          <w:rFonts w:asciiTheme="minorHAnsi" w:hAnsiTheme="minorHAnsi"/>
          <w:noProof/>
          <w:color w:val="auto"/>
          <w:sz w:val="22"/>
          <w:lang w:eastAsia="en-US"/>
        </w:rPr>
      </w:pPr>
      <w:hyperlink w:anchor="_Toc311539247" w:history="1">
        <w:r w:rsidR="00CE0D0B" w:rsidRPr="000F29D1">
          <w:rPr>
            <w:rStyle w:val="Hyperlink"/>
          </w:rPr>
          <w:t>4.</w:t>
        </w:r>
        <w:r w:rsidR="00CE0D0B">
          <w:rPr>
            <w:rFonts w:asciiTheme="minorHAnsi" w:hAnsiTheme="minorHAnsi"/>
            <w:noProof/>
            <w:color w:val="auto"/>
            <w:sz w:val="22"/>
            <w:lang w:eastAsia="en-US"/>
          </w:rPr>
          <w:tab/>
        </w:r>
        <w:r w:rsidR="00CE0D0B" w:rsidRPr="000F29D1">
          <w:rPr>
            <w:rStyle w:val="Hyperlink"/>
          </w:rPr>
          <w:t>DES Section 63.4. Out-of-Level Tests (if applicable)</w:t>
        </w:r>
        <w:r w:rsidR="00CE0D0B">
          <w:rPr>
            <w:noProof/>
            <w:webHidden/>
          </w:rPr>
          <w:tab/>
          <w:t>E</w:t>
        </w:r>
        <w:r w:rsidR="00CE0D0B">
          <w:rPr>
            <w:noProof/>
            <w:webHidden/>
          </w:rPr>
          <w:fldChar w:fldCharType="begin"/>
        </w:r>
        <w:r w:rsidR="00CE0D0B">
          <w:rPr>
            <w:noProof/>
            <w:webHidden/>
          </w:rPr>
          <w:instrText xml:space="preserve"> PAGEREF _Toc311539247 \h </w:instrText>
        </w:r>
        <w:r w:rsidR="00CE0D0B">
          <w:rPr>
            <w:noProof/>
            <w:webHidden/>
          </w:rPr>
        </w:r>
        <w:r w:rsidR="00CE0D0B">
          <w:rPr>
            <w:noProof/>
            <w:webHidden/>
          </w:rPr>
          <w:fldChar w:fldCharType="separate"/>
        </w:r>
        <w:r w:rsidR="00C83B0B">
          <w:rPr>
            <w:noProof/>
            <w:webHidden/>
          </w:rPr>
          <w:t>8</w:t>
        </w:r>
        <w:r w:rsidR="00CE0D0B">
          <w:rPr>
            <w:noProof/>
            <w:webHidden/>
          </w:rPr>
          <w:fldChar w:fldCharType="end"/>
        </w:r>
      </w:hyperlink>
    </w:p>
    <w:p w:rsidR="00CE0D0B" w:rsidRDefault="00FC7A3B">
      <w:pPr>
        <w:pStyle w:val="TOC2"/>
        <w:rPr>
          <w:rFonts w:asciiTheme="minorHAnsi" w:hAnsiTheme="minorHAnsi"/>
          <w:noProof/>
          <w:color w:val="auto"/>
          <w:sz w:val="22"/>
          <w:lang w:eastAsia="en-US"/>
        </w:rPr>
      </w:pPr>
      <w:hyperlink w:anchor="_Toc311539248" w:history="1">
        <w:r w:rsidR="00CE0D0B" w:rsidRPr="000F29D1">
          <w:rPr>
            <w:rStyle w:val="Hyperlink"/>
          </w:rPr>
          <w:t>5.</w:t>
        </w:r>
        <w:bookmarkStart w:id="12" w:name="_GoBack"/>
        <w:bookmarkEnd w:id="12"/>
        <w:r w:rsidR="00CE0D0B">
          <w:rPr>
            <w:rFonts w:asciiTheme="minorHAnsi" w:hAnsiTheme="minorHAnsi"/>
            <w:noProof/>
            <w:color w:val="auto"/>
            <w:sz w:val="22"/>
            <w:lang w:eastAsia="en-US"/>
          </w:rPr>
          <w:tab/>
        </w:r>
        <w:r w:rsidR="00CE0D0B" w:rsidRPr="000F29D1">
          <w:rPr>
            <w:rStyle w:val="Hyperlink"/>
          </w:rPr>
          <w:t>DES Section 31. Multi-Interval Scales</w:t>
        </w:r>
        <w:r w:rsidR="00CE0D0B">
          <w:rPr>
            <w:noProof/>
            <w:webHidden/>
          </w:rPr>
          <w:tab/>
          <w:t>E</w:t>
        </w:r>
        <w:r w:rsidR="00CE0D0B">
          <w:rPr>
            <w:noProof/>
            <w:webHidden/>
          </w:rPr>
          <w:fldChar w:fldCharType="begin"/>
        </w:r>
        <w:r w:rsidR="00CE0D0B">
          <w:rPr>
            <w:noProof/>
            <w:webHidden/>
          </w:rPr>
          <w:instrText xml:space="preserve"> PAGEREF _Toc311539248 \h </w:instrText>
        </w:r>
        <w:r w:rsidR="00CE0D0B">
          <w:rPr>
            <w:noProof/>
            <w:webHidden/>
          </w:rPr>
        </w:r>
        <w:r w:rsidR="00CE0D0B">
          <w:rPr>
            <w:noProof/>
            <w:webHidden/>
          </w:rPr>
          <w:fldChar w:fldCharType="separate"/>
        </w:r>
        <w:r w:rsidR="00C83B0B">
          <w:rPr>
            <w:noProof/>
            <w:webHidden/>
          </w:rPr>
          <w:t>11</w:t>
        </w:r>
        <w:r w:rsidR="00CE0D0B">
          <w:rPr>
            <w:noProof/>
            <w:webHidden/>
          </w:rPr>
          <w:fldChar w:fldCharType="end"/>
        </w:r>
      </w:hyperlink>
    </w:p>
    <w:p w:rsidR="00CE0D0B" w:rsidRDefault="00FC7A3B">
      <w:pPr>
        <w:pStyle w:val="TOC2"/>
        <w:rPr>
          <w:rFonts w:asciiTheme="minorHAnsi" w:hAnsiTheme="minorHAnsi"/>
          <w:noProof/>
          <w:color w:val="auto"/>
          <w:sz w:val="22"/>
          <w:lang w:eastAsia="en-US"/>
        </w:rPr>
      </w:pPr>
      <w:hyperlink w:anchor="_Toc311539249" w:history="1">
        <w:r w:rsidR="00CE0D0B" w:rsidRPr="000F29D1">
          <w:rPr>
            <w:rStyle w:val="Hyperlink"/>
          </w:rPr>
          <w:t>6.</w:t>
        </w:r>
        <w:r w:rsidR="00CE0D0B">
          <w:rPr>
            <w:rFonts w:asciiTheme="minorHAnsi" w:hAnsiTheme="minorHAnsi"/>
            <w:noProof/>
            <w:color w:val="auto"/>
            <w:sz w:val="22"/>
            <w:lang w:eastAsia="en-US"/>
          </w:rPr>
          <w:tab/>
        </w:r>
        <w:r w:rsidR="00CE0D0B" w:rsidRPr="000F29D1">
          <w:rPr>
            <w:rStyle w:val="Hyperlink"/>
          </w:rPr>
          <w:t xml:space="preserve">DES Section 70. - Performance and Permanence Tests for Railway Track Scales Used to </w:t>
        </w:r>
        <w:r w:rsidR="00CE0D0B">
          <w:rPr>
            <w:rStyle w:val="Hyperlink"/>
          </w:rPr>
          <w:br/>
        </w:r>
        <w:r w:rsidR="00CE0D0B" w:rsidRPr="000F29D1">
          <w:rPr>
            <w:rStyle w:val="Hyperlink"/>
          </w:rPr>
          <w:t>Weigh In-Motion</w:t>
        </w:r>
        <w:r w:rsidR="00CE0D0B">
          <w:rPr>
            <w:noProof/>
            <w:webHidden/>
          </w:rPr>
          <w:tab/>
          <w:t>E</w:t>
        </w:r>
        <w:r w:rsidR="00CE0D0B">
          <w:rPr>
            <w:noProof/>
            <w:webHidden/>
          </w:rPr>
          <w:fldChar w:fldCharType="begin"/>
        </w:r>
        <w:r w:rsidR="00CE0D0B">
          <w:rPr>
            <w:noProof/>
            <w:webHidden/>
          </w:rPr>
          <w:instrText xml:space="preserve"> PAGEREF _Toc311539249 \h </w:instrText>
        </w:r>
        <w:r w:rsidR="00CE0D0B">
          <w:rPr>
            <w:noProof/>
            <w:webHidden/>
          </w:rPr>
        </w:r>
        <w:r w:rsidR="00CE0D0B">
          <w:rPr>
            <w:noProof/>
            <w:webHidden/>
          </w:rPr>
          <w:fldChar w:fldCharType="separate"/>
        </w:r>
        <w:r w:rsidR="00C83B0B">
          <w:rPr>
            <w:noProof/>
            <w:webHidden/>
          </w:rPr>
          <w:t>13</w:t>
        </w:r>
        <w:r w:rsidR="00CE0D0B">
          <w:rPr>
            <w:noProof/>
            <w:webHidden/>
          </w:rPr>
          <w:fldChar w:fldCharType="end"/>
        </w:r>
      </w:hyperlink>
    </w:p>
    <w:p w:rsidR="00CE0D0B" w:rsidRDefault="00FC7A3B">
      <w:pPr>
        <w:pStyle w:val="TOC2"/>
        <w:rPr>
          <w:rFonts w:asciiTheme="minorHAnsi" w:hAnsiTheme="minorHAnsi"/>
          <w:noProof/>
          <w:color w:val="auto"/>
          <w:sz w:val="22"/>
          <w:lang w:eastAsia="en-US"/>
        </w:rPr>
      </w:pPr>
      <w:hyperlink w:anchor="_Toc311539250" w:history="1">
        <w:r w:rsidR="00CE0D0B" w:rsidRPr="000F29D1">
          <w:rPr>
            <w:rStyle w:val="Hyperlink"/>
          </w:rPr>
          <w:t>7.</w:t>
        </w:r>
        <w:r w:rsidR="00CE0D0B">
          <w:rPr>
            <w:rFonts w:asciiTheme="minorHAnsi" w:hAnsiTheme="minorHAnsi"/>
            <w:noProof/>
            <w:color w:val="auto"/>
            <w:sz w:val="22"/>
            <w:lang w:eastAsia="en-US"/>
          </w:rPr>
          <w:tab/>
        </w:r>
        <w:r w:rsidR="00CE0D0B" w:rsidRPr="000F29D1">
          <w:rPr>
            <w:rStyle w:val="Hyperlink"/>
          </w:rPr>
          <w:t>DES Section 57. Device Tolerances</w:t>
        </w:r>
        <w:r w:rsidR="00CE0D0B">
          <w:rPr>
            <w:noProof/>
            <w:webHidden/>
          </w:rPr>
          <w:tab/>
          <w:t>E</w:t>
        </w:r>
        <w:r w:rsidR="00CE0D0B">
          <w:rPr>
            <w:noProof/>
            <w:webHidden/>
          </w:rPr>
          <w:fldChar w:fldCharType="begin"/>
        </w:r>
        <w:r w:rsidR="00CE0D0B">
          <w:rPr>
            <w:noProof/>
            <w:webHidden/>
          </w:rPr>
          <w:instrText xml:space="preserve"> PAGEREF _Toc311539250 \h </w:instrText>
        </w:r>
        <w:r w:rsidR="00CE0D0B">
          <w:rPr>
            <w:noProof/>
            <w:webHidden/>
          </w:rPr>
        </w:r>
        <w:r w:rsidR="00CE0D0B">
          <w:rPr>
            <w:noProof/>
            <w:webHidden/>
          </w:rPr>
          <w:fldChar w:fldCharType="separate"/>
        </w:r>
        <w:r w:rsidR="00C83B0B">
          <w:rPr>
            <w:noProof/>
            <w:webHidden/>
          </w:rPr>
          <w:t>15</w:t>
        </w:r>
        <w:r w:rsidR="00CE0D0B">
          <w:rPr>
            <w:noProof/>
            <w:webHidden/>
          </w:rPr>
          <w:fldChar w:fldCharType="end"/>
        </w:r>
      </w:hyperlink>
    </w:p>
    <w:p w:rsidR="00CE0D0B" w:rsidRDefault="00FC7A3B">
      <w:pPr>
        <w:pStyle w:val="TOC2"/>
        <w:rPr>
          <w:rFonts w:asciiTheme="minorHAnsi" w:hAnsiTheme="minorHAnsi"/>
          <w:noProof/>
          <w:color w:val="auto"/>
          <w:sz w:val="22"/>
          <w:lang w:eastAsia="en-US"/>
        </w:rPr>
      </w:pPr>
      <w:hyperlink w:anchor="_Toc311539251" w:history="1">
        <w:r w:rsidR="00CE0D0B" w:rsidRPr="000F29D1">
          <w:rPr>
            <w:rStyle w:val="Hyperlink"/>
          </w:rPr>
          <w:t>8.</w:t>
        </w:r>
        <w:r w:rsidR="00CE0D0B">
          <w:rPr>
            <w:rFonts w:asciiTheme="minorHAnsi" w:hAnsiTheme="minorHAnsi"/>
            <w:noProof/>
            <w:color w:val="auto"/>
            <w:sz w:val="22"/>
            <w:lang w:eastAsia="en-US"/>
          </w:rPr>
          <w:tab/>
        </w:r>
        <w:r w:rsidR="00CE0D0B" w:rsidRPr="000F29D1">
          <w:rPr>
            <w:rStyle w:val="Hyperlink"/>
          </w:rPr>
          <w:t>DES Appendix C</w:t>
        </w:r>
        <w:r w:rsidR="00967910">
          <w:rPr>
            <w:rStyle w:val="Hyperlink"/>
          </w:rPr>
          <w:t xml:space="preserve"> </w:t>
        </w:r>
        <w:r w:rsidR="00CE0D0B" w:rsidRPr="000F29D1">
          <w:rPr>
            <w:rStyle w:val="Hyperlink"/>
          </w:rPr>
          <w:t>- Acceptable Abbreviations for Short Ton and Long Ton</w:t>
        </w:r>
        <w:r w:rsidR="00CE0D0B">
          <w:rPr>
            <w:noProof/>
            <w:webHidden/>
          </w:rPr>
          <w:tab/>
          <w:t>E</w:t>
        </w:r>
        <w:r w:rsidR="00CE0D0B">
          <w:rPr>
            <w:noProof/>
            <w:webHidden/>
          </w:rPr>
          <w:fldChar w:fldCharType="begin"/>
        </w:r>
        <w:r w:rsidR="00CE0D0B">
          <w:rPr>
            <w:noProof/>
            <w:webHidden/>
          </w:rPr>
          <w:instrText xml:space="preserve"> PAGEREF _Toc311539251 \h </w:instrText>
        </w:r>
        <w:r w:rsidR="00CE0D0B">
          <w:rPr>
            <w:noProof/>
            <w:webHidden/>
          </w:rPr>
        </w:r>
        <w:r w:rsidR="00CE0D0B">
          <w:rPr>
            <w:noProof/>
            <w:webHidden/>
          </w:rPr>
          <w:fldChar w:fldCharType="separate"/>
        </w:r>
        <w:r w:rsidR="00C83B0B">
          <w:rPr>
            <w:noProof/>
            <w:webHidden/>
          </w:rPr>
          <w:t>16</w:t>
        </w:r>
        <w:r w:rsidR="00CE0D0B">
          <w:rPr>
            <w:noProof/>
            <w:webHidden/>
          </w:rPr>
          <w:fldChar w:fldCharType="end"/>
        </w:r>
      </w:hyperlink>
    </w:p>
    <w:p w:rsidR="00CE0D0B" w:rsidRDefault="00FC7A3B">
      <w:pPr>
        <w:pStyle w:val="TOC2"/>
        <w:rPr>
          <w:rFonts w:asciiTheme="minorHAnsi" w:hAnsiTheme="minorHAnsi"/>
          <w:noProof/>
          <w:color w:val="auto"/>
          <w:sz w:val="22"/>
          <w:lang w:eastAsia="en-US"/>
        </w:rPr>
      </w:pPr>
      <w:hyperlink w:anchor="_Toc311539252" w:history="1">
        <w:r w:rsidR="00CE0D0B" w:rsidRPr="000F29D1">
          <w:rPr>
            <w:rStyle w:val="Hyperlink"/>
          </w:rPr>
          <w:t>9.</w:t>
        </w:r>
        <w:r w:rsidR="00CE0D0B">
          <w:rPr>
            <w:rFonts w:asciiTheme="minorHAnsi" w:hAnsiTheme="minorHAnsi"/>
            <w:noProof/>
            <w:color w:val="auto"/>
            <w:sz w:val="22"/>
            <w:lang w:eastAsia="en-US"/>
          </w:rPr>
          <w:tab/>
        </w:r>
        <w:r w:rsidR="00CE0D0B" w:rsidRPr="000F29D1">
          <w:rPr>
            <w:rStyle w:val="Hyperlink"/>
          </w:rPr>
          <w:t>DES Technical Policy Section D - Substitution of Load Cells in Scales</w:t>
        </w:r>
        <w:r w:rsidR="00CE0D0B">
          <w:rPr>
            <w:noProof/>
            <w:webHidden/>
          </w:rPr>
          <w:tab/>
          <w:t>E</w:t>
        </w:r>
        <w:r w:rsidR="00CE0D0B">
          <w:rPr>
            <w:noProof/>
            <w:webHidden/>
          </w:rPr>
          <w:fldChar w:fldCharType="begin"/>
        </w:r>
        <w:r w:rsidR="00CE0D0B">
          <w:rPr>
            <w:noProof/>
            <w:webHidden/>
          </w:rPr>
          <w:instrText xml:space="preserve"> PAGEREF _Toc311539252 \h </w:instrText>
        </w:r>
        <w:r w:rsidR="00CE0D0B">
          <w:rPr>
            <w:noProof/>
            <w:webHidden/>
          </w:rPr>
        </w:r>
        <w:r w:rsidR="00CE0D0B">
          <w:rPr>
            <w:noProof/>
            <w:webHidden/>
          </w:rPr>
          <w:fldChar w:fldCharType="separate"/>
        </w:r>
        <w:r w:rsidR="00C83B0B">
          <w:rPr>
            <w:noProof/>
            <w:webHidden/>
          </w:rPr>
          <w:t>17</w:t>
        </w:r>
        <w:r w:rsidR="00CE0D0B">
          <w:rPr>
            <w:noProof/>
            <w:webHidden/>
          </w:rPr>
          <w:fldChar w:fldCharType="end"/>
        </w:r>
      </w:hyperlink>
    </w:p>
    <w:p w:rsidR="00CE0D0B" w:rsidRDefault="00FC7A3B">
      <w:pPr>
        <w:pStyle w:val="TOC1"/>
        <w:rPr>
          <w:rFonts w:asciiTheme="minorHAnsi" w:hAnsiTheme="minorHAnsi"/>
          <w:b w:val="0"/>
          <w:caps w:val="0"/>
          <w:noProof/>
          <w:color w:val="auto"/>
          <w:sz w:val="22"/>
          <w:lang w:eastAsia="en-US"/>
        </w:rPr>
      </w:pPr>
      <w:hyperlink w:anchor="_Toc311539253" w:history="1">
        <w:r w:rsidR="00CE0D0B" w:rsidRPr="000F29D1">
          <w:rPr>
            <w:rStyle w:val="Hyperlink"/>
          </w:rPr>
          <w:t>Additional Items (Not Included on Draft Agenda)</w:t>
        </w:r>
        <w:r w:rsidR="00CE0D0B">
          <w:rPr>
            <w:noProof/>
            <w:webHidden/>
          </w:rPr>
          <w:tab/>
          <w:t>E</w:t>
        </w:r>
        <w:r w:rsidR="00CE0D0B">
          <w:rPr>
            <w:noProof/>
            <w:webHidden/>
          </w:rPr>
          <w:fldChar w:fldCharType="begin"/>
        </w:r>
        <w:r w:rsidR="00CE0D0B">
          <w:rPr>
            <w:noProof/>
            <w:webHidden/>
          </w:rPr>
          <w:instrText xml:space="preserve"> PAGEREF _Toc311539253 \h </w:instrText>
        </w:r>
        <w:r w:rsidR="00CE0D0B">
          <w:rPr>
            <w:noProof/>
            <w:webHidden/>
          </w:rPr>
        </w:r>
        <w:r w:rsidR="00CE0D0B">
          <w:rPr>
            <w:noProof/>
            <w:webHidden/>
          </w:rPr>
          <w:fldChar w:fldCharType="separate"/>
        </w:r>
        <w:r w:rsidR="00C83B0B">
          <w:rPr>
            <w:noProof/>
            <w:webHidden/>
          </w:rPr>
          <w:t>18</w:t>
        </w:r>
        <w:r w:rsidR="00CE0D0B">
          <w:rPr>
            <w:noProof/>
            <w:webHidden/>
          </w:rPr>
          <w:fldChar w:fldCharType="end"/>
        </w:r>
      </w:hyperlink>
    </w:p>
    <w:p w:rsidR="00CE0D0B" w:rsidRDefault="00FC7A3B">
      <w:pPr>
        <w:pStyle w:val="TOC2"/>
        <w:rPr>
          <w:rFonts w:asciiTheme="minorHAnsi" w:hAnsiTheme="minorHAnsi"/>
          <w:noProof/>
          <w:color w:val="auto"/>
          <w:sz w:val="22"/>
          <w:lang w:eastAsia="en-US"/>
        </w:rPr>
      </w:pPr>
      <w:hyperlink w:anchor="_Toc311539254" w:history="1">
        <w:r w:rsidR="00CE0D0B" w:rsidRPr="000F29D1">
          <w:rPr>
            <w:rStyle w:val="Hyperlink"/>
          </w:rPr>
          <w:t>10.</w:t>
        </w:r>
        <w:r w:rsidR="00CE0D0B">
          <w:rPr>
            <w:rFonts w:asciiTheme="minorHAnsi" w:hAnsiTheme="minorHAnsi"/>
            <w:noProof/>
            <w:color w:val="auto"/>
            <w:sz w:val="22"/>
            <w:lang w:eastAsia="en-US"/>
          </w:rPr>
          <w:tab/>
        </w:r>
        <w:r w:rsidR="00CE0D0B" w:rsidRPr="000F29D1">
          <w:rPr>
            <w:rStyle w:val="Hyperlink"/>
          </w:rPr>
          <w:t xml:space="preserve">Incorrect Section References and Some Editorial Corrections Needed to </w:t>
        </w:r>
        <w:r w:rsidR="00CE0D0B" w:rsidRPr="00BE1AFF">
          <w:rPr>
            <w:rStyle w:val="Hyperlink"/>
          </w:rPr>
          <w:t>NCWM Publication 14</w:t>
        </w:r>
        <w:r w:rsidR="00CE0D0B">
          <w:rPr>
            <w:noProof/>
            <w:webHidden/>
          </w:rPr>
          <w:tab/>
          <w:t>E</w:t>
        </w:r>
        <w:r w:rsidR="00CE0D0B">
          <w:rPr>
            <w:noProof/>
            <w:webHidden/>
          </w:rPr>
          <w:fldChar w:fldCharType="begin"/>
        </w:r>
        <w:r w:rsidR="00CE0D0B">
          <w:rPr>
            <w:noProof/>
            <w:webHidden/>
          </w:rPr>
          <w:instrText xml:space="preserve"> PAGEREF _Toc311539254 \h </w:instrText>
        </w:r>
        <w:r w:rsidR="00CE0D0B">
          <w:rPr>
            <w:noProof/>
            <w:webHidden/>
          </w:rPr>
        </w:r>
        <w:r w:rsidR="00CE0D0B">
          <w:rPr>
            <w:noProof/>
            <w:webHidden/>
          </w:rPr>
          <w:fldChar w:fldCharType="separate"/>
        </w:r>
        <w:r w:rsidR="00C83B0B">
          <w:rPr>
            <w:noProof/>
            <w:webHidden/>
          </w:rPr>
          <w:t>18</w:t>
        </w:r>
        <w:r w:rsidR="00CE0D0B">
          <w:rPr>
            <w:noProof/>
            <w:webHidden/>
          </w:rPr>
          <w:fldChar w:fldCharType="end"/>
        </w:r>
      </w:hyperlink>
    </w:p>
    <w:p w:rsidR="00CE0D0B" w:rsidRDefault="00FC7A3B">
      <w:pPr>
        <w:pStyle w:val="TOC2"/>
        <w:rPr>
          <w:rFonts w:asciiTheme="minorHAnsi" w:hAnsiTheme="minorHAnsi"/>
          <w:noProof/>
          <w:color w:val="auto"/>
          <w:sz w:val="22"/>
          <w:lang w:eastAsia="en-US"/>
        </w:rPr>
      </w:pPr>
      <w:hyperlink w:anchor="_Toc311539255" w:history="1">
        <w:r w:rsidR="00CE0D0B" w:rsidRPr="000F29D1">
          <w:rPr>
            <w:rStyle w:val="Hyperlink"/>
          </w:rPr>
          <w:t>11.</w:t>
        </w:r>
        <w:r w:rsidR="00CE0D0B">
          <w:rPr>
            <w:rFonts w:asciiTheme="minorHAnsi" w:hAnsiTheme="minorHAnsi"/>
            <w:noProof/>
            <w:color w:val="auto"/>
            <w:sz w:val="22"/>
            <w:lang w:eastAsia="en-US"/>
          </w:rPr>
          <w:tab/>
        </w:r>
        <w:r w:rsidR="00CE0D0B" w:rsidRPr="000F29D1">
          <w:rPr>
            <w:rStyle w:val="Hyperlink"/>
          </w:rPr>
          <w:t>Sealing/Capabilities of Smart Junction Boxes</w:t>
        </w:r>
        <w:r w:rsidR="00CE0D0B">
          <w:rPr>
            <w:noProof/>
            <w:webHidden/>
          </w:rPr>
          <w:tab/>
          <w:t>E</w:t>
        </w:r>
        <w:r w:rsidR="00CE0D0B">
          <w:rPr>
            <w:noProof/>
            <w:webHidden/>
          </w:rPr>
          <w:fldChar w:fldCharType="begin"/>
        </w:r>
        <w:r w:rsidR="00CE0D0B">
          <w:rPr>
            <w:noProof/>
            <w:webHidden/>
          </w:rPr>
          <w:instrText xml:space="preserve"> PAGEREF _Toc311539255 \h </w:instrText>
        </w:r>
        <w:r w:rsidR="00CE0D0B">
          <w:rPr>
            <w:noProof/>
            <w:webHidden/>
          </w:rPr>
        </w:r>
        <w:r w:rsidR="00CE0D0B">
          <w:rPr>
            <w:noProof/>
            <w:webHidden/>
          </w:rPr>
          <w:fldChar w:fldCharType="separate"/>
        </w:r>
        <w:r w:rsidR="00C83B0B">
          <w:rPr>
            <w:noProof/>
            <w:webHidden/>
          </w:rPr>
          <w:t>19</w:t>
        </w:r>
        <w:r w:rsidR="00CE0D0B">
          <w:rPr>
            <w:noProof/>
            <w:webHidden/>
          </w:rPr>
          <w:fldChar w:fldCharType="end"/>
        </w:r>
      </w:hyperlink>
    </w:p>
    <w:p w:rsidR="00CE0D0B" w:rsidRDefault="00FC7A3B">
      <w:pPr>
        <w:pStyle w:val="TOC1"/>
        <w:rPr>
          <w:rFonts w:asciiTheme="minorHAnsi" w:hAnsiTheme="minorHAnsi"/>
          <w:b w:val="0"/>
          <w:caps w:val="0"/>
          <w:noProof/>
          <w:color w:val="auto"/>
          <w:sz w:val="22"/>
          <w:lang w:eastAsia="en-US"/>
        </w:rPr>
      </w:pPr>
      <w:hyperlink w:anchor="_Toc311539256" w:history="1">
        <w:r w:rsidR="00CE0D0B" w:rsidRPr="000F29D1">
          <w:rPr>
            <w:rStyle w:val="Hyperlink"/>
          </w:rPr>
          <w:t>Next Sector Meeting</w:t>
        </w:r>
        <w:r w:rsidR="00CE0D0B">
          <w:rPr>
            <w:noProof/>
            <w:webHidden/>
          </w:rPr>
          <w:tab/>
          <w:t>E</w:t>
        </w:r>
        <w:r w:rsidR="00CE0D0B">
          <w:rPr>
            <w:noProof/>
            <w:webHidden/>
          </w:rPr>
          <w:fldChar w:fldCharType="begin"/>
        </w:r>
        <w:r w:rsidR="00CE0D0B">
          <w:rPr>
            <w:noProof/>
            <w:webHidden/>
          </w:rPr>
          <w:instrText xml:space="preserve"> PAGEREF _Toc311539256 \h </w:instrText>
        </w:r>
        <w:r w:rsidR="00CE0D0B">
          <w:rPr>
            <w:noProof/>
            <w:webHidden/>
          </w:rPr>
        </w:r>
        <w:r w:rsidR="00CE0D0B">
          <w:rPr>
            <w:noProof/>
            <w:webHidden/>
          </w:rPr>
          <w:fldChar w:fldCharType="separate"/>
        </w:r>
        <w:r w:rsidR="00C83B0B">
          <w:rPr>
            <w:noProof/>
            <w:webHidden/>
          </w:rPr>
          <w:t>19</w:t>
        </w:r>
        <w:r w:rsidR="00CE0D0B">
          <w:rPr>
            <w:noProof/>
            <w:webHidden/>
          </w:rPr>
          <w:fldChar w:fldCharType="end"/>
        </w:r>
      </w:hyperlink>
    </w:p>
    <w:p w:rsidR="00CE0D0B" w:rsidRDefault="00FC7A3B">
      <w:pPr>
        <w:pStyle w:val="TOC1"/>
        <w:rPr>
          <w:rFonts w:asciiTheme="minorHAnsi" w:hAnsiTheme="minorHAnsi"/>
          <w:b w:val="0"/>
          <w:caps w:val="0"/>
          <w:noProof/>
          <w:color w:val="auto"/>
          <w:sz w:val="22"/>
          <w:lang w:eastAsia="en-US"/>
        </w:rPr>
      </w:pPr>
      <w:hyperlink w:anchor="_Toc311539257" w:history="1">
        <w:r w:rsidR="00CE0D0B" w:rsidRPr="000F29D1">
          <w:rPr>
            <w:rStyle w:val="Hyperlink"/>
          </w:rPr>
          <w:t>Attendance</w:t>
        </w:r>
        <w:r w:rsidR="00CE0D0B">
          <w:rPr>
            <w:noProof/>
            <w:webHidden/>
          </w:rPr>
          <w:tab/>
          <w:t>E</w:t>
        </w:r>
        <w:r w:rsidR="00CE0D0B">
          <w:rPr>
            <w:noProof/>
            <w:webHidden/>
          </w:rPr>
          <w:fldChar w:fldCharType="begin"/>
        </w:r>
        <w:r w:rsidR="00CE0D0B">
          <w:rPr>
            <w:noProof/>
            <w:webHidden/>
          </w:rPr>
          <w:instrText xml:space="preserve"> PAGEREF _Toc311539257 \h </w:instrText>
        </w:r>
        <w:r w:rsidR="00CE0D0B">
          <w:rPr>
            <w:noProof/>
            <w:webHidden/>
          </w:rPr>
        </w:r>
        <w:r w:rsidR="00CE0D0B">
          <w:rPr>
            <w:noProof/>
            <w:webHidden/>
          </w:rPr>
          <w:fldChar w:fldCharType="separate"/>
        </w:r>
        <w:r w:rsidR="00C83B0B">
          <w:rPr>
            <w:noProof/>
            <w:webHidden/>
          </w:rPr>
          <w:t>20</w:t>
        </w:r>
        <w:r w:rsidR="00CE0D0B">
          <w:rPr>
            <w:noProof/>
            <w:webHidden/>
          </w:rPr>
          <w:fldChar w:fldCharType="end"/>
        </w:r>
      </w:hyperlink>
    </w:p>
    <w:p w:rsidR="00AA641B" w:rsidRDefault="00D0082F" w:rsidP="008A22F3">
      <w:r>
        <w:rPr>
          <w:rFonts w:ascii="Times New Roman Bold" w:eastAsiaTheme="minorEastAsia" w:hAnsi="Times New Roman Bold"/>
          <w:b/>
          <w:caps/>
          <w:color w:val="000000" w:themeColor="text1"/>
          <w:lang w:eastAsia="ja-JP"/>
        </w:rP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443A38" w:rsidRPr="00F3504E" w:rsidTr="00443A38">
        <w:tc>
          <w:tcPr>
            <w:tcW w:w="9360" w:type="dxa"/>
            <w:tcBorders>
              <w:top w:val="single" w:sz="12" w:space="0" w:color="auto"/>
              <w:bottom w:val="single" w:sz="12" w:space="0" w:color="auto"/>
            </w:tcBorders>
          </w:tcPr>
          <w:p w:rsidR="00443A38" w:rsidRPr="00F3504E" w:rsidRDefault="00005885" w:rsidP="00443A38">
            <w:pPr>
              <w:pStyle w:val="TableHeading"/>
            </w:pPr>
            <w:r w:rsidRPr="00F3504E">
              <w:br w:type="page"/>
            </w:r>
            <w:r w:rsidR="00443A38" w:rsidRPr="00F3504E">
              <w:rPr>
                <w:noProof/>
              </w:rPr>
              <w:br w:type="page"/>
            </w:r>
            <w:r w:rsidR="00443A38" w:rsidRPr="00F3504E">
              <w:t>Table B</w:t>
            </w:r>
            <w:r w:rsidR="00443A38" w:rsidRPr="00F3504E">
              <w:br/>
              <w:t>Glossary of Acronyms and Terms</w:t>
            </w:r>
          </w:p>
        </w:tc>
      </w:tr>
    </w:tbl>
    <w:p w:rsidR="00443A38" w:rsidRPr="00F3504E" w:rsidRDefault="00443A38" w:rsidP="00443A38">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70"/>
        <w:gridCol w:w="3510"/>
        <w:gridCol w:w="1166"/>
        <w:gridCol w:w="3514"/>
      </w:tblGrid>
      <w:tr w:rsidR="00443A38" w:rsidRPr="00F3504E" w:rsidTr="00443A38">
        <w:tc>
          <w:tcPr>
            <w:tcW w:w="1170" w:type="dxa"/>
          </w:tcPr>
          <w:p w:rsidR="00443A38" w:rsidRPr="00F3504E" w:rsidRDefault="00443A38" w:rsidP="0038520D">
            <w:pPr>
              <w:pStyle w:val="TableColumnHeadings"/>
            </w:pPr>
            <w:r w:rsidRPr="00F3504E">
              <w:t>Acronym</w:t>
            </w:r>
          </w:p>
        </w:tc>
        <w:tc>
          <w:tcPr>
            <w:tcW w:w="3510" w:type="dxa"/>
          </w:tcPr>
          <w:p w:rsidR="00443A38" w:rsidRPr="00F3504E" w:rsidRDefault="00443A38" w:rsidP="0038520D">
            <w:pPr>
              <w:pStyle w:val="TableColumnHeadings"/>
            </w:pPr>
            <w:r w:rsidRPr="00F3504E">
              <w:t>Term</w:t>
            </w:r>
          </w:p>
        </w:tc>
        <w:tc>
          <w:tcPr>
            <w:tcW w:w="1166" w:type="dxa"/>
          </w:tcPr>
          <w:p w:rsidR="00443A38" w:rsidRPr="00F3504E" w:rsidRDefault="00443A38" w:rsidP="0038520D">
            <w:pPr>
              <w:pStyle w:val="TableColumnHeadings"/>
            </w:pPr>
            <w:r w:rsidRPr="00F3504E">
              <w:t>Acronym</w:t>
            </w:r>
          </w:p>
        </w:tc>
        <w:tc>
          <w:tcPr>
            <w:tcW w:w="3514" w:type="dxa"/>
          </w:tcPr>
          <w:p w:rsidR="00443A38" w:rsidRPr="00F3504E" w:rsidRDefault="00443A38" w:rsidP="0038520D">
            <w:pPr>
              <w:pStyle w:val="TableColumnHeadings"/>
            </w:pPr>
            <w:r w:rsidRPr="00F3504E">
              <w:t>Term</w:t>
            </w:r>
          </w:p>
        </w:tc>
      </w:tr>
      <w:tr w:rsidR="004D58CF" w:rsidRPr="00F3504E" w:rsidTr="00443A38">
        <w:tc>
          <w:tcPr>
            <w:tcW w:w="1170" w:type="dxa"/>
            <w:vAlign w:val="center"/>
          </w:tcPr>
          <w:p w:rsidR="004D58CF" w:rsidRPr="00EE074E" w:rsidRDefault="004D58CF" w:rsidP="0095559E">
            <w:pPr>
              <w:pStyle w:val="TableText"/>
            </w:pPr>
            <w:r>
              <w:t>ABWS</w:t>
            </w:r>
          </w:p>
        </w:tc>
        <w:tc>
          <w:tcPr>
            <w:tcW w:w="3510" w:type="dxa"/>
            <w:vAlign w:val="center"/>
          </w:tcPr>
          <w:p w:rsidR="004D58CF" w:rsidRPr="00F6003E" w:rsidRDefault="004D58CF" w:rsidP="0095559E">
            <w:pPr>
              <w:pStyle w:val="TableText"/>
            </w:pPr>
            <w:r>
              <w:t>Automatic Bulk Weighing Systems</w:t>
            </w:r>
          </w:p>
        </w:tc>
        <w:tc>
          <w:tcPr>
            <w:tcW w:w="1166" w:type="dxa"/>
            <w:vAlign w:val="center"/>
          </w:tcPr>
          <w:p w:rsidR="004D58CF" w:rsidRPr="00EE074E" w:rsidRDefault="004D58CF" w:rsidP="0095559E">
            <w:pPr>
              <w:pStyle w:val="TableText"/>
            </w:pPr>
            <w:r>
              <w:t>NCWM</w:t>
            </w:r>
          </w:p>
        </w:tc>
        <w:tc>
          <w:tcPr>
            <w:tcW w:w="3514" w:type="dxa"/>
            <w:vAlign w:val="center"/>
          </w:tcPr>
          <w:p w:rsidR="004D58CF" w:rsidRPr="00F6003E" w:rsidRDefault="004D58CF" w:rsidP="0095559E">
            <w:pPr>
              <w:pStyle w:val="TableText"/>
            </w:pPr>
            <w:r>
              <w:t>National Conference on Weights and Measures</w:t>
            </w:r>
          </w:p>
        </w:tc>
      </w:tr>
      <w:tr w:rsidR="004D58CF" w:rsidRPr="00F3504E" w:rsidTr="00443A38">
        <w:tc>
          <w:tcPr>
            <w:tcW w:w="1170" w:type="dxa"/>
            <w:vAlign w:val="center"/>
          </w:tcPr>
          <w:p w:rsidR="004D58CF" w:rsidRDefault="004D58CF" w:rsidP="0095559E">
            <w:pPr>
              <w:pStyle w:val="TableText"/>
            </w:pPr>
            <w:r>
              <w:t>AREMA</w:t>
            </w:r>
          </w:p>
        </w:tc>
        <w:tc>
          <w:tcPr>
            <w:tcW w:w="3510" w:type="dxa"/>
            <w:vAlign w:val="center"/>
          </w:tcPr>
          <w:p w:rsidR="004D58CF" w:rsidRDefault="004D58CF" w:rsidP="0095559E">
            <w:pPr>
              <w:pStyle w:val="TableText"/>
            </w:pPr>
            <w:r>
              <w:t>American Railway Engineering Maintenance-of-Way Association</w:t>
            </w:r>
          </w:p>
        </w:tc>
        <w:tc>
          <w:tcPr>
            <w:tcW w:w="1166" w:type="dxa"/>
            <w:vAlign w:val="center"/>
          </w:tcPr>
          <w:p w:rsidR="004D58CF" w:rsidRPr="00EE074E" w:rsidRDefault="004D58CF" w:rsidP="0095559E">
            <w:pPr>
              <w:pStyle w:val="TableText"/>
            </w:pPr>
            <w:r>
              <w:t>NEWMA</w:t>
            </w:r>
          </w:p>
        </w:tc>
        <w:tc>
          <w:tcPr>
            <w:tcW w:w="3514" w:type="dxa"/>
            <w:vAlign w:val="center"/>
          </w:tcPr>
          <w:p w:rsidR="004D58CF" w:rsidRDefault="004D58CF" w:rsidP="0095559E">
            <w:pPr>
              <w:pStyle w:val="TableText"/>
            </w:pPr>
            <w:r>
              <w:t>Northeastern Weights and Measures Association</w:t>
            </w:r>
          </w:p>
        </w:tc>
      </w:tr>
      <w:tr w:rsidR="004D58CF" w:rsidRPr="00F3504E" w:rsidTr="00443A38">
        <w:tc>
          <w:tcPr>
            <w:tcW w:w="1170" w:type="dxa"/>
            <w:vAlign w:val="center"/>
          </w:tcPr>
          <w:p w:rsidR="004D58CF" w:rsidRPr="00EE074E" w:rsidRDefault="004D58CF" w:rsidP="0095559E">
            <w:pPr>
              <w:pStyle w:val="TableText"/>
            </w:pPr>
            <w:r>
              <w:t>AWS</w:t>
            </w:r>
          </w:p>
        </w:tc>
        <w:tc>
          <w:tcPr>
            <w:tcW w:w="3510" w:type="dxa"/>
            <w:vAlign w:val="center"/>
          </w:tcPr>
          <w:p w:rsidR="004D58CF" w:rsidRDefault="004D58CF" w:rsidP="0095559E">
            <w:pPr>
              <w:pStyle w:val="TableText"/>
            </w:pPr>
            <w:r>
              <w:t>Automatic Weighing Systems</w:t>
            </w:r>
          </w:p>
        </w:tc>
        <w:tc>
          <w:tcPr>
            <w:tcW w:w="1166" w:type="dxa"/>
            <w:vAlign w:val="center"/>
          </w:tcPr>
          <w:p w:rsidR="004D58CF" w:rsidRPr="00EE074E" w:rsidRDefault="004D58CF" w:rsidP="0095559E">
            <w:pPr>
              <w:pStyle w:val="TableText"/>
            </w:pPr>
            <w:r>
              <w:t>NTEP</w:t>
            </w:r>
          </w:p>
        </w:tc>
        <w:tc>
          <w:tcPr>
            <w:tcW w:w="3514" w:type="dxa"/>
            <w:vAlign w:val="center"/>
          </w:tcPr>
          <w:p w:rsidR="004D58CF" w:rsidRDefault="004D58CF" w:rsidP="0095559E">
            <w:pPr>
              <w:pStyle w:val="TableText"/>
            </w:pPr>
            <w:r>
              <w:t>National Type Evaluation Program</w:t>
            </w:r>
          </w:p>
        </w:tc>
      </w:tr>
      <w:tr w:rsidR="004D58CF" w:rsidRPr="00F3504E" w:rsidTr="00443A38">
        <w:tc>
          <w:tcPr>
            <w:tcW w:w="1170" w:type="dxa"/>
            <w:vAlign w:val="center"/>
          </w:tcPr>
          <w:p w:rsidR="004D58CF" w:rsidRDefault="004D58CF" w:rsidP="0095559E">
            <w:pPr>
              <w:pStyle w:val="TableText"/>
            </w:pPr>
            <w:r>
              <w:t>CC</w:t>
            </w:r>
          </w:p>
        </w:tc>
        <w:tc>
          <w:tcPr>
            <w:tcW w:w="3510" w:type="dxa"/>
            <w:vAlign w:val="center"/>
          </w:tcPr>
          <w:p w:rsidR="004D58CF" w:rsidRDefault="004D58CF" w:rsidP="0095559E">
            <w:pPr>
              <w:pStyle w:val="TableText"/>
            </w:pPr>
            <w:r>
              <w:t>Certificate of Conformance</w:t>
            </w:r>
          </w:p>
        </w:tc>
        <w:tc>
          <w:tcPr>
            <w:tcW w:w="1166" w:type="dxa"/>
            <w:vAlign w:val="center"/>
          </w:tcPr>
          <w:p w:rsidR="004D58CF" w:rsidRPr="00EE074E" w:rsidRDefault="004D58CF" w:rsidP="0095559E">
            <w:pPr>
              <w:pStyle w:val="TableText"/>
            </w:pPr>
            <w:r w:rsidRPr="00EE074E">
              <w:t>NTETC</w:t>
            </w:r>
          </w:p>
        </w:tc>
        <w:tc>
          <w:tcPr>
            <w:tcW w:w="3514" w:type="dxa"/>
            <w:vAlign w:val="center"/>
          </w:tcPr>
          <w:p w:rsidR="004D58CF" w:rsidRDefault="004D58CF" w:rsidP="0095559E">
            <w:pPr>
              <w:pStyle w:val="TableText"/>
            </w:pPr>
            <w:r>
              <w:t>National Type Evaluation Technical Committee</w:t>
            </w:r>
          </w:p>
        </w:tc>
      </w:tr>
      <w:tr w:rsidR="004D58CF" w:rsidRPr="00F3504E" w:rsidTr="00443A38">
        <w:tc>
          <w:tcPr>
            <w:tcW w:w="1170" w:type="dxa"/>
            <w:vAlign w:val="center"/>
          </w:tcPr>
          <w:p w:rsidR="004D58CF" w:rsidRPr="00EE074E" w:rsidRDefault="004D58CF" w:rsidP="0095559E">
            <w:pPr>
              <w:pStyle w:val="TableText"/>
            </w:pPr>
            <w:r>
              <w:t>DES</w:t>
            </w:r>
          </w:p>
        </w:tc>
        <w:tc>
          <w:tcPr>
            <w:tcW w:w="3510" w:type="dxa"/>
            <w:vAlign w:val="center"/>
          </w:tcPr>
          <w:p w:rsidR="004D58CF" w:rsidRDefault="004D58CF" w:rsidP="0095559E">
            <w:pPr>
              <w:pStyle w:val="TableText"/>
            </w:pPr>
            <w:r>
              <w:t>Digital Electronic Scales</w:t>
            </w:r>
          </w:p>
        </w:tc>
        <w:tc>
          <w:tcPr>
            <w:tcW w:w="1166" w:type="dxa"/>
            <w:vAlign w:val="center"/>
          </w:tcPr>
          <w:p w:rsidR="004D58CF" w:rsidRDefault="004D58CF" w:rsidP="0095559E">
            <w:pPr>
              <w:pStyle w:val="TableText"/>
            </w:pPr>
            <w:r>
              <w:t>OIML</w:t>
            </w:r>
          </w:p>
        </w:tc>
        <w:tc>
          <w:tcPr>
            <w:tcW w:w="3514" w:type="dxa"/>
            <w:vAlign w:val="center"/>
          </w:tcPr>
          <w:p w:rsidR="004D58CF" w:rsidRDefault="004D58CF" w:rsidP="0095559E">
            <w:pPr>
              <w:pStyle w:val="TableText"/>
            </w:pPr>
            <w:r>
              <w:t>International Organization of Legal Metrology</w:t>
            </w:r>
          </w:p>
        </w:tc>
      </w:tr>
      <w:tr w:rsidR="004D58CF" w:rsidRPr="00F3504E" w:rsidTr="00443A38">
        <w:tc>
          <w:tcPr>
            <w:tcW w:w="1170" w:type="dxa"/>
            <w:vAlign w:val="center"/>
          </w:tcPr>
          <w:p w:rsidR="004D58CF" w:rsidRDefault="004D58CF" w:rsidP="0095559E">
            <w:pPr>
              <w:pStyle w:val="TableText"/>
            </w:pPr>
            <w:r>
              <w:t>IZSM</w:t>
            </w:r>
          </w:p>
        </w:tc>
        <w:tc>
          <w:tcPr>
            <w:tcW w:w="3510" w:type="dxa"/>
            <w:vAlign w:val="center"/>
          </w:tcPr>
          <w:p w:rsidR="004D58CF" w:rsidRDefault="004D58CF" w:rsidP="0095559E">
            <w:pPr>
              <w:pStyle w:val="TableText"/>
            </w:pPr>
            <w:r>
              <w:t>Initial Zero-Setting Mechanism</w:t>
            </w:r>
          </w:p>
        </w:tc>
        <w:tc>
          <w:tcPr>
            <w:tcW w:w="1166" w:type="dxa"/>
            <w:vAlign w:val="center"/>
          </w:tcPr>
          <w:p w:rsidR="004D58CF" w:rsidRDefault="004D58CF" w:rsidP="0095559E">
            <w:pPr>
              <w:pStyle w:val="TableText"/>
            </w:pPr>
            <w:r>
              <w:t>OWM</w:t>
            </w:r>
          </w:p>
        </w:tc>
        <w:tc>
          <w:tcPr>
            <w:tcW w:w="3514" w:type="dxa"/>
            <w:vAlign w:val="center"/>
          </w:tcPr>
          <w:p w:rsidR="004D58CF" w:rsidRDefault="004D58CF" w:rsidP="0095559E">
            <w:pPr>
              <w:pStyle w:val="TableText"/>
            </w:pPr>
            <w:r>
              <w:t>Office of Weights and Measures</w:t>
            </w:r>
          </w:p>
        </w:tc>
      </w:tr>
      <w:tr w:rsidR="004D58CF" w:rsidRPr="00F3504E" w:rsidTr="00443A38">
        <w:tc>
          <w:tcPr>
            <w:tcW w:w="1170" w:type="dxa"/>
            <w:vAlign w:val="center"/>
          </w:tcPr>
          <w:p w:rsidR="004D58CF" w:rsidRPr="00EE074E" w:rsidRDefault="004D58CF" w:rsidP="0095559E">
            <w:pPr>
              <w:pStyle w:val="TableText"/>
            </w:pPr>
            <w:r>
              <w:t>LMD</w:t>
            </w:r>
          </w:p>
        </w:tc>
        <w:tc>
          <w:tcPr>
            <w:tcW w:w="3510" w:type="dxa"/>
            <w:vAlign w:val="center"/>
          </w:tcPr>
          <w:p w:rsidR="004D58CF" w:rsidRDefault="004D58CF" w:rsidP="0095559E">
            <w:pPr>
              <w:pStyle w:val="TableText"/>
            </w:pPr>
            <w:r>
              <w:t>Liquid Measuring Device</w:t>
            </w:r>
          </w:p>
        </w:tc>
        <w:tc>
          <w:tcPr>
            <w:tcW w:w="1166" w:type="dxa"/>
            <w:vAlign w:val="center"/>
          </w:tcPr>
          <w:p w:rsidR="004D58CF" w:rsidRDefault="004D58CF" w:rsidP="0095559E">
            <w:pPr>
              <w:pStyle w:val="TableText"/>
            </w:pPr>
            <w:r>
              <w:t>R</w:t>
            </w:r>
          </w:p>
        </w:tc>
        <w:tc>
          <w:tcPr>
            <w:tcW w:w="3514" w:type="dxa"/>
            <w:vAlign w:val="center"/>
          </w:tcPr>
          <w:p w:rsidR="004D58CF" w:rsidRDefault="004D58CF" w:rsidP="0095559E">
            <w:pPr>
              <w:pStyle w:val="TableText"/>
            </w:pPr>
            <w:r>
              <w:t>Recommendation</w:t>
            </w:r>
          </w:p>
        </w:tc>
      </w:tr>
      <w:tr w:rsidR="004D58CF" w:rsidRPr="00F3504E" w:rsidTr="00443A38">
        <w:tc>
          <w:tcPr>
            <w:tcW w:w="1170" w:type="dxa"/>
            <w:vAlign w:val="center"/>
          </w:tcPr>
          <w:p w:rsidR="004D58CF" w:rsidRDefault="004D58CF" w:rsidP="0095559E">
            <w:pPr>
              <w:pStyle w:val="TableText"/>
            </w:pPr>
            <w:r>
              <w:t>MC</w:t>
            </w:r>
          </w:p>
        </w:tc>
        <w:tc>
          <w:tcPr>
            <w:tcW w:w="3510" w:type="dxa"/>
            <w:vAlign w:val="center"/>
          </w:tcPr>
          <w:p w:rsidR="004D58CF" w:rsidRDefault="004D58CF" w:rsidP="0095559E">
            <w:pPr>
              <w:pStyle w:val="TableText"/>
            </w:pPr>
            <w:r>
              <w:t>Measurement Canada</w:t>
            </w:r>
          </w:p>
        </w:tc>
        <w:tc>
          <w:tcPr>
            <w:tcW w:w="1166" w:type="dxa"/>
            <w:vAlign w:val="center"/>
          </w:tcPr>
          <w:p w:rsidR="004D58CF" w:rsidRPr="00EE074E" w:rsidRDefault="004D58CF" w:rsidP="0095559E">
            <w:pPr>
              <w:pStyle w:val="TableText"/>
            </w:pPr>
            <w:r>
              <w:t>S&amp;T</w:t>
            </w:r>
          </w:p>
        </w:tc>
        <w:tc>
          <w:tcPr>
            <w:tcW w:w="3514" w:type="dxa"/>
            <w:vAlign w:val="center"/>
          </w:tcPr>
          <w:p w:rsidR="004D58CF" w:rsidRDefault="004D58CF" w:rsidP="0095559E">
            <w:pPr>
              <w:pStyle w:val="TableText"/>
            </w:pPr>
            <w:r>
              <w:t>Specifications and Tolerances Committee</w:t>
            </w:r>
          </w:p>
        </w:tc>
      </w:tr>
      <w:tr w:rsidR="004D58CF" w:rsidRPr="00F3504E" w:rsidTr="00443A38">
        <w:tc>
          <w:tcPr>
            <w:tcW w:w="1170" w:type="dxa"/>
            <w:vAlign w:val="center"/>
          </w:tcPr>
          <w:p w:rsidR="004D58CF" w:rsidRDefault="004D58CF" w:rsidP="0095559E">
            <w:pPr>
              <w:pStyle w:val="TableText"/>
            </w:pPr>
            <w:r>
              <w:t>MRA</w:t>
            </w:r>
          </w:p>
        </w:tc>
        <w:tc>
          <w:tcPr>
            <w:tcW w:w="3510" w:type="dxa"/>
            <w:vAlign w:val="center"/>
          </w:tcPr>
          <w:p w:rsidR="004D58CF" w:rsidRDefault="004D58CF" w:rsidP="0095559E">
            <w:pPr>
              <w:pStyle w:val="TableText"/>
            </w:pPr>
            <w:r>
              <w:t>Mutual Recognition Agreement</w:t>
            </w:r>
          </w:p>
        </w:tc>
        <w:tc>
          <w:tcPr>
            <w:tcW w:w="1166" w:type="dxa"/>
            <w:vAlign w:val="center"/>
          </w:tcPr>
          <w:p w:rsidR="004D58CF" w:rsidRPr="00EE074E" w:rsidRDefault="004D58CF" w:rsidP="0095559E">
            <w:pPr>
              <w:pStyle w:val="TableText"/>
            </w:pPr>
            <w:r>
              <w:t>SMA</w:t>
            </w:r>
          </w:p>
        </w:tc>
        <w:tc>
          <w:tcPr>
            <w:tcW w:w="3514" w:type="dxa"/>
            <w:vAlign w:val="center"/>
          </w:tcPr>
          <w:p w:rsidR="004D58CF" w:rsidRDefault="004D58CF" w:rsidP="0095559E">
            <w:pPr>
              <w:pStyle w:val="TableText"/>
            </w:pPr>
            <w:r>
              <w:t>Scale Manufacturers Association</w:t>
            </w:r>
          </w:p>
        </w:tc>
      </w:tr>
    </w:tbl>
    <w:p w:rsidR="008A22F3" w:rsidRDefault="008A22F3">
      <w:pPr>
        <w:spacing w:after="200" w:line="276" w:lineRule="auto"/>
        <w:jc w:val="left"/>
      </w:pPr>
      <w: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F20AB5" w:rsidRPr="00F3504E" w:rsidTr="00F20AB5">
        <w:tc>
          <w:tcPr>
            <w:tcW w:w="9360" w:type="dxa"/>
            <w:tcBorders>
              <w:top w:val="single" w:sz="12" w:space="0" w:color="auto"/>
              <w:bottom w:val="single" w:sz="12" w:space="0" w:color="auto"/>
            </w:tcBorders>
          </w:tcPr>
          <w:p w:rsidR="00F20AB5" w:rsidRPr="00F3504E" w:rsidRDefault="00F20AB5" w:rsidP="00443A38">
            <w:pPr>
              <w:pStyle w:val="TableHeading"/>
            </w:pPr>
            <w:r w:rsidRPr="00F3504E">
              <w:lastRenderedPageBreak/>
              <w:t>Details of All Items</w:t>
            </w:r>
            <w:r w:rsidR="00443A38" w:rsidRPr="00F3504E">
              <w:br/>
            </w:r>
            <w:r w:rsidRPr="00F3504E">
              <w:rPr>
                <w:b w:val="0"/>
                <w:i/>
              </w:rPr>
              <w:t>(In order by Reference Key)</w:t>
            </w:r>
          </w:p>
        </w:tc>
      </w:tr>
    </w:tbl>
    <w:p w:rsidR="00ED616C" w:rsidRPr="007A3CB2" w:rsidRDefault="00ED616C" w:rsidP="00ED616C">
      <w:pPr>
        <w:pStyle w:val="Heading1"/>
      </w:pPr>
      <w:bookmarkStart w:id="13" w:name="_Toc310407758"/>
      <w:bookmarkStart w:id="14" w:name="_Toc310409886"/>
      <w:bookmarkStart w:id="15" w:name="_Toc310427960"/>
      <w:bookmarkStart w:id="16" w:name="_Toc311539239"/>
      <w:bookmarkStart w:id="17" w:name="CARRYOVER"/>
      <w:r>
        <w:t>Carry-over Items</w:t>
      </w:r>
      <w:bookmarkEnd w:id="13"/>
      <w:bookmarkEnd w:id="14"/>
      <w:bookmarkEnd w:id="15"/>
      <w:bookmarkEnd w:id="16"/>
    </w:p>
    <w:p w:rsidR="00ED616C" w:rsidRPr="00EB0442" w:rsidRDefault="00ED616C" w:rsidP="00FC3603">
      <w:pPr>
        <w:pStyle w:val="ItemHeading"/>
      </w:pPr>
      <w:bookmarkStart w:id="18" w:name="_Toc310427961"/>
      <w:bookmarkStart w:id="19" w:name="_Toc311539240"/>
      <w:bookmarkStart w:id="20" w:name="RecommendedChangesPub14"/>
      <w:bookmarkEnd w:id="17"/>
      <w:r w:rsidRPr="00FC3603">
        <w:t>Recommended Changes to NCWM Publication 14</w:t>
      </w:r>
      <w:bookmarkEnd w:id="18"/>
      <w:bookmarkEnd w:id="19"/>
    </w:p>
    <w:bookmarkEnd w:id="20"/>
    <w:p w:rsidR="00AA641B" w:rsidRDefault="00ED616C" w:rsidP="00AA641B">
      <w:pPr>
        <w:pStyle w:val="BoldHeading"/>
      </w:pPr>
      <w:r>
        <w:t xml:space="preserve">Source: </w:t>
      </w:r>
    </w:p>
    <w:p w:rsidR="00ED616C" w:rsidRDefault="00AA641B" w:rsidP="00ED616C">
      <w:r w:rsidRPr="005F0AB6">
        <w:t xml:space="preserve">Mr. Harshman, </w:t>
      </w:r>
      <w:r w:rsidR="00ED616C" w:rsidRPr="005F0AB6">
        <w:t xml:space="preserve">NIST Technical Advisor, has provided the </w:t>
      </w:r>
      <w:r w:rsidR="005F0AB6" w:rsidRPr="005F0AB6">
        <w:t>S</w:t>
      </w:r>
      <w:r w:rsidR="00ED616C" w:rsidRPr="005F0AB6">
        <w:t xml:space="preserve">ector with specific recommendations for incorporating test procedures and checklist language based upon </w:t>
      </w:r>
      <w:r w:rsidR="00ED616C" w:rsidRPr="00C83B0B">
        <w:rPr>
          <w:u w:color="82C42A"/>
        </w:rPr>
        <w:t>actions</w:t>
      </w:r>
      <w:r w:rsidR="00ED616C" w:rsidRPr="00C83B0B">
        <w:t xml:space="preserve"> </w:t>
      </w:r>
      <w:r w:rsidR="00ED616C" w:rsidRPr="005F0AB6">
        <w:t xml:space="preserve">of the 2011 </w:t>
      </w:r>
      <w:r w:rsidRPr="005F0AB6">
        <w:t xml:space="preserve">NCWM </w:t>
      </w:r>
      <w:r w:rsidR="00ED616C" w:rsidRPr="005F0AB6">
        <w:t>Annual Meeting</w:t>
      </w:r>
      <w:r w:rsidRPr="005F0AB6">
        <w:t xml:space="preserve">.  </w:t>
      </w:r>
      <w:r w:rsidR="00ED616C" w:rsidRPr="005F0AB6">
        <w:t xml:space="preserve">The </w:t>
      </w:r>
      <w:r w:rsidR="005F0AB6" w:rsidRPr="005F0AB6">
        <w:t>S</w:t>
      </w:r>
      <w:r w:rsidR="00ED616C" w:rsidRPr="005F0AB6">
        <w:t>ector is asked to briefly discuss each item and, if appropriate, provide general input on the technical aspects of the issues.</w:t>
      </w:r>
    </w:p>
    <w:p w:rsidR="00ED616C" w:rsidRPr="002E3C7E" w:rsidRDefault="002E3C7E" w:rsidP="00FC3603">
      <w:pPr>
        <w:pStyle w:val="ItemHeadingletters"/>
      </w:pPr>
      <w:bookmarkStart w:id="21" w:name="_Toc311539241"/>
      <w:bookmarkStart w:id="22" w:name="Item3101"/>
      <w:r w:rsidRPr="00FC3603">
        <w:t>Item 310-1</w:t>
      </w:r>
      <w:r w:rsidR="008A22F3">
        <w:t xml:space="preserve">: </w:t>
      </w:r>
      <w:r w:rsidR="00AA641B" w:rsidRPr="002E3C7E">
        <w:t>NIST Handbook</w:t>
      </w:r>
      <w:r w:rsidRPr="002E3C7E">
        <w:t xml:space="preserve"> 44 </w:t>
      </w:r>
      <w:r w:rsidR="00ED616C" w:rsidRPr="002E3C7E">
        <w:t>G-S.8. Provisions for Sealing Adjustable Components</w:t>
      </w:r>
      <w:bookmarkEnd w:id="21"/>
    </w:p>
    <w:bookmarkEnd w:id="22"/>
    <w:p w:rsidR="002E3C7E" w:rsidRDefault="00ED616C" w:rsidP="002E3C7E">
      <w:pPr>
        <w:pStyle w:val="BoldHeading"/>
      </w:pPr>
      <w:r>
        <w:t>Source:</w:t>
      </w:r>
    </w:p>
    <w:p w:rsidR="00ED616C" w:rsidRDefault="00ED616C" w:rsidP="00ED616C">
      <w:r>
        <w:t>2010 NTETC Weighing Sector</w:t>
      </w:r>
    </w:p>
    <w:p w:rsidR="002E3C7E" w:rsidRDefault="00ED616C" w:rsidP="002E3C7E">
      <w:pPr>
        <w:pStyle w:val="BoldHeading"/>
      </w:pPr>
      <w:r>
        <w:t>Background</w:t>
      </w:r>
      <w:r w:rsidR="002E3C7E">
        <w:t>/Discussion</w:t>
      </w:r>
      <w:r>
        <w:t>:</w:t>
      </w:r>
    </w:p>
    <w:p w:rsidR="002E3C7E" w:rsidRPr="005F0AB6" w:rsidRDefault="00ED616C" w:rsidP="00ED616C">
      <w:r w:rsidRPr="005F0AB6">
        <w:t xml:space="preserve">At </w:t>
      </w:r>
      <w:r w:rsidR="002E3C7E" w:rsidRPr="005F0AB6">
        <w:t xml:space="preserve">the </w:t>
      </w:r>
      <w:r w:rsidRPr="005F0AB6">
        <w:t xml:space="preserve">2010 </w:t>
      </w:r>
      <w:r w:rsidR="00DA372C" w:rsidRPr="005F0AB6">
        <w:t xml:space="preserve">NTETC </w:t>
      </w:r>
      <w:r w:rsidR="002E3C7E" w:rsidRPr="005F0AB6">
        <w:t>Weighing Sector</w:t>
      </w:r>
      <w:r w:rsidRPr="005F0AB6">
        <w:t xml:space="preserve"> Meeting, the </w:t>
      </w:r>
      <w:r w:rsidR="005F0AB6" w:rsidRPr="005F0AB6">
        <w:t>S</w:t>
      </w:r>
      <w:r w:rsidR="002E3C7E" w:rsidRPr="005F0AB6">
        <w:t>ector</w:t>
      </w:r>
      <w:r w:rsidRPr="005F0AB6">
        <w:t xml:space="preserve">:  </w:t>
      </w:r>
    </w:p>
    <w:p w:rsidR="002E3C7E" w:rsidRPr="005F0AB6" w:rsidRDefault="00ED616C" w:rsidP="002E3C7E">
      <w:pPr>
        <w:pStyle w:val="numberedlist"/>
      </w:pPr>
      <w:r w:rsidRPr="005F0AB6">
        <w:t xml:space="preserve">reviewed the sealing procedures in </w:t>
      </w:r>
      <w:r w:rsidR="002E3C7E" w:rsidRPr="005F0AB6">
        <w:t xml:space="preserve">NCWM </w:t>
      </w:r>
      <w:r w:rsidRPr="005F0AB6">
        <w:t>Pub</w:t>
      </w:r>
      <w:r w:rsidR="002E3C7E" w:rsidRPr="005F0AB6">
        <w:t>lication</w:t>
      </w:r>
      <w:r w:rsidRPr="005F0AB6">
        <w:t xml:space="preserve"> 14 Scales type evaluation checklist and procedures; </w:t>
      </w:r>
    </w:p>
    <w:p w:rsidR="002E3C7E" w:rsidRPr="005F0AB6" w:rsidRDefault="00ED616C" w:rsidP="002E3C7E">
      <w:pPr>
        <w:pStyle w:val="numberedlist"/>
      </w:pPr>
      <w:r w:rsidRPr="005F0AB6">
        <w:t xml:space="preserve">compared them with similar type evaluation criteria in </w:t>
      </w:r>
      <w:r w:rsidR="002E3C7E" w:rsidRPr="005F0AB6">
        <w:t xml:space="preserve">NCWM Publication 14 </w:t>
      </w:r>
      <w:r w:rsidRPr="005F0AB6">
        <w:t xml:space="preserve">for </w:t>
      </w:r>
      <w:r w:rsidR="002E3C7E" w:rsidRPr="005F0AB6">
        <w:t xml:space="preserve">Liquid Measuring Device </w:t>
      </w:r>
      <w:r w:rsidR="004D58CF" w:rsidRPr="005F0AB6">
        <w:t>(</w:t>
      </w:r>
      <w:r w:rsidRPr="005F0AB6">
        <w:t>LMD</w:t>
      </w:r>
      <w:r w:rsidR="004D58CF" w:rsidRPr="005F0AB6">
        <w:t>)</w:t>
      </w:r>
      <w:r w:rsidRPr="005F0AB6">
        <w:t xml:space="preserve">; and </w:t>
      </w:r>
    </w:p>
    <w:p w:rsidR="002E3C7E" w:rsidRPr="005F0AB6" w:rsidRDefault="00ED616C" w:rsidP="002E3C7E">
      <w:pPr>
        <w:pStyle w:val="numberedlist"/>
      </w:pPr>
      <w:r w:rsidRPr="005F0AB6">
        <w:t xml:space="preserve">reviewed applicable </w:t>
      </w:r>
      <w:r w:rsidR="002E3C7E" w:rsidRPr="005F0AB6">
        <w:t>NIST Handbook</w:t>
      </w:r>
      <w:r w:rsidRPr="005F0AB6">
        <w:t xml:space="preserve"> 44 sealing requirements in the General, Scales, and LMD codes.  </w:t>
      </w:r>
    </w:p>
    <w:p w:rsidR="00ED616C" w:rsidRDefault="00ED616C" w:rsidP="002E3C7E">
      <w:r w:rsidRPr="005F0AB6">
        <w:t xml:space="preserve">Prior to the 2010 </w:t>
      </w:r>
      <w:r w:rsidR="00DA372C" w:rsidRPr="005F0AB6">
        <w:t xml:space="preserve">NTETC </w:t>
      </w:r>
      <w:r w:rsidR="002E3C7E" w:rsidRPr="005F0AB6">
        <w:t>Weighing Sector M</w:t>
      </w:r>
      <w:r w:rsidRPr="005F0AB6">
        <w:t xml:space="preserve">eeting, a small </w:t>
      </w:r>
      <w:r w:rsidR="002E3C7E" w:rsidRPr="005F0AB6">
        <w:t>work group</w:t>
      </w:r>
      <w:r w:rsidRPr="005F0AB6">
        <w:t xml:space="preserve"> was formed to develop more detailed procedures for determining compliance of the methods for sealing and requested the </w:t>
      </w:r>
      <w:r w:rsidR="005F0AB6" w:rsidRPr="005F0AB6">
        <w:t>S</w:t>
      </w:r>
      <w:r w:rsidR="002E3C7E" w:rsidRPr="005F0AB6">
        <w:t>ector</w:t>
      </w:r>
      <w:r w:rsidRPr="005F0AB6">
        <w:t xml:space="preserve"> consider its recommendations for </w:t>
      </w:r>
      <w:r w:rsidR="002E3C7E" w:rsidRPr="005F0AB6">
        <w:t>NCWM Publication 14</w:t>
      </w:r>
      <w:r w:rsidRPr="005F0AB6">
        <w:t xml:space="preserve">, </w:t>
      </w:r>
      <w:r w:rsidR="002E3C7E" w:rsidRPr="005F0AB6">
        <w:t>Digital Electronic Scales (</w:t>
      </w:r>
      <w:r w:rsidRPr="005F0AB6">
        <w:t>DES</w:t>
      </w:r>
      <w:r w:rsidR="002E3C7E" w:rsidRPr="005F0AB6">
        <w:t>)</w:t>
      </w:r>
      <w:r w:rsidRPr="005F0AB6">
        <w:t xml:space="preserve"> Section 10.  The </w:t>
      </w:r>
      <w:r w:rsidR="005F0AB6" w:rsidRPr="005F0AB6">
        <w:t>S</w:t>
      </w:r>
      <w:r w:rsidR="002E3C7E" w:rsidRPr="005F0AB6">
        <w:t>ector</w:t>
      </w:r>
      <w:r w:rsidRPr="005F0AB6">
        <w:t xml:space="preserve"> reviewed the recommendations and agreed with the revised proposal to amend </w:t>
      </w:r>
      <w:r w:rsidR="002E3C7E" w:rsidRPr="005F0AB6">
        <w:t xml:space="preserve">NCWM Publication 14 </w:t>
      </w:r>
      <w:r w:rsidRPr="005F0AB6">
        <w:t xml:space="preserve">Scale Section 10 and recommended it be forwarded to the S&amp;T Committee and the </w:t>
      </w:r>
      <w:r w:rsidR="002E3C7E" w:rsidRPr="005F0AB6">
        <w:t>Scale Manufacturers Association (</w:t>
      </w:r>
      <w:r w:rsidRPr="005F0AB6">
        <w:t>SMA</w:t>
      </w:r>
      <w:r w:rsidR="002E3C7E" w:rsidRPr="005F0AB6">
        <w:t>)</w:t>
      </w:r>
      <w:r w:rsidRPr="005F0AB6">
        <w:t xml:space="preserve"> for consideration prior to the 2011 NCWM Interim Meeting.  The </w:t>
      </w:r>
      <w:r w:rsidR="005F0AB6" w:rsidRPr="005F0AB6">
        <w:t>S</w:t>
      </w:r>
      <w:r w:rsidR="002E3C7E" w:rsidRPr="005F0AB6">
        <w:t>ector</w:t>
      </w:r>
      <w:r w:rsidRPr="005F0AB6">
        <w:t xml:space="preserve"> also agreed to forward the amended</w:t>
      </w:r>
      <w:r>
        <w:t xml:space="preserve"> language </w:t>
      </w:r>
      <w:r w:rsidRPr="00C83B0B">
        <w:rPr>
          <w:u w:color="82C42A"/>
        </w:rPr>
        <w:t>for</w:t>
      </w:r>
      <w:r w:rsidRPr="00C83B0B">
        <w:t xml:space="preserve"> </w:t>
      </w:r>
      <w:r w:rsidR="002E3C7E" w:rsidRPr="005F0AB6">
        <w:t>NCWM Publication 14</w:t>
      </w:r>
      <w:r w:rsidR="002E3C7E">
        <w:t xml:space="preserve"> </w:t>
      </w:r>
      <w:r>
        <w:t xml:space="preserve">to the S&amp;T Committee with a recommendation that the S&amp;T item be Withdrawn from the </w:t>
      </w:r>
      <w:r w:rsidR="00967910">
        <w:t xml:space="preserve">Committee’s </w:t>
      </w:r>
      <w:r>
        <w:t xml:space="preserve">agenda.  </w:t>
      </w:r>
    </w:p>
    <w:p w:rsidR="00ED616C" w:rsidRDefault="00ED616C" w:rsidP="00ED616C">
      <w:r>
        <w:t>At the 2011 NCWM Annual Meeting</w:t>
      </w:r>
      <w:r w:rsidR="005F0AB6">
        <w:t>,</w:t>
      </w:r>
      <w:r>
        <w:t xml:space="preserve"> the </w:t>
      </w:r>
      <w:r w:rsidR="00967910">
        <w:t xml:space="preserve">Committee </w:t>
      </w:r>
      <w:r>
        <w:t xml:space="preserve">agreed to add the following </w:t>
      </w:r>
      <w:r w:rsidR="002E3C7E">
        <w:t>two</w:t>
      </w:r>
      <w:r>
        <w:t xml:space="preserve"> paragraphs into the Report of the 96</w:t>
      </w:r>
      <w:r w:rsidRPr="005F0AB6">
        <w:rPr>
          <w:vertAlign w:val="superscript"/>
        </w:rPr>
        <w:t>th</w:t>
      </w:r>
      <w:r>
        <w:t xml:space="preserve"> NCWM to make clear its interpretation of G-S.8.: </w:t>
      </w:r>
    </w:p>
    <w:p w:rsidR="00ED616C" w:rsidRDefault="00ED616C" w:rsidP="00FC3603">
      <w:pPr>
        <w:pStyle w:val="bulletedlist"/>
      </w:pPr>
      <w:r>
        <w:t>The current langua</w:t>
      </w:r>
      <w:r w:rsidR="002E3C7E">
        <w:t xml:space="preserve">ge in paragraph G-S.8. states: </w:t>
      </w:r>
      <w:r w:rsidR="005F0AB6">
        <w:t xml:space="preserve"> </w:t>
      </w:r>
      <w:r>
        <w:t>“A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ED616C" w:rsidRDefault="00ED616C" w:rsidP="002E3C7E">
      <w:pPr>
        <w:pStyle w:val="bulletedlist"/>
      </w:pPr>
      <w:r>
        <w:t xml:space="preserve">Thus, for parameters protected by physical means of security, once a physical security seal is applied to the device, it should not be possible to make a </w:t>
      </w:r>
      <w:r w:rsidRPr="00C83B0B">
        <w:rPr>
          <w:u w:color="82C42A"/>
        </w:rPr>
        <w:t>metrological</w:t>
      </w:r>
      <w:r w:rsidRPr="00C83B0B">
        <w:t xml:space="preserve"> </w:t>
      </w:r>
      <w:r>
        <w:t xml:space="preserve">change to those parameters without breaking that seal.  Likewise, for parameters protected by electronic means of security, it should not be possible to make a </w:t>
      </w:r>
      <w:r w:rsidRPr="00C83B0B">
        <w:rPr>
          <w:u w:color="82C42A"/>
        </w:rPr>
        <w:t>metrological</w:t>
      </w:r>
      <w:r w:rsidRPr="00C83B0B">
        <w:t xml:space="preserve"> </w:t>
      </w:r>
      <w:r>
        <w:t xml:space="preserve">change to those parameters without that change being reflected in the audit trail. Since this philosophy addresses provisions for protecting access to any </w:t>
      </w:r>
      <w:r w:rsidRPr="00C83B0B">
        <w:rPr>
          <w:u w:color="82C42A"/>
        </w:rPr>
        <w:t>metrological</w:t>
      </w:r>
      <w:r w:rsidRPr="00C83B0B">
        <w:t xml:space="preserve"> </w:t>
      </w:r>
      <w:r>
        <w:t>adjustment, the philosophy should be applied consistently to all electronic device types.</w:t>
      </w:r>
    </w:p>
    <w:p w:rsidR="00ED616C" w:rsidRPr="005F0AB6" w:rsidRDefault="00ED616C" w:rsidP="00ED616C">
      <w:r>
        <w:t xml:space="preserve">During the 2011 </w:t>
      </w:r>
      <w:r w:rsidR="008C0090">
        <w:t xml:space="preserve">Northeastern Weights and Measures Association (NEWMA) </w:t>
      </w:r>
      <w:r>
        <w:t xml:space="preserve">Annual Meeting, </w:t>
      </w:r>
      <w:r w:rsidR="008C0090">
        <w:t xml:space="preserve">Mr. Andersen, retired member, </w:t>
      </w:r>
      <w:r>
        <w:t xml:space="preserve">stated that he believed that the language that was added to </w:t>
      </w:r>
      <w:r w:rsidR="008C0090" w:rsidRPr="005F0AB6">
        <w:t>NCWM Publication 14</w:t>
      </w:r>
      <w:r w:rsidR="008C0090">
        <w:rPr>
          <w:i/>
        </w:rPr>
        <w:t xml:space="preserve"> </w:t>
      </w:r>
      <w:r>
        <w:t xml:space="preserve">is different than </w:t>
      </w:r>
      <w:r>
        <w:lastRenderedPageBreak/>
        <w:t xml:space="preserve">what was proposed for </w:t>
      </w:r>
      <w:r w:rsidRPr="00C83B0B">
        <w:rPr>
          <w:u w:color="82C42A"/>
        </w:rPr>
        <w:t>vote</w:t>
      </w:r>
      <w:r w:rsidRPr="00C83B0B">
        <w:t>.</w:t>
      </w:r>
      <w:r w:rsidR="008C0090">
        <w:t xml:space="preserve">  </w:t>
      </w:r>
      <w:r>
        <w:t xml:space="preserve">The language added to </w:t>
      </w:r>
      <w:r w:rsidR="008C0090" w:rsidRPr="005F0AB6">
        <w:t>NCWM Publication 14</w:t>
      </w:r>
      <w:r w:rsidR="008C0090">
        <w:rPr>
          <w:i/>
        </w:rPr>
        <w:t xml:space="preserve"> </w:t>
      </w:r>
      <w:r>
        <w:t xml:space="preserve">allows a device with physical means of sealing to be sealed in the calibration or configuration mode if it provides a clear indication that it’s in that mode.  If it was the intent of NTEP to accept an indicator light to depict when a device is in the calibration or configuration mode, he recommended that </w:t>
      </w:r>
      <w:r w:rsidR="00B8457B">
        <w:t xml:space="preserve">the </w:t>
      </w:r>
      <w:r>
        <w:t xml:space="preserve">S&amp;T Committee sanction that in their interpretation.  Since NTEP policy must conform </w:t>
      </w:r>
      <w:r w:rsidRPr="00C83B0B">
        <w:rPr>
          <w:u w:color="82C42A"/>
        </w:rPr>
        <w:t>with</w:t>
      </w:r>
      <w:r w:rsidRPr="00C83B0B">
        <w:t xml:space="preserve"> </w:t>
      </w:r>
      <w:r w:rsidR="008C0090" w:rsidRPr="005F0AB6">
        <w:t xml:space="preserve">NIST Handbook </w:t>
      </w:r>
      <w:r w:rsidRPr="005F0AB6">
        <w:t>44,</w:t>
      </w:r>
      <w:r>
        <w:t xml:space="preserve"> it seems necessary to ensure the code also permits the indicator light.</w:t>
      </w:r>
      <w:r w:rsidR="008C0090">
        <w:t xml:space="preserve"> </w:t>
      </w:r>
      <w:r>
        <w:t xml:space="preserve"> Thus, that </w:t>
      </w:r>
      <w:r w:rsidRPr="005F0AB6">
        <w:t xml:space="preserve">must be included in the interpretation of the </w:t>
      </w:r>
      <w:r w:rsidR="008C0090" w:rsidRPr="005F0AB6">
        <w:t>c</w:t>
      </w:r>
      <w:r w:rsidRPr="005F0AB6">
        <w:t>ommittee.</w:t>
      </w:r>
    </w:p>
    <w:p w:rsidR="00ED616C" w:rsidRPr="005F0AB6" w:rsidRDefault="00ED616C" w:rsidP="00ED616C">
      <w:r w:rsidRPr="005F0AB6">
        <w:t xml:space="preserve">As a result of Mr. Andersen’s comments, the 2011 S&amp;T Committee asked that the </w:t>
      </w:r>
      <w:r w:rsidR="005F0AB6" w:rsidRPr="005F0AB6">
        <w:t>S</w:t>
      </w:r>
      <w:r w:rsidR="008C0090" w:rsidRPr="005F0AB6">
        <w:t>ector</w:t>
      </w:r>
      <w:r w:rsidRPr="005F0AB6">
        <w:t xml:space="preserve"> review its most current interpretation of </w:t>
      </w:r>
      <w:r w:rsidRPr="0096623B">
        <w:t>NIST Handbook 44</w:t>
      </w:r>
      <w:r w:rsidR="0096623B">
        <w:rPr>
          <w:i/>
        </w:rPr>
        <w:t>,</w:t>
      </w:r>
      <w:r w:rsidRPr="005F0AB6">
        <w:t xml:space="preserve"> G-S.8., which was approved by NCWM for inclusion into the Report of the 96</w:t>
      </w:r>
      <w:r w:rsidRPr="0096623B">
        <w:rPr>
          <w:vertAlign w:val="superscript"/>
        </w:rPr>
        <w:t>th</w:t>
      </w:r>
      <w:r w:rsidRPr="005F0AB6">
        <w:t xml:space="preserve"> NCWM at its July 2011 Annual Meeting, and verify that the </w:t>
      </w:r>
      <w:r w:rsidR="005F0AB6" w:rsidRPr="005F0AB6">
        <w:t>S</w:t>
      </w:r>
      <w:r w:rsidR="008C0090" w:rsidRPr="005F0AB6">
        <w:t>ector</w:t>
      </w:r>
      <w:r w:rsidRPr="005F0AB6">
        <w:t xml:space="preserve">’s 2010 recommended changes to </w:t>
      </w:r>
      <w:r w:rsidR="008C0090" w:rsidRPr="0096623B">
        <w:t>NCWM Publication 14</w:t>
      </w:r>
      <w:r w:rsidR="008C0090" w:rsidRPr="005F0AB6">
        <w:rPr>
          <w:i/>
        </w:rPr>
        <w:t xml:space="preserve"> </w:t>
      </w:r>
      <w:r w:rsidRPr="005F0AB6">
        <w:t xml:space="preserve">are consistent with the </w:t>
      </w:r>
      <w:r w:rsidR="00967910" w:rsidRPr="005F0AB6">
        <w:t xml:space="preserve">Committee’s </w:t>
      </w:r>
      <w:r w:rsidRPr="005F0AB6">
        <w:t>interpretation.</w:t>
      </w:r>
    </w:p>
    <w:p w:rsidR="008C0090" w:rsidRPr="005F0AB6" w:rsidRDefault="00ED616C" w:rsidP="008C0090">
      <w:pPr>
        <w:pStyle w:val="BoldHeading"/>
      </w:pPr>
      <w:r w:rsidRPr="005F0AB6">
        <w:t>Conclusion:</w:t>
      </w:r>
      <w:r w:rsidRPr="005F0AB6">
        <w:tab/>
      </w:r>
    </w:p>
    <w:p w:rsidR="00037466" w:rsidRDefault="008C0090" w:rsidP="00ED616C">
      <w:pPr>
        <w:rPr>
          <w:i/>
        </w:rPr>
      </w:pPr>
      <w:r w:rsidRPr="005F0AB6">
        <w:t xml:space="preserve">Mr. Harshman, </w:t>
      </w:r>
      <w:r w:rsidR="00ED616C" w:rsidRPr="005F0AB6">
        <w:t>NIST Technical Advisor</w:t>
      </w:r>
      <w:r w:rsidRPr="005F0AB6">
        <w:t>,</w:t>
      </w:r>
      <w:r w:rsidR="00ED616C" w:rsidRPr="005F0AB6">
        <w:t xml:space="preserve"> provided an update to the </w:t>
      </w:r>
      <w:r w:rsidR="005F0AB6" w:rsidRPr="005F0AB6">
        <w:t>S</w:t>
      </w:r>
      <w:r w:rsidR="00ED616C" w:rsidRPr="005F0AB6">
        <w:t xml:space="preserve">ector on the discussions that took place relative to this item during the 2011 </w:t>
      </w:r>
      <w:r w:rsidRPr="005F0AB6">
        <w:t xml:space="preserve">NEWMA </w:t>
      </w:r>
      <w:r w:rsidR="00ED616C" w:rsidRPr="005F0AB6">
        <w:t xml:space="preserve">Annual Meeting </w:t>
      </w:r>
      <w:r w:rsidRPr="005F0AB6">
        <w:t>and the 2011 NCWM</w:t>
      </w:r>
      <w:r w:rsidR="00ED616C" w:rsidRPr="005F0AB6">
        <w:t xml:space="preserve"> Annual Meeting</w:t>
      </w:r>
      <w:r w:rsidRPr="005F0AB6">
        <w:t xml:space="preserve">.  The </w:t>
      </w:r>
      <w:r w:rsidR="005F0AB6" w:rsidRPr="005F0AB6">
        <w:t>S</w:t>
      </w:r>
      <w:r w:rsidR="00ED616C" w:rsidRPr="005F0AB6">
        <w:t xml:space="preserve">ector was then asked to review the language that was added to </w:t>
      </w:r>
      <w:r w:rsidRPr="005F0AB6">
        <w:t xml:space="preserve">NCWM Publication 14 </w:t>
      </w:r>
      <w:r w:rsidR="00ED616C" w:rsidRPr="005F0AB6">
        <w:t>DES type evaluation checklists and test procedures</w:t>
      </w:r>
      <w:r w:rsidRPr="005F0AB6">
        <w:t xml:space="preserve"> </w:t>
      </w:r>
      <w:r w:rsidR="00ED616C" w:rsidRPr="005F0AB6">
        <w:t xml:space="preserve">to confirm that existing language is aligned with the </w:t>
      </w:r>
      <w:r w:rsidR="00967910" w:rsidRPr="005F0AB6">
        <w:t xml:space="preserve">Committee’s </w:t>
      </w:r>
      <w:r w:rsidR="00ED616C" w:rsidRPr="005F0AB6">
        <w:t>interpretation of G-S.8.</w:t>
      </w:r>
      <w:r w:rsidRPr="005F0AB6">
        <w:t xml:space="preserve"> </w:t>
      </w:r>
      <w:r w:rsidR="00ED616C" w:rsidRPr="005F0AB6">
        <w:t xml:space="preserve"> The </w:t>
      </w:r>
      <w:r w:rsidR="005F0AB6" w:rsidRPr="005F0AB6">
        <w:t>S</w:t>
      </w:r>
      <w:r w:rsidRPr="005F0AB6">
        <w:t>ector</w:t>
      </w:r>
      <w:r w:rsidR="00ED616C" w:rsidRPr="005F0AB6">
        <w:t xml:space="preserve"> compared the language that was added to the 2011 S&amp;T </w:t>
      </w:r>
      <w:r w:rsidRPr="005F0AB6">
        <w:t xml:space="preserve">Committee </w:t>
      </w:r>
      <w:r w:rsidR="00ED616C" w:rsidRPr="005F0AB6">
        <w:t xml:space="preserve">Final Report to that which had been added to </w:t>
      </w:r>
      <w:r w:rsidRPr="005F0AB6">
        <w:t xml:space="preserve">NCWM Publication 14 </w:t>
      </w:r>
      <w:r w:rsidR="00ED616C" w:rsidRPr="005F0AB6">
        <w:t>and concluded there were no conflicts</w:t>
      </w:r>
      <w:r w:rsidR="00967910" w:rsidRPr="005F0AB6">
        <w:t>,</w:t>
      </w:r>
      <w:r w:rsidR="00ED616C" w:rsidRPr="005F0AB6">
        <w:t xml:space="preserve"> and that the language added to </w:t>
      </w:r>
      <w:r w:rsidRPr="005F0AB6">
        <w:t xml:space="preserve">NCWM Publication 14 </w:t>
      </w:r>
      <w:r w:rsidR="00ED616C" w:rsidRPr="005F0AB6">
        <w:t xml:space="preserve">didn’t need amending.  The </w:t>
      </w:r>
      <w:r w:rsidR="005F0AB6" w:rsidRPr="005F0AB6">
        <w:t>S</w:t>
      </w:r>
      <w:r w:rsidR="00ED616C" w:rsidRPr="005F0AB6">
        <w:t xml:space="preserve">ector agreed to recommend </w:t>
      </w:r>
      <w:r w:rsidR="00626010" w:rsidRPr="005F0AB6">
        <w:t xml:space="preserve">the following changes </w:t>
      </w:r>
      <w:r w:rsidR="00ED616C" w:rsidRPr="005F0AB6">
        <w:t xml:space="preserve">to </w:t>
      </w:r>
      <w:r w:rsidR="00626010" w:rsidRPr="005F0AB6">
        <w:t xml:space="preserve">NCWM Publication 14, </w:t>
      </w:r>
      <w:r w:rsidR="00ED616C" w:rsidRPr="005F0AB6">
        <w:t>DES</w:t>
      </w:r>
      <w:r w:rsidR="001652AD" w:rsidRPr="005F0AB6">
        <w:t xml:space="preserve"> Section 10</w:t>
      </w:r>
      <w:r w:rsidR="00626010" w:rsidRPr="005F0AB6">
        <w:t xml:space="preserve"> including the table</w:t>
      </w:r>
      <w:r w:rsidR="00E03EF6" w:rsidRPr="005F0AB6">
        <w:t xml:space="preserve"> and Automatic Weighing Systems (AWS).</w:t>
      </w:r>
    </w:p>
    <w:p w:rsidR="001652AD" w:rsidRPr="001652AD" w:rsidRDefault="001652AD" w:rsidP="007653D6">
      <w:pPr>
        <w:pStyle w:val="I-Normalreg"/>
        <w:ind w:left="720"/>
        <w:rPr>
          <w:b/>
          <w:u w:val="single"/>
        </w:rPr>
      </w:pPr>
      <w:r w:rsidRPr="001652AD">
        <w:rPr>
          <w:b/>
          <w:u w:val="single"/>
        </w:rPr>
        <w:t xml:space="preserve">The current language in </w:t>
      </w:r>
      <w:r w:rsidR="00647C81">
        <w:rPr>
          <w:b/>
          <w:u w:val="single"/>
        </w:rPr>
        <w:t xml:space="preserve">NIST Handbook 44 </w:t>
      </w:r>
      <w:r w:rsidRPr="00C83B0B">
        <w:rPr>
          <w:b/>
          <w:u w:val="single"/>
        </w:rPr>
        <w:t>paragraph</w:t>
      </w:r>
      <w:r w:rsidRPr="001652AD">
        <w:rPr>
          <w:b/>
          <w:u w:val="single"/>
        </w:rPr>
        <w:t xml:space="preserve"> G-S.8. states:</w:t>
      </w:r>
      <w:r w:rsidR="005F0AB6">
        <w:rPr>
          <w:b/>
          <w:u w:val="single"/>
        </w:rPr>
        <w:t xml:space="preserve"> </w:t>
      </w:r>
      <w:r w:rsidRPr="001652AD">
        <w:rPr>
          <w:b/>
          <w:u w:val="single"/>
        </w:rPr>
        <w:t xml:space="preserve">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1652AD" w:rsidRDefault="001652AD" w:rsidP="007653D6">
      <w:pPr>
        <w:pStyle w:val="I-Normalreg"/>
        <w:ind w:left="720"/>
        <w:rPr>
          <w:b/>
          <w:u w:val="single"/>
        </w:rPr>
      </w:pPr>
      <w:r w:rsidRPr="001652AD">
        <w:rPr>
          <w:b/>
          <w:u w:val="single"/>
        </w:rPr>
        <w:t xml:space="preserve">Thus, for parameters protected by physical means of security, once a physical security seal is applied to the device, it should not be possible to make a </w:t>
      </w:r>
      <w:r w:rsidRPr="00C83B0B">
        <w:rPr>
          <w:b/>
          <w:u w:val="single"/>
        </w:rPr>
        <w:t>metrological</w:t>
      </w:r>
      <w:r w:rsidRPr="001652AD">
        <w:rPr>
          <w:b/>
          <w:u w:val="single"/>
        </w:rPr>
        <w:t xml:space="preserve"> change to those parameters without breaking that seal.  Likewise, for parameters protected by electronic means of security, it should not be possible to make a </w:t>
      </w:r>
      <w:r w:rsidRPr="00C83B0B">
        <w:rPr>
          <w:b/>
          <w:u w:val="single"/>
        </w:rPr>
        <w:t>metrological</w:t>
      </w:r>
      <w:r w:rsidRPr="001652AD">
        <w:rPr>
          <w:b/>
          <w:u w:val="single"/>
        </w:rPr>
        <w:t xml:space="preserve"> change to those parameters without that change being reflected in the audit trail. Since this philosophy addresses provisions for protecting access to any </w:t>
      </w:r>
      <w:r w:rsidRPr="00C83B0B">
        <w:rPr>
          <w:b/>
          <w:u w:val="single"/>
        </w:rPr>
        <w:t>metrological</w:t>
      </w:r>
      <w:r w:rsidRPr="001652AD">
        <w:rPr>
          <w:b/>
          <w:u w:val="single"/>
        </w:rPr>
        <w:t xml:space="preserve"> adjustment, the philosophy should be applied consistently to all electronic device types.</w:t>
      </w:r>
    </w:p>
    <w:p w:rsidR="00EB6D9E" w:rsidRDefault="00EB6D9E" w:rsidP="00EB6D9E">
      <w:r w:rsidRPr="006D53BE">
        <w:t>NCWM Publication 14:</w:t>
      </w:r>
      <w:r>
        <w:t xml:space="preserve"> DES Section 10. Table</w:t>
      </w:r>
    </w:p>
    <w:p w:rsidR="00626010" w:rsidRDefault="00037466" w:rsidP="007653D6">
      <w:pPr>
        <w:pStyle w:val="I-Normalreg"/>
        <w:ind w:left="720"/>
        <w:rPr>
          <w:b/>
        </w:rPr>
      </w:pPr>
      <w:r w:rsidRPr="00626010">
        <w:rPr>
          <w:b/>
        </w:rPr>
        <w:t>Indications Representing That the Device is Configured with the Setup</w:t>
      </w:r>
      <w:r w:rsidR="00626010" w:rsidRPr="00626010">
        <w:rPr>
          <w:b/>
        </w:rPr>
        <w:t xml:space="preserve"> or Configuration Mode Enabled </w:t>
      </w:r>
      <w:r w:rsidRPr="00626010">
        <w:rPr>
          <w:b/>
        </w:rPr>
        <w:t>(</w:t>
      </w:r>
      <w:r w:rsidR="007E32E8" w:rsidRPr="00626010">
        <w:rPr>
          <w:b/>
        </w:rPr>
        <w:t>e.g.</w:t>
      </w:r>
      <w:r w:rsidR="007E32E8" w:rsidRPr="00C83B0B">
        <w:rPr>
          <w:b/>
          <w:u w:color="82C42A"/>
        </w:rPr>
        <w:t>,</w:t>
      </w:r>
      <w:r w:rsidR="007E32E8" w:rsidRPr="00C83B0B">
        <w:rPr>
          <w:b/>
        </w:rPr>
        <w:t xml:space="preserve"> </w:t>
      </w:r>
      <w:r w:rsidR="007E32E8" w:rsidRPr="00626010">
        <w:rPr>
          <w:b/>
        </w:rPr>
        <w:t>any</w:t>
      </w:r>
      <w:r w:rsidRPr="00626010">
        <w:rPr>
          <w:b/>
        </w:rPr>
        <w:t xml:space="preserve"> mode permitting access to any or all </w:t>
      </w:r>
      <w:r w:rsidRPr="00C83B0B">
        <w:rPr>
          <w:b/>
          <w:u w:color="82C42A"/>
        </w:rPr>
        <w:t>sealable</w:t>
      </w:r>
      <w:r w:rsidRPr="00C83B0B">
        <w:rPr>
          <w:b/>
        </w:rPr>
        <w:t xml:space="preserve"> </w:t>
      </w:r>
      <w:r w:rsidRPr="00626010">
        <w:rPr>
          <w:b/>
        </w:rPr>
        <w:t>parameters)</w:t>
      </w:r>
      <w:r w:rsidR="006D53BE">
        <w:rPr>
          <w:b/>
        </w:rPr>
        <w:t>.</w:t>
      </w:r>
    </w:p>
    <w:p w:rsidR="00626010" w:rsidRPr="00626010" w:rsidRDefault="00626010" w:rsidP="007653D6">
      <w:pPr>
        <w:pStyle w:val="I-Normalreg"/>
        <w:ind w:left="727"/>
        <w:rPr>
          <w:b/>
        </w:rPr>
      </w:pPr>
      <w:r w:rsidRPr="00626010">
        <w:rPr>
          <w:b/>
          <w:u w:val="single"/>
        </w:rPr>
        <w:t xml:space="preserve">This list is not </w:t>
      </w:r>
      <w:r w:rsidRPr="00C83B0B">
        <w:rPr>
          <w:b/>
          <w:u w:val="single"/>
        </w:rPr>
        <w:t>limiting</w:t>
      </w:r>
      <w:r w:rsidRPr="00626010">
        <w:rPr>
          <w:b/>
          <w:u w:val="single"/>
        </w:rPr>
        <w:t xml:space="preserve"> or all inclusive and other indications may be acceptable.</w:t>
      </w:r>
    </w:p>
    <w:tbl>
      <w:tblPr>
        <w:tblStyle w:val="TableGrid"/>
        <w:tblW w:w="0" w:type="auto"/>
        <w:tblInd w:w="720" w:type="dxa"/>
        <w:tblLook w:val="04A0" w:firstRow="1" w:lastRow="0" w:firstColumn="1" w:lastColumn="0" w:noHBand="0" w:noVBand="1"/>
      </w:tblPr>
      <w:tblGrid>
        <w:gridCol w:w="4428"/>
        <w:gridCol w:w="4428"/>
      </w:tblGrid>
      <w:tr w:rsidR="00626010" w:rsidTr="00626010">
        <w:tc>
          <w:tcPr>
            <w:tcW w:w="4428" w:type="dxa"/>
          </w:tcPr>
          <w:p w:rsidR="00626010" w:rsidRPr="00E04535" w:rsidRDefault="00626010" w:rsidP="00626010">
            <w:pPr>
              <w:pStyle w:val="CodeCopy"/>
              <w:spacing w:after="0"/>
              <w:ind w:left="0"/>
              <w:jc w:val="center"/>
              <w:rPr>
                <w:b/>
              </w:rPr>
            </w:pPr>
            <w:r w:rsidRPr="00E04535">
              <w:rPr>
                <w:b/>
              </w:rPr>
              <w:t>Acceptable Clear Indications</w:t>
            </w:r>
          </w:p>
        </w:tc>
        <w:tc>
          <w:tcPr>
            <w:tcW w:w="4428" w:type="dxa"/>
          </w:tcPr>
          <w:p w:rsidR="00626010" w:rsidRPr="00E04535" w:rsidRDefault="00626010" w:rsidP="00626010">
            <w:pPr>
              <w:pStyle w:val="CodeCopy"/>
              <w:spacing w:after="0"/>
              <w:ind w:left="0"/>
              <w:jc w:val="center"/>
              <w:rPr>
                <w:b/>
              </w:rPr>
            </w:pPr>
            <w:r w:rsidRPr="00E04535">
              <w:rPr>
                <w:b/>
              </w:rPr>
              <w:t>Indications NOT Acceptably Clear</w:t>
            </w:r>
          </w:p>
        </w:tc>
      </w:tr>
      <w:tr w:rsidR="00626010" w:rsidTr="00626010">
        <w:tc>
          <w:tcPr>
            <w:tcW w:w="4428" w:type="dxa"/>
          </w:tcPr>
          <w:p w:rsidR="00626010" w:rsidRDefault="00626010" w:rsidP="00626010">
            <w:pPr>
              <w:pStyle w:val="CodeCopy"/>
              <w:numPr>
                <w:ilvl w:val="0"/>
                <w:numId w:val="42"/>
              </w:numPr>
              <w:spacing w:after="0"/>
              <w:ind w:left="216" w:hanging="216"/>
            </w:pPr>
            <w:r>
              <w:t>Unusable Weight Indications (e.g. C100.05E)</w:t>
            </w:r>
          </w:p>
        </w:tc>
        <w:tc>
          <w:tcPr>
            <w:tcW w:w="4428" w:type="dxa"/>
          </w:tcPr>
          <w:p w:rsidR="00626010" w:rsidRPr="00C83B0B" w:rsidRDefault="00626010" w:rsidP="00626010">
            <w:pPr>
              <w:pStyle w:val="CodeCopy"/>
              <w:numPr>
                <w:ilvl w:val="0"/>
                <w:numId w:val="43"/>
              </w:numPr>
              <w:spacing w:after="0"/>
              <w:ind w:left="184" w:hanging="184"/>
            </w:pPr>
            <w:r>
              <w:t xml:space="preserve">C 100.05 </w:t>
            </w:r>
            <w:r w:rsidRPr="00C83B0B">
              <w:rPr>
                <w:u w:color="82C42A"/>
              </w:rPr>
              <w:t>lb</w:t>
            </w:r>
          </w:p>
        </w:tc>
      </w:tr>
      <w:tr w:rsidR="00626010" w:rsidTr="00626010">
        <w:tc>
          <w:tcPr>
            <w:tcW w:w="4428" w:type="dxa"/>
          </w:tcPr>
          <w:p w:rsidR="00626010" w:rsidRDefault="0096623B" w:rsidP="0096623B">
            <w:pPr>
              <w:pStyle w:val="CodeCopy"/>
              <w:numPr>
                <w:ilvl w:val="0"/>
                <w:numId w:val="42"/>
              </w:numPr>
              <w:spacing w:after="0"/>
              <w:ind w:left="216" w:hanging="216"/>
            </w:pPr>
            <w:r>
              <w:t>“</w:t>
            </w:r>
            <w:r w:rsidR="00626010">
              <w:t xml:space="preserve">Not </w:t>
            </w:r>
            <w:r w:rsidR="00626010" w:rsidRPr="0096623B">
              <w:t>NIST Handbook 44</w:t>
            </w:r>
            <w:r>
              <w:t>”</w:t>
            </w:r>
            <w:r w:rsidR="00626010">
              <w:t xml:space="preserve"> Annunciator</w:t>
            </w:r>
          </w:p>
        </w:tc>
        <w:tc>
          <w:tcPr>
            <w:tcW w:w="4428" w:type="dxa"/>
          </w:tcPr>
          <w:p w:rsidR="00626010" w:rsidRDefault="00626010" w:rsidP="00626010">
            <w:pPr>
              <w:pStyle w:val="CodeCopy"/>
              <w:numPr>
                <w:ilvl w:val="0"/>
                <w:numId w:val="43"/>
              </w:numPr>
              <w:spacing w:after="0"/>
              <w:ind w:left="184" w:hanging="184"/>
            </w:pPr>
            <w:r>
              <w:t>Any Digit in the Weight Differentiated by Size, Shape or Color</w:t>
            </w:r>
          </w:p>
        </w:tc>
      </w:tr>
      <w:tr w:rsidR="00626010" w:rsidTr="00626010">
        <w:tc>
          <w:tcPr>
            <w:tcW w:w="4428" w:type="dxa"/>
          </w:tcPr>
          <w:p w:rsidR="00626010" w:rsidRDefault="006D53BE" w:rsidP="006D53BE">
            <w:pPr>
              <w:pStyle w:val="CodeCopy"/>
              <w:numPr>
                <w:ilvl w:val="0"/>
                <w:numId w:val="42"/>
              </w:numPr>
              <w:spacing w:after="0"/>
              <w:ind w:left="216" w:hanging="216"/>
            </w:pPr>
            <w:r>
              <w:t>“</w:t>
            </w:r>
            <w:r w:rsidR="00626010">
              <w:t>CAL</w:t>
            </w:r>
            <w:r>
              <w:t>”</w:t>
            </w:r>
            <w:r w:rsidR="00626010">
              <w:t xml:space="preserve"> Annunciator (single or mixed case)</w:t>
            </w:r>
          </w:p>
        </w:tc>
        <w:tc>
          <w:tcPr>
            <w:tcW w:w="4428" w:type="dxa"/>
          </w:tcPr>
          <w:p w:rsidR="00626010" w:rsidRDefault="00626010" w:rsidP="00626010">
            <w:pPr>
              <w:pStyle w:val="CodeCopy"/>
              <w:numPr>
                <w:ilvl w:val="0"/>
                <w:numId w:val="43"/>
              </w:numPr>
              <w:spacing w:after="0"/>
              <w:ind w:left="184" w:hanging="184"/>
            </w:pPr>
            <w:r>
              <w:t>Weights Without Units (e.g.</w:t>
            </w:r>
            <w:r w:rsidR="006D53BE">
              <w:t>,</w:t>
            </w:r>
            <w:r>
              <w:t xml:space="preserve"> 100.05)</w:t>
            </w:r>
          </w:p>
        </w:tc>
      </w:tr>
      <w:tr w:rsidR="00626010" w:rsidTr="00626010">
        <w:tc>
          <w:tcPr>
            <w:tcW w:w="4428" w:type="dxa"/>
          </w:tcPr>
          <w:p w:rsidR="00626010" w:rsidRDefault="006D53BE" w:rsidP="006D53BE">
            <w:pPr>
              <w:pStyle w:val="CodeCopy"/>
              <w:numPr>
                <w:ilvl w:val="0"/>
                <w:numId w:val="42"/>
              </w:numPr>
              <w:spacing w:after="0"/>
              <w:ind w:left="216" w:hanging="216"/>
            </w:pPr>
            <w:r>
              <w:t>“</w:t>
            </w:r>
            <w:r w:rsidR="00626010">
              <w:t>Set-up</w:t>
            </w:r>
            <w:r>
              <w:t>”</w:t>
            </w:r>
            <w:r w:rsidR="00626010">
              <w:t xml:space="preserve"> Annunciator (single or mixed case)</w:t>
            </w:r>
          </w:p>
        </w:tc>
        <w:tc>
          <w:tcPr>
            <w:tcW w:w="4428" w:type="dxa"/>
          </w:tcPr>
          <w:p w:rsidR="00626010" w:rsidRDefault="00626010" w:rsidP="00626010">
            <w:pPr>
              <w:pStyle w:val="CodeCopy"/>
              <w:numPr>
                <w:ilvl w:val="0"/>
                <w:numId w:val="43"/>
              </w:numPr>
              <w:spacing w:after="0"/>
              <w:ind w:left="184" w:hanging="184"/>
            </w:pPr>
            <w:r>
              <w:t>Flashing Weight Value</w:t>
            </w:r>
          </w:p>
        </w:tc>
      </w:tr>
      <w:tr w:rsidR="00626010" w:rsidTr="00626010">
        <w:tc>
          <w:tcPr>
            <w:tcW w:w="4428" w:type="dxa"/>
          </w:tcPr>
          <w:p w:rsidR="00626010" w:rsidRDefault="006D53BE" w:rsidP="006D53BE">
            <w:pPr>
              <w:pStyle w:val="CodeCopy"/>
              <w:numPr>
                <w:ilvl w:val="0"/>
                <w:numId w:val="42"/>
              </w:numPr>
              <w:spacing w:after="0"/>
              <w:ind w:left="216" w:hanging="216"/>
            </w:pPr>
            <w:r>
              <w:t>“</w:t>
            </w:r>
            <w:r w:rsidR="00626010">
              <w:t>Config</w:t>
            </w:r>
            <w:r>
              <w:t>”</w:t>
            </w:r>
            <w:r w:rsidR="00626010">
              <w:t xml:space="preserve"> Annunciator (single or mixed case)</w:t>
            </w:r>
          </w:p>
        </w:tc>
        <w:tc>
          <w:tcPr>
            <w:tcW w:w="4428" w:type="dxa"/>
          </w:tcPr>
          <w:p w:rsidR="00626010" w:rsidRDefault="00626010" w:rsidP="00626010">
            <w:pPr>
              <w:pStyle w:val="CodeCopy"/>
              <w:numPr>
                <w:ilvl w:val="0"/>
                <w:numId w:val="43"/>
              </w:numPr>
              <w:spacing w:after="0"/>
              <w:ind w:left="184" w:hanging="184"/>
            </w:pPr>
            <w:r>
              <w:t>Weight With No Annunciators Displayed</w:t>
            </w:r>
          </w:p>
        </w:tc>
      </w:tr>
      <w:tr w:rsidR="00626010" w:rsidTr="00626010">
        <w:tc>
          <w:tcPr>
            <w:tcW w:w="4428" w:type="dxa"/>
          </w:tcPr>
          <w:p w:rsidR="00626010" w:rsidRDefault="00626010" w:rsidP="00626010">
            <w:pPr>
              <w:pStyle w:val="CodeCopy"/>
              <w:spacing w:after="0"/>
              <w:ind w:left="0"/>
            </w:pPr>
          </w:p>
        </w:tc>
        <w:tc>
          <w:tcPr>
            <w:tcW w:w="4428" w:type="dxa"/>
          </w:tcPr>
          <w:p w:rsidR="00626010" w:rsidRDefault="00626010" w:rsidP="00626010">
            <w:pPr>
              <w:pStyle w:val="CodeCopy"/>
              <w:numPr>
                <w:ilvl w:val="0"/>
                <w:numId w:val="43"/>
              </w:numPr>
              <w:spacing w:after="0"/>
              <w:ind w:left="184" w:hanging="184"/>
            </w:pPr>
            <w:r>
              <w:t>Weight All Annunciators Displayed</w:t>
            </w:r>
          </w:p>
        </w:tc>
      </w:tr>
    </w:tbl>
    <w:p w:rsidR="00E03EF6" w:rsidRDefault="00E03EF6">
      <w:pPr>
        <w:spacing w:after="200" w:line="276" w:lineRule="auto"/>
        <w:jc w:val="left"/>
        <w:rPr>
          <w:b/>
        </w:rPr>
      </w:pPr>
    </w:p>
    <w:p w:rsidR="008C0090" w:rsidRDefault="008A22F3" w:rsidP="00FC3603">
      <w:pPr>
        <w:pStyle w:val="ItemHeadingletters"/>
      </w:pPr>
      <w:bookmarkStart w:id="23" w:name="_Toc311539242"/>
      <w:bookmarkStart w:id="24" w:name="Item3201"/>
      <w:r>
        <w:t>Item 320-1:</w:t>
      </w:r>
      <w:r w:rsidR="006D53BE">
        <w:t xml:space="preserve"> </w:t>
      </w:r>
      <w:r>
        <w:t xml:space="preserve"> </w:t>
      </w:r>
      <w:r w:rsidR="008C0090">
        <w:t>NIST Handbook 44 Scales Code - T.N.4.5.1. Creep and Creep Recovery Requirements for Class III Scales with n &gt; 4000 divisions.</w:t>
      </w:r>
      <w:bookmarkEnd w:id="23"/>
    </w:p>
    <w:bookmarkEnd w:id="24"/>
    <w:p w:rsidR="008C0090" w:rsidRDefault="008C0090" w:rsidP="008C0090">
      <w:pPr>
        <w:pStyle w:val="BoldHeading"/>
      </w:pPr>
      <w:r>
        <w:lastRenderedPageBreak/>
        <w:t>Source:</w:t>
      </w:r>
    </w:p>
    <w:p w:rsidR="008C0090" w:rsidRDefault="008C0090" w:rsidP="008C0090">
      <w:r>
        <w:t xml:space="preserve">2010 NTETC Weighing Sector, 2011 Interim Report of the S&amp;T Committee: </w:t>
      </w:r>
      <w:r w:rsidRPr="006D53BE">
        <w:rPr>
          <w:rStyle w:val="Hyperlink"/>
          <w:b/>
        </w:rPr>
        <w:t>ncwm.net/content/annual-archive</w:t>
      </w:r>
    </w:p>
    <w:p w:rsidR="008C0090" w:rsidRDefault="008C0090" w:rsidP="008C0090">
      <w:pPr>
        <w:pStyle w:val="BoldHeading"/>
      </w:pPr>
      <w:r>
        <w:t xml:space="preserve">Background/Discussion:  </w:t>
      </w:r>
    </w:p>
    <w:p w:rsidR="008C0090" w:rsidRDefault="008C0090" w:rsidP="008C0090">
      <w:r>
        <w:t xml:space="preserve">At the 2011 NCWM Interim Meeting, the Conference considered a proposal from the NTETC Weighing Sector to reduce the inconsistency between </w:t>
      </w:r>
      <w:r w:rsidRPr="00C83B0B">
        <w:rPr>
          <w:u w:color="82C42A"/>
        </w:rPr>
        <w:t>full load time</w:t>
      </w:r>
      <w:r w:rsidRPr="00C83B0B">
        <w:t xml:space="preserve"> </w:t>
      </w:r>
      <w:r>
        <w:t xml:space="preserve">dependence (creep) requirements in T.N.4.5.1. and return to zero requirements in T.N.4.3. Zero Load Return: </w:t>
      </w:r>
      <w:r w:rsidR="006D53BE">
        <w:t xml:space="preserve"> </w:t>
      </w:r>
      <w:r>
        <w:t xml:space="preserve">Non-automatic Weighing Instruments (creep recovery).  </w:t>
      </w:r>
    </w:p>
    <w:p w:rsidR="008C0090" w:rsidRDefault="008C0090" w:rsidP="008C0090">
      <w:r>
        <w:t xml:space="preserve">During the 2011 NCWM Interim meeting </w:t>
      </w:r>
      <w:r w:rsidR="00D53817">
        <w:t>Open H</w:t>
      </w:r>
      <w:r>
        <w:t>earings, Mr. Flocken, Mettler-Toledo</w:t>
      </w:r>
      <w:r w:rsidR="00D53817">
        <w:t>, Inc.</w:t>
      </w:r>
      <w:r>
        <w:t xml:space="preserve">, speaking on behalf of the SMA supported this item.  However, later, during </w:t>
      </w:r>
      <w:r w:rsidR="00D53817">
        <w:t xml:space="preserve">the </w:t>
      </w:r>
      <w:r>
        <w:t xml:space="preserve">S&amp;T Committee deliberations, Mr. Flocken stated that after researching the item, including a discussion he had with another scale manufacturer, it was concluded that the proposal is not needed </w:t>
      </w:r>
      <w:r w:rsidRPr="00C83B0B">
        <w:rPr>
          <w:u w:color="82C42A"/>
        </w:rPr>
        <w:t>since</w:t>
      </w:r>
      <w:r w:rsidRPr="00C83B0B">
        <w:t xml:space="preserve"> </w:t>
      </w:r>
      <w:r>
        <w:t>the ultimate determination of compliance is the four-hour test (specified in subparagraph (b) of T.N.4.5.1.) regardless of the current 0.5</w:t>
      </w:r>
      <w:r w:rsidR="006D53BE">
        <w:t> </w:t>
      </w:r>
      <w:r>
        <w:t>e or proposed 0.83</w:t>
      </w:r>
      <w:r w:rsidR="006D53BE">
        <w:t> </w:t>
      </w:r>
      <w:r>
        <w:t>e determinations in the referenced paragraph.  The S&amp;T Committee withdrew this item</w:t>
      </w:r>
      <w:r w:rsidR="00D53817">
        <w:t xml:space="preserve"> </w:t>
      </w:r>
      <w:r>
        <w:t>based on this new information provided at the Interim Meeting.</w:t>
      </w:r>
    </w:p>
    <w:p w:rsidR="00D53817" w:rsidRDefault="008C0090" w:rsidP="00D53817">
      <w:pPr>
        <w:pStyle w:val="BoldHeading"/>
      </w:pPr>
      <w:r>
        <w:t>Conclusion:</w:t>
      </w:r>
    </w:p>
    <w:p w:rsidR="00FD48E4" w:rsidRPr="006D53BE" w:rsidRDefault="008C0090" w:rsidP="008C0090">
      <w:r>
        <w:t xml:space="preserve">The </w:t>
      </w:r>
      <w:r w:rsidR="006D53BE" w:rsidRPr="00BA1919">
        <w:t>S</w:t>
      </w:r>
      <w:r w:rsidRPr="00BA1919">
        <w:t>ector</w:t>
      </w:r>
      <w:r>
        <w:t xml:space="preserve"> took no action, nor discussed this item,</w:t>
      </w:r>
      <w:r w:rsidR="00D53817">
        <w:t xml:space="preserve"> </w:t>
      </w:r>
      <w:r>
        <w:t xml:space="preserve">after being advised by </w:t>
      </w:r>
      <w:r w:rsidR="00397175">
        <w:t xml:space="preserve">Mr. Harshman, </w:t>
      </w:r>
      <w:r>
        <w:t>NIST Technical Advisor</w:t>
      </w:r>
      <w:r w:rsidR="00397175">
        <w:t>,</w:t>
      </w:r>
      <w:r>
        <w:t xml:space="preserve"> </w:t>
      </w:r>
      <w:r w:rsidRPr="006D53BE">
        <w:t xml:space="preserve">that the item had previously been </w:t>
      </w:r>
      <w:r w:rsidR="00D53817" w:rsidRPr="006D53BE">
        <w:t>W</w:t>
      </w:r>
      <w:r w:rsidRPr="006D53BE">
        <w:t>ithdrawn by the S&amp;T Committee.</w:t>
      </w:r>
      <w:r w:rsidR="00D4762C" w:rsidRPr="006D53BE">
        <w:t xml:space="preserve"> </w:t>
      </w:r>
    </w:p>
    <w:p w:rsidR="00EB0442" w:rsidRPr="006D53BE" w:rsidRDefault="008A22F3" w:rsidP="00FC3603">
      <w:pPr>
        <w:pStyle w:val="ItemHeadingletters"/>
      </w:pPr>
      <w:bookmarkStart w:id="25" w:name="_Toc311539243"/>
      <w:bookmarkStart w:id="26" w:name="Item3202"/>
      <w:r w:rsidRPr="006D53BE">
        <w:t>Item 320-2:</w:t>
      </w:r>
      <w:r w:rsidR="006D53BE" w:rsidRPr="006D53BE">
        <w:t xml:space="preserve">  </w:t>
      </w:r>
      <w:r w:rsidR="00EB0442" w:rsidRPr="006D53BE">
        <w:t>NIST Handbook 44 Scales Code – T.N.4.7. Amend Creep Recovery</w:t>
      </w:r>
      <w:r w:rsidRPr="006D53BE">
        <w:t xml:space="preserve"> </w:t>
      </w:r>
      <w:r w:rsidR="00EB0442" w:rsidRPr="006D53BE">
        <w:t>Tolerances for Class III L Load Cells</w:t>
      </w:r>
      <w:bookmarkEnd w:id="25"/>
    </w:p>
    <w:bookmarkEnd w:id="26"/>
    <w:p w:rsidR="00EB0442" w:rsidRPr="006D53BE" w:rsidRDefault="00EB0442" w:rsidP="00EB0442">
      <w:pPr>
        <w:pStyle w:val="BoldHeading"/>
      </w:pPr>
      <w:r w:rsidRPr="006D53BE">
        <w:t>Source:</w:t>
      </w:r>
    </w:p>
    <w:p w:rsidR="00EB0442" w:rsidRPr="006D53BE" w:rsidRDefault="00EB0442" w:rsidP="00EB0442">
      <w:r w:rsidRPr="006D53BE">
        <w:t>2010 NTETC Weighing Sector</w:t>
      </w:r>
    </w:p>
    <w:p w:rsidR="00EB0442" w:rsidRPr="006D53BE" w:rsidRDefault="00EB0442" w:rsidP="00EB0442">
      <w:pPr>
        <w:pStyle w:val="BoldHeading"/>
      </w:pPr>
      <w:r w:rsidRPr="006D53BE">
        <w:t>Background / Discussion:</w:t>
      </w:r>
    </w:p>
    <w:p w:rsidR="00EB0442" w:rsidRPr="006D53BE" w:rsidRDefault="00EB0442" w:rsidP="00EB0442">
      <w:r w:rsidRPr="006D53BE">
        <w:t>See the Final Report of the 2011 NCWM S&amp;T Committee Agenda Item 320-2 for the adopted language and additional background information on the item to amend NIST Handbook 44</w:t>
      </w:r>
      <w:r w:rsidR="006D53BE" w:rsidRPr="006D53BE">
        <w:t>,</w:t>
      </w:r>
      <w:r w:rsidRPr="006D53BE">
        <w:t xml:space="preserve"> </w:t>
      </w:r>
      <w:r w:rsidR="006D53BE" w:rsidRPr="006D53BE">
        <w:t xml:space="preserve">2.20. </w:t>
      </w:r>
      <w:r w:rsidRPr="006D53BE">
        <w:t xml:space="preserve">Scales Code paragraph T.N.4.7. Creep Recovery Tolerances for Class III L Load Cells.  </w:t>
      </w:r>
    </w:p>
    <w:p w:rsidR="00EB0442" w:rsidRPr="006D53BE" w:rsidRDefault="00EB0442" w:rsidP="00EB0442">
      <w:pPr>
        <w:pStyle w:val="BoldHeading"/>
      </w:pPr>
      <w:r w:rsidRPr="006D53BE">
        <w:t>Conclusion:</w:t>
      </w:r>
    </w:p>
    <w:p w:rsidR="00EB0442" w:rsidRDefault="00EB0442" w:rsidP="00EB0442">
      <w:r w:rsidRPr="006D53BE">
        <w:t xml:space="preserve">Mr. Harshman, NIST Technical Advisor, provided the </w:t>
      </w:r>
      <w:r w:rsidR="006D53BE" w:rsidRPr="006D53BE">
        <w:t xml:space="preserve">Sector </w:t>
      </w:r>
      <w:r w:rsidRPr="006D53BE">
        <w:t xml:space="preserve">with suggested recommendations for amending test procedures in NCWM Publication 14 based upon actions of the 2011 NCWM Annual Meeting.  The </w:t>
      </w:r>
      <w:r w:rsidR="006D53BE" w:rsidRPr="006D53BE">
        <w:t>S</w:t>
      </w:r>
      <w:r w:rsidRPr="006D53BE">
        <w:t>ector</w:t>
      </w:r>
      <w:r>
        <w:t xml:space="preserve"> reviewed the amended test procedures and agreed to r</w:t>
      </w:r>
      <w:r w:rsidR="00944009">
        <w:t>ecommend the amended procedures:</w:t>
      </w:r>
    </w:p>
    <w:p w:rsidR="00944009" w:rsidRDefault="00944009" w:rsidP="00944009">
      <w:r w:rsidRPr="006D53BE">
        <w:t>NCWM Publication 14:</w:t>
      </w:r>
      <w:r>
        <w:t xml:space="preserve"> </w:t>
      </w:r>
      <w:r w:rsidR="006D53BE">
        <w:t xml:space="preserve"> </w:t>
      </w:r>
      <w:r>
        <w:t>Load Cells Section L. II.</w:t>
      </w:r>
    </w:p>
    <w:p w:rsidR="00612B3A" w:rsidRPr="00944009" w:rsidRDefault="00AE1FE2" w:rsidP="00AE1FE2">
      <w:pPr>
        <w:pStyle w:val="I-Normalreg"/>
        <w:ind w:left="900" w:hanging="540"/>
        <w:rPr>
          <w:b/>
        </w:rPr>
      </w:pPr>
      <w:r>
        <w:rPr>
          <w:b/>
        </w:rPr>
        <w:t>L.</w:t>
      </w:r>
      <w:r>
        <w:rPr>
          <w:b/>
        </w:rPr>
        <w:tab/>
      </w:r>
      <w:r w:rsidR="00612B3A" w:rsidRPr="00944009">
        <w:rPr>
          <w:b/>
        </w:rPr>
        <w:t xml:space="preserve">Procedures </w:t>
      </w:r>
    </w:p>
    <w:p w:rsidR="00612B3A" w:rsidRPr="00944009" w:rsidRDefault="00612B3A" w:rsidP="00AE1FE2">
      <w:pPr>
        <w:pStyle w:val="I-Normalreg"/>
        <w:ind w:left="900" w:hanging="540"/>
        <w:rPr>
          <w:b/>
        </w:rPr>
      </w:pPr>
      <w:r w:rsidRPr="00944009">
        <w:rPr>
          <w:b/>
        </w:rPr>
        <w:t>II.</w:t>
      </w:r>
      <w:r w:rsidRPr="00944009">
        <w:rPr>
          <w:b/>
        </w:rPr>
        <w:tab/>
        <w:t>Determination of Creep and Creep Recovery, Test Procedure and Permissible Variations</w:t>
      </w:r>
    </w:p>
    <w:p w:rsidR="00612B3A" w:rsidRPr="00944009" w:rsidRDefault="00944009" w:rsidP="00AE1FE2">
      <w:pPr>
        <w:pStyle w:val="I-Normalreg"/>
        <w:ind w:left="1260" w:hanging="360"/>
        <w:rPr>
          <w:b/>
        </w:rPr>
      </w:pPr>
      <w:r w:rsidRPr="00944009">
        <w:rPr>
          <w:b/>
        </w:rPr>
        <w:t>9.</w:t>
      </w:r>
      <w:r w:rsidRPr="00944009">
        <w:rPr>
          <w:b/>
        </w:rPr>
        <w:tab/>
      </w:r>
      <w:r w:rsidR="00612B3A" w:rsidRPr="00944009">
        <w:rPr>
          <w:b/>
        </w:rPr>
        <w:t>Permissible Variations of Reading for Creep Recovery</w:t>
      </w:r>
    </w:p>
    <w:p w:rsidR="00612B3A" w:rsidRDefault="00944009" w:rsidP="007653D6">
      <w:pPr>
        <w:pStyle w:val="I-Normalreg"/>
        <w:ind w:left="1620" w:hanging="360"/>
      </w:pPr>
      <w:r>
        <w:t>a.</w:t>
      </w:r>
      <w:r>
        <w:tab/>
      </w:r>
      <w:r w:rsidR="00612B3A">
        <w:t>The difference between the initial reading of the minimum load of the measuring range (D</w:t>
      </w:r>
      <w:r w:rsidR="00612B3A" w:rsidRPr="00950E6E">
        <w:rPr>
          <w:vertAlign w:val="subscript"/>
        </w:rPr>
        <w:t>min</w:t>
      </w:r>
      <w:r w:rsidR="00612B3A">
        <w:t>) and the reading after returning to minimum load subsequent to the maximum load (D</w:t>
      </w:r>
      <w:r w:rsidR="00612B3A" w:rsidRPr="00950E6E">
        <w:rPr>
          <w:vertAlign w:val="subscript"/>
        </w:rPr>
        <w:t>max</w:t>
      </w:r>
      <w:r w:rsidR="00612B3A">
        <w:t>) having been applied for 30 minutes shall not exceed:</w:t>
      </w:r>
    </w:p>
    <w:p w:rsidR="00612B3A" w:rsidRDefault="00612B3A" w:rsidP="007653D6">
      <w:pPr>
        <w:pStyle w:val="I-Normalreg"/>
        <w:ind w:left="1980" w:hanging="360"/>
      </w:pPr>
      <w:r>
        <w:t>1.</w:t>
      </w:r>
      <w:r>
        <w:tab/>
      </w:r>
      <w:r w:rsidRPr="00950E6E">
        <w:rPr>
          <w:spacing w:val="-4"/>
        </w:rPr>
        <w:t>0.5 times the value of the load cell verification interval (0.5 v) for Class I, II, and IIII load cells.</w:t>
      </w:r>
    </w:p>
    <w:p w:rsidR="00612B3A" w:rsidRDefault="00612B3A" w:rsidP="007653D6">
      <w:pPr>
        <w:pStyle w:val="I-Normalreg"/>
        <w:ind w:left="1980" w:hanging="360"/>
      </w:pPr>
      <w:r>
        <w:t>2.</w:t>
      </w:r>
      <w:r>
        <w:tab/>
        <w:t>0.5 times the value of the load cell verification interval (0.5 v) for Class III load cells with 4000 or fewer divisions.</w:t>
      </w:r>
    </w:p>
    <w:p w:rsidR="00612B3A" w:rsidRDefault="00612B3A" w:rsidP="007653D6">
      <w:pPr>
        <w:pStyle w:val="I-Normalreg"/>
        <w:ind w:left="1980" w:hanging="360"/>
      </w:pPr>
      <w:r>
        <w:t>3.</w:t>
      </w:r>
      <w:r>
        <w:tab/>
        <w:t>0.83 times the value of the load cell verification interval (0.83 v) for Class III load cells with more than 4000 divisions.</w:t>
      </w:r>
    </w:p>
    <w:p w:rsidR="00612B3A" w:rsidRDefault="00612B3A" w:rsidP="007653D6">
      <w:pPr>
        <w:pStyle w:val="I-Normalreg"/>
        <w:ind w:left="1980" w:hanging="360"/>
      </w:pPr>
      <w:r>
        <w:lastRenderedPageBreak/>
        <w:t>4.</w:t>
      </w:r>
      <w:r>
        <w:tab/>
      </w:r>
      <w:r w:rsidRPr="00944009">
        <w:rPr>
          <w:b/>
          <w:strike/>
        </w:rPr>
        <w:t>1</w:t>
      </w:r>
      <w:r w:rsidRPr="00944009">
        <w:rPr>
          <w:b/>
          <w:u w:val="single"/>
        </w:rPr>
        <w:t>2</w:t>
      </w:r>
      <w:r>
        <w:t>.5 times the value of the load cell verification interval (</w:t>
      </w:r>
      <w:r w:rsidRPr="00944009">
        <w:rPr>
          <w:b/>
          <w:strike/>
        </w:rPr>
        <w:t>1</w:t>
      </w:r>
      <w:r w:rsidRPr="00944009">
        <w:rPr>
          <w:b/>
          <w:u w:val="single"/>
        </w:rPr>
        <w:t>2</w:t>
      </w:r>
      <w:r>
        <w:t>.5 v) for Class III L load cells.</w:t>
      </w:r>
    </w:p>
    <w:p w:rsidR="00EB0442" w:rsidRDefault="00EB0442" w:rsidP="00FC3603">
      <w:pPr>
        <w:pStyle w:val="ItemHeading"/>
      </w:pPr>
      <w:bookmarkStart w:id="27" w:name="_Toc310427962"/>
      <w:bookmarkStart w:id="28" w:name="_Toc311539244"/>
      <w:bookmarkStart w:id="29" w:name="DESSection42"/>
      <w:r>
        <w:t>DES Section 42</w:t>
      </w:r>
      <w:r w:rsidR="008A22F3">
        <w:t>.</w:t>
      </w:r>
      <w:r w:rsidR="009838FF">
        <w:t xml:space="preserve"> </w:t>
      </w:r>
      <w:r>
        <w:t xml:space="preserve">Zero-Load and Tare Adjustment </w:t>
      </w:r>
      <w:r w:rsidR="0095559E">
        <w:t>–</w:t>
      </w:r>
      <w:r>
        <w:t xml:space="preserve"> </w:t>
      </w:r>
      <w:r w:rsidR="0095559E">
        <w:t xml:space="preserve">Monorail Scales </w:t>
      </w:r>
      <w:r>
        <w:t>Rounding of Intermediate Values in an Equation</w:t>
      </w:r>
      <w:bookmarkEnd w:id="27"/>
      <w:bookmarkEnd w:id="28"/>
    </w:p>
    <w:bookmarkEnd w:id="29"/>
    <w:p w:rsidR="00EB0442" w:rsidRDefault="00EB0442" w:rsidP="00EB0442">
      <w:pPr>
        <w:pStyle w:val="BoldHeading"/>
      </w:pPr>
      <w:r>
        <w:t>Source:</w:t>
      </w:r>
      <w:r>
        <w:tab/>
      </w:r>
    </w:p>
    <w:p w:rsidR="00EB0442" w:rsidRDefault="00EB0442" w:rsidP="00EB0442">
      <w:r>
        <w:t>Mr. Cook, NIST, Office of Weights and Measures (OWM)</w:t>
      </w:r>
    </w:p>
    <w:p w:rsidR="00EB0442" w:rsidRDefault="00EB0442" w:rsidP="00EB0442">
      <w:pPr>
        <w:pStyle w:val="BoldHeading"/>
      </w:pPr>
      <w:r>
        <w:t>Background/Discussion:</w:t>
      </w:r>
    </w:p>
    <w:p w:rsidR="00EB0442" w:rsidRDefault="00EB0442" w:rsidP="00EB0442">
      <w:r w:rsidRPr="006D53BE">
        <w:t>NCWM Publication 14</w:t>
      </w:r>
      <w:r w:rsidR="00397175">
        <w:t xml:space="preserve"> DES Section 42</w:t>
      </w:r>
      <w:r w:rsidR="009838FF">
        <w:t xml:space="preserve"> </w:t>
      </w:r>
      <w:r>
        <w:t xml:space="preserve">Zero-Load </w:t>
      </w:r>
      <w:r w:rsidR="009838FF">
        <w:t xml:space="preserve">and Tare </w:t>
      </w:r>
      <w:r>
        <w:t xml:space="preserve">Adjustment - Monorail Scales currently reflects </w:t>
      </w:r>
      <w:r w:rsidRPr="0061044F">
        <w:rPr>
          <w:u w:color="82C42A"/>
        </w:rPr>
        <w:t>language</w:t>
      </w:r>
      <w:r w:rsidRPr="0061044F">
        <w:t xml:space="preserve"> </w:t>
      </w:r>
      <w:r>
        <w:t xml:space="preserve">in </w:t>
      </w:r>
      <w:r w:rsidRPr="006D53BE">
        <w:t>NIST Handbook 44</w:t>
      </w:r>
      <w:r>
        <w:t xml:space="preserve"> regarding the setting of zero and tare value less than 5</w:t>
      </w:r>
      <w:r w:rsidR="006D53BE">
        <w:t> </w:t>
      </w:r>
      <w:r>
        <w:t>% of the scale capacity to within 0.02</w:t>
      </w:r>
      <w:r w:rsidR="006D53BE">
        <w:t> </w:t>
      </w:r>
      <w:r>
        <w:t xml:space="preserve">% of scale capacity according to </w:t>
      </w:r>
      <w:r w:rsidRPr="006D53BE">
        <w:t>NIST Handbook 44</w:t>
      </w:r>
      <w:r w:rsidR="006D53BE">
        <w:t>,</w:t>
      </w:r>
      <w:r>
        <w:rPr>
          <w:i/>
        </w:rPr>
        <w:t xml:space="preserve"> </w:t>
      </w:r>
      <w:r w:rsidR="006D53BE" w:rsidRPr="006D53BE">
        <w:t>2.20</w:t>
      </w:r>
      <w:r w:rsidR="006D53BE">
        <w:t>.</w:t>
      </w:r>
      <w:r w:rsidR="006D53BE" w:rsidRPr="006D53BE">
        <w:t xml:space="preserve"> </w:t>
      </w:r>
      <w:r w:rsidRPr="006D53BE">
        <w:t>Scales</w:t>
      </w:r>
      <w:r>
        <w:t xml:space="preserve"> Code paragraphs S.2.1.4 (Monorail Scales) and S.2.3.1.</w:t>
      </w:r>
      <w:r w:rsidR="00473C43">
        <w:t xml:space="preserve"> </w:t>
      </w:r>
      <w:r w:rsidRPr="0061044F">
        <w:rPr>
          <w:u w:color="82C42A"/>
        </w:rPr>
        <w:t>(</w:t>
      </w:r>
      <w:r w:rsidRPr="0061044F">
        <w:t>M</w:t>
      </w:r>
      <w:r>
        <w:t>onorail Scales Equipped with Digital Indications).  In other words, a 1000</w:t>
      </w:r>
      <w:r w:rsidR="006D53BE">
        <w:t> </w:t>
      </w:r>
      <w:r w:rsidRPr="0061044F">
        <w:rPr>
          <w:u w:color="82C42A"/>
        </w:rPr>
        <w:t>lb</w:t>
      </w:r>
      <w:r w:rsidRPr="0061044F">
        <w:t xml:space="preserve"> </w:t>
      </w:r>
      <w:r w:rsidR="006D53BE">
        <w:rPr>
          <w:rFonts w:cs="Times New Roman"/>
        </w:rPr>
        <w:t>×</w:t>
      </w:r>
      <w:r w:rsidR="006D53BE">
        <w:t xml:space="preserve"> 1 </w:t>
      </w:r>
      <w:r w:rsidRPr="0061044F">
        <w:rPr>
          <w:u w:color="82C42A"/>
        </w:rPr>
        <w:t>lb</w:t>
      </w:r>
      <w:r w:rsidRPr="0061044F">
        <w:t xml:space="preserve"> </w:t>
      </w:r>
      <w:r>
        <w:t>monorail scale shall have the capability to set tare values up to 50</w:t>
      </w:r>
      <w:r w:rsidR="006D53BE">
        <w:t> </w:t>
      </w:r>
      <w:r w:rsidRPr="0061044F">
        <w:rPr>
          <w:u w:color="82C42A"/>
        </w:rPr>
        <w:t>lb</w:t>
      </w:r>
      <w:r w:rsidRPr="0061044F">
        <w:t xml:space="preserve"> </w:t>
      </w:r>
      <w:r>
        <w:t>to within a resolution of 0.2</w:t>
      </w:r>
      <w:r w:rsidR="006D53BE">
        <w:t> </w:t>
      </w:r>
      <w:r w:rsidRPr="0061044F">
        <w:rPr>
          <w:u w:color="82C42A"/>
        </w:rPr>
        <w:t>lb</w:t>
      </w:r>
      <w:r w:rsidRPr="0061044F">
        <w:t xml:space="preserve"> </w:t>
      </w:r>
      <w:r>
        <w:t xml:space="preserve">(1000 </w:t>
      </w:r>
      <w:r w:rsidR="006D53BE">
        <w:rPr>
          <w:rFonts w:cs="Times New Roman"/>
        </w:rPr>
        <w:t>×</w:t>
      </w:r>
      <w:r>
        <w:t xml:space="preserve"> 0.02</w:t>
      </w:r>
      <w:r w:rsidR="006D53BE">
        <w:t> </w:t>
      </w:r>
      <w:r>
        <w:t xml:space="preserve">%).  </w:t>
      </w:r>
    </w:p>
    <w:p w:rsidR="00EB0442" w:rsidRDefault="00EB0442" w:rsidP="00EB0442">
      <w:r>
        <w:t>However, there are no procedures in Section 42 to verify that a correct zero-load balance or semiautomatic, keyboard entered, or stored tares are not rounded to the nearest value of d (1</w:t>
      </w:r>
      <w:r w:rsidR="006D53BE">
        <w:t> </w:t>
      </w:r>
      <w:r w:rsidRPr="0061044F">
        <w:rPr>
          <w:u w:color="82C42A"/>
        </w:rPr>
        <w:t>lb</w:t>
      </w:r>
      <w:r w:rsidRPr="0061044F">
        <w:t>)</w:t>
      </w:r>
      <w:r>
        <w:t xml:space="preserve"> before the net weight is calculated.  In the above example, a </w:t>
      </w:r>
      <w:r w:rsidRPr="0061044F">
        <w:rPr>
          <w:u w:color="82C42A"/>
        </w:rPr>
        <w:t>tare</w:t>
      </w:r>
      <w:r w:rsidRPr="0061044F">
        <w:t xml:space="preserve"> </w:t>
      </w:r>
      <w:r>
        <w:t>that is rounded before the net weight calculation introduces an extra 0.5</w:t>
      </w:r>
      <w:r w:rsidR="006D53BE">
        <w:t> </w:t>
      </w:r>
      <w:r w:rsidRPr="0061044F">
        <w:rPr>
          <w:u w:color="82C42A"/>
        </w:rPr>
        <w:t>lb</w:t>
      </w:r>
      <w:r w:rsidRPr="0061044F">
        <w:t xml:space="preserve"> </w:t>
      </w:r>
      <w:r>
        <w:t>uncertainty in the net weight.  This can be a problem if an average tare value of 7.6</w:t>
      </w:r>
      <w:r w:rsidR="006D53BE">
        <w:t> </w:t>
      </w:r>
      <w:r w:rsidRPr="0061044F">
        <w:rPr>
          <w:u w:color="82C42A"/>
        </w:rPr>
        <w:t>lb</w:t>
      </w:r>
      <w:r w:rsidRPr="0061044F">
        <w:t xml:space="preserve"> </w:t>
      </w:r>
      <w:r w:rsidRPr="0061044F">
        <w:rPr>
          <w:u w:color="82C42A"/>
        </w:rPr>
        <w:t>for</w:t>
      </w:r>
      <w:r w:rsidRPr="0061044F">
        <w:t xml:space="preserve"> </w:t>
      </w:r>
      <w:r>
        <w:t xml:space="preserve">a series of trolleys is entered as tare.  Objects (animal carcasses) will be consistently short weighed if the </w:t>
      </w:r>
      <w:r w:rsidRPr="0061044F">
        <w:rPr>
          <w:u w:color="82C42A"/>
        </w:rPr>
        <w:t>tare</w:t>
      </w:r>
      <w:r w:rsidRPr="0061044F">
        <w:t xml:space="preserve"> </w:t>
      </w:r>
      <w:r>
        <w:t>is rounded from 7.6</w:t>
      </w:r>
      <w:r w:rsidR="006D53BE">
        <w:t> </w:t>
      </w:r>
      <w:r>
        <w:t>lb to 8</w:t>
      </w:r>
      <w:r w:rsidR="006D53BE">
        <w:t> </w:t>
      </w:r>
      <w:r w:rsidRPr="0061044F">
        <w:rPr>
          <w:u w:color="82C42A"/>
        </w:rPr>
        <w:t>lb</w:t>
      </w:r>
      <w:r w:rsidRPr="0061044F">
        <w:t xml:space="preserve"> </w:t>
      </w:r>
      <w:r>
        <w:t>before the net weight is calculated.  This may present economic harm to sellers or producers of livestock that are paid based on the weights from the monorail scale.  Conversely, average tare weights that are rounded down to the nearest displayed scale division may present economic harm to the buyers, typically processors, that pay the producers based on the weights from the monorail scale.</w:t>
      </w:r>
    </w:p>
    <w:p w:rsidR="00EB0442" w:rsidRDefault="00EB0442" w:rsidP="00EB0442">
      <w:r>
        <w:t>Another question</w:t>
      </w:r>
      <w:r w:rsidR="00967910">
        <w:t>,</w:t>
      </w:r>
      <w:r>
        <w:t xml:space="preserve"> is whether the net weights are determined using the digital indicator's internal or displayed resolution of the gross weight in th</w:t>
      </w:r>
      <w:r w:rsidR="00397175">
        <w:t>e calculation of the net weight?</w:t>
      </w:r>
    </w:p>
    <w:p w:rsidR="00EB0442" w:rsidRDefault="00EB0442" w:rsidP="00EB0442">
      <w:r>
        <w:t>The following is additional background information supporting the correct rounding (and significant digits) of values in an equation:</w:t>
      </w:r>
    </w:p>
    <w:p w:rsidR="00944009" w:rsidRDefault="00EB0442" w:rsidP="00AE1FE2">
      <w:pPr>
        <w:rPr>
          <w:b/>
        </w:rPr>
      </w:pPr>
      <w:r w:rsidRPr="00944009">
        <w:t>NIST SP 811</w:t>
      </w:r>
      <w:r w:rsidR="006D53BE">
        <w:t>, </w:t>
      </w:r>
      <w:r w:rsidRPr="006D53BE">
        <w:rPr>
          <w:i/>
        </w:rPr>
        <w:t>Guide for the Use of the International System of Units (SI)</w:t>
      </w:r>
      <w:r>
        <w:t>, Mr. Barry N. Taylor and Mr. Ambler Thompson (2008)</w:t>
      </w:r>
    </w:p>
    <w:p w:rsidR="00EB0442" w:rsidRDefault="00EB0442" w:rsidP="00AE1FE2">
      <w:pPr>
        <w:pStyle w:val="BoldHeading"/>
      </w:pPr>
      <w:r>
        <w:t>B.7.2</w:t>
      </w:r>
      <w:r w:rsidR="00473C43">
        <w:t xml:space="preserve"> </w:t>
      </w:r>
      <w:r>
        <w:t xml:space="preserve"> Rounding Converted Numerical Values of Quantities</w:t>
      </w:r>
    </w:p>
    <w:p w:rsidR="00EB0442" w:rsidRDefault="00EB0442" w:rsidP="00AE1FE2">
      <w:r>
        <w:t xml:space="preserve">The use of the factors given in </w:t>
      </w:r>
      <w:r w:rsidR="000D0B13">
        <w:t>sections</w:t>
      </w:r>
      <w:r>
        <w:t xml:space="preserve"> B.8 and B.9 to convert values of quantities was demonstrated in </w:t>
      </w:r>
      <w:r w:rsidR="003B3B3A">
        <w:t>section</w:t>
      </w:r>
      <w:r>
        <w:t xml:space="preserve"> B.3. In most cases</w:t>
      </w:r>
      <w:r w:rsidR="00967910">
        <w:t>,</w:t>
      </w:r>
      <w:r>
        <w:t xml:space="preserve"> the product of the unconverted numerical value and the factor will be a numerical value with a number of digits that exceeds the number</w:t>
      </w:r>
      <w:r w:rsidR="000D0B13">
        <w:t xml:space="preserve"> of significant digits (see section</w:t>
      </w:r>
      <w:r>
        <w:t xml:space="preserve"> 7.9) of the unconverted numerical value. </w:t>
      </w:r>
      <w:r w:rsidR="006D53BE">
        <w:t xml:space="preserve"> </w:t>
      </w:r>
      <w:r w:rsidRPr="0061044F">
        <w:rPr>
          <w:u w:color="82C42A"/>
        </w:rPr>
        <w:t>Proper conversion procedure</w:t>
      </w:r>
      <w:r w:rsidRPr="0061044F">
        <w:t xml:space="preserve"> </w:t>
      </w:r>
      <w:r>
        <w:t>requires rounding this converted numerical value to the number of significant digits that is consistent with the maximum possible rounding error of the unconverted numerical value.</w:t>
      </w:r>
    </w:p>
    <w:p w:rsidR="00EB0442" w:rsidRDefault="00EB0442" w:rsidP="00AE1FE2">
      <w:r>
        <w:t xml:space="preserve">Example:  To express the value </w:t>
      </w:r>
      <w:r w:rsidRPr="00F56706">
        <w:rPr>
          <w:i/>
        </w:rPr>
        <w:t>l</w:t>
      </w:r>
      <w:r>
        <w:t xml:space="preserve"> = 36</w:t>
      </w:r>
      <w:r w:rsidR="006D53BE">
        <w:t> </w:t>
      </w:r>
      <w:r w:rsidRPr="0061044F">
        <w:rPr>
          <w:u w:color="82C42A"/>
        </w:rPr>
        <w:t>ft</w:t>
      </w:r>
      <w:r w:rsidRPr="0061044F">
        <w:t xml:space="preserve"> </w:t>
      </w:r>
      <w:r>
        <w:t xml:space="preserve">in meters, use the factor 3.048 E−01 from </w:t>
      </w:r>
      <w:r w:rsidR="003B3B3A">
        <w:t>section</w:t>
      </w:r>
      <w:r>
        <w:t xml:space="preserve"> B.8 or </w:t>
      </w:r>
      <w:r w:rsidR="003B3B3A">
        <w:t>section</w:t>
      </w:r>
      <w:r>
        <w:t xml:space="preserve"> B.9 and write</w:t>
      </w:r>
    </w:p>
    <w:p w:rsidR="00EB0442" w:rsidRDefault="00EB0442" w:rsidP="00AE1FE2">
      <w:r w:rsidRPr="00F56706">
        <w:rPr>
          <w:i/>
        </w:rPr>
        <w:t>l</w:t>
      </w:r>
      <w:r>
        <w:t xml:space="preserve"> = 36 ft × 0.3048 m/ft = 10.9728 m = 11.0 m.</w:t>
      </w:r>
    </w:p>
    <w:p w:rsidR="00EB0442" w:rsidRPr="00F56706" w:rsidRDefault="00EB0442" w:rsidP="00AE1FE2">
      <w:pPr>
        <w:pStyle w:val="BoldHeading"/>
      </w:pPr>
      <w:r w:rsidRPr="00F56706">
        <w:t xml:space="preserve">Rounding </w:t>
      </w:r>
      <w:r w:rsidR="00F56706">
        <w:t>G</w:t>
      </w:r>
      <w:r w:rsidRPr="00F56706">
        <w:t xml:space="preserve">uidelines </w:t>
      </w:r>
      <w:r w:rsidR="000D0B13">
        <w:t>F</w:t>
      </w:r>
      <w:r w:rsidRPr="00F56706">
        <w:t xml:space="preserve">ound on the </w:t>
      </w:r>
      <w:r w:rsidR="00F56706">
        <w:t>I</w:t>
      </w:r>
      <w:r w:rsidRPr="00F56706">
        <w:t>nternet:</w:t>
      </w:r>
    </w:p>
    <w:p w:rsidR="00EB0442" w:rsidRDefault="00EB0442" w:rsidP="00AE1FE2">
      <w:r>
        <w:t>In any math problem</w:t>
      </w:r>
      <w:r w:rsidR="006D53BE">
        <w:t>,</w:t>
      </w:r>
      <w:r>
        <w:t xml:space="preserve"> you should wait until the end to round; </w:t>
      </w:r>
      <w:r w:rsidR="00F56706">
        <w:t>o</w:t>
      </w:r>
      <w:r>
        <w:t xml:space="preserve">nly the </w:t>
      </w:r>
      <w:r w:rsidR="00F56706">
        <w:t xml:space="preserve">final answer should be rounded.  </w:t>
      </w:r>
      <w:r>
        <w:t>Carry as many significant digits as you can throughout the problem.</w:t>
      </w:r>
    </w:p>
    <w:p w:rsidR="00EB0442" w:rsidRDefault="00EB0442" w:rsidP="00AE1FE2">
      <w:r>
        <w:t>Round Off Rule:  Round only the final answer not the intermediate values that occur during the calculation. Carry at least twice as many decimal places as will be used in the final answer.</w:t>
      </w:r>
    </w:p>
    <w:p w:rsidR="00EB0442" w:rsidRDefault="00EB0442" w:rsidP="00AE1FE2">
      <w:r>
        <w:t>Do the math, then round the answer so that the number of significant figures is equal to the least number of significant figures found in any one measurement in the equation.</w:t>
      </w:r>
    </w:p>
    <w:p w:rsidR="00EB0442" w:rsidRDefault="00EB0442" w:rsidP="00EB0442">
      <w:r>
        <w:lastRenderedPageBreak/>
        <w:t xml:space="preserve">For additional background information relative to this item and actions taken by the </w:t>
      </w:r>
      <w:r w:rsidR="00DA372C">
        <w:t xml:space="preserve">NTETC </w:t>
      </w:r>
      <w:r>
        <w:t>Weighing Sector during its 2010 meeting go to:</w:t>
      </w:r>
      <w:r w:rsidR="006D53BE">
        <w:t xml:space="preserve"> </w:t>
      </w:r>
      <w:r>
        <w:t xml:space="preserve"> </w:t>
      </w:r>
      <w:r w:rsidR="007F23EC" w:rsidRPr="006D53BE">
        <w:rPr>
          <w:rStyle w:val="Hyperlink"/>
          <w:b/>
        </w:rPr>
        <w:t>ncwm.net/content/weighing-archive</w:t>
      </w:r>
    </w:p>
    <w:p w:rsidR="00F56706" w:rsidRDefault="00EB0442" w:rsidP="00F56706">
      <w:pPr>
        <w:pStyle w:val="BoldHeading"/>
      </w:pPr>
      <w:r>
        <w:t>Conclusion:</w:t>
      </w:r>
      <w:r>
        <w:tab/>
      </w:r>
    </w:p>
    <w:p w:rsidR="00EB0442" w:rsidRDefault="00F56706" w:rsidP="00EB0442">
      <w:r>
        <w:t xml:space="preserve">Mr. Harshman, </w:t>
      </w:r>
      <w:r w:rsidR="00EB0442">
        <w:t>NIST Technical Advisor</w:t>
      </w:r>
      <w:r>
        <w:t>,</w:t>
      </w:r>
      <w:r w:rsidR="00EB0442">
        <w:t xml:space="preserve"> reviewed </w:t>
      </w:r>
      <w:r w:rsidR="00EB0442" w:rsidRPr="0061044F">
        <w:rPr>
          <w:u w:color="82C42A"/>
        </w:rPr>
        <w:t>background information</w:t>
      </w:r>
      <w:r w:rsidR="00EB0442" w:rsidRPr="0061044F">
        <w:t xml:space="preserve"> </w:t>
      </w:r>
      <w:r w:rsidR="00EB0442">
        <w:t>and explained the purpose of the</w:t>
      </w:r>
      <w:r>
        <w:t xml:space="preserve"> </w:t>
      </w:r>
      <w:r w:rsidR="00EB0442">
        <w:t xml:space="preserve">proposal using an example depicting how </w:t>
      </w:r>
      <w:r w:rsidRPr="006D53BE">
        <w:t xml:space="preserve">NIST Handbook </w:t>
      </w:r>
      <w:r w:rsidR="00EB0442" w:rsidRPr="006D53BE">
        <w:t xml:space="preserve">44 </w:t>
      </w:r>
      <w:r w:rsidR="00EB0442">
        <w:t xml:space="preserve">Scales Code paragraph S.2.3.1. Monorail Scales Equipped with Digital Indications would apply relative to a 1000 </w:t>
      </w:r>
      <w:r w:rsidR="006D53BE">
        <w:rPr>
          <w:rFonts w:cs="Times New Roman"/>
        </w:rPr>
        <w:t>×</w:t>
      </w:r>
      <w:r w:rsidR="00EB0442">
        <w:t xml:space="preserve"> 5</w:t>
      </w:r>
      <w:r w:rsidR="006D53BE">
        <w:t> </w:t>
      </w:r>
      <w:r w:rsidR="00EB0442" w:rsidRPr="0061044F">
        <w:rPr>
          <w:u w:color="82C42A"/>
        </w:rPr>
        <w:t>lb</w:t>
      </w:r>
      <w:r w:rsidR="00EB0442" w:rsidRPr="0061044F">
        <w:t xml:space="preserve"> </w:t>
      </w:r>
      <w:r w:rsidR="00EB0442">
        <w:t>static monorail scale equip</w:t>
      </w:r>
      <w:r>
        <w:t xml:space="preserve">ped with digital </w:t>
      </w:r>
      <w:r w:rsidRPr="006D53BE">
        <w:t xml:space="preserve">indications.  </w:t>
      </w:r>
      <w:r w:rsidR="00EB0442" w:rsidRPr="006D53BE">
        <w:t xml:space="preserve">The </w:t>
      </w:r>
      <w:r w:rsidR="006D53BE" w:rsidRPr="006D53BE">
        <w:t>S</w:t>
      </w:r>
      <w:r w:rsidR="00EB0442" w:rsidRPr="006D53BE">
        <w:t xml:space="preserve">ector was then asked whether they still agreed that </w:t>
      </w:r>
      <w:r w:rsidR="00EB0442" w:rsidRPr="0061044F">
        <w:rPr>
          <w:u w:color="82C42A"/>
        </w:rPr>
        <w:t>test criteria</w:t>
      </w:r>
      <w:r w:rsidR="00EB0442" w:rsidRPr="0061044F">
        <w:t xml:space="preserve"> </w:t>
      </w:r>
      <w:r w:rsidR="00EB0442" w:rsidRPr="006D53BE">
        <w:t>needed to be developed for</w:t>
      </w:r>
      <w:r w:rsidR="00EB0442">
        <w:t xml:space="preserve"> possible future inclusion </w:t>
      </w:r>
      <w:r w:rsidR="00EB0442" w:rsidRPr="0061044F">
        <w:rPr>
          <w:u w:color="82C42A"/>
        </w:rPr>
        <w:t>into</w:t>
      </w:r>
      <w:r w:rsidR="00EB0442" w:rsidRPr="0061044F">
        <w:t xml:space="preserve"> </w:t>
      </w:r>
      <w:r w:rsidRPr="006D53BE">
        <w:t>NCWM Publication 14</w:t>
      </w:r>
      <w:r>
        <w:rPr>
          <w:i/>
        </w:rPr>
        <w:t xml:space="preserve"> </w:t>
      </w:r>
      <w:r w:rsidR="00EB0442">
        <w:t xml:space="preserve">considering that </w:t>
      </w:r>
      <w:r w:rsidRPr="006D53BE">
        <w:t>NCWM Publication 14</w:t>
      </w:r>
      <w:r>
        <w:rPr>
          <w:i/>
        </w:rPr>
        <w:t xml:space="preserve"> </w:t>
      </w:r>
      <w:r w:rsidR="00EB0442">
        <w:t xml:space="preserve">currently did not include such procedures and that a </w:t>
      </w:r>
      <w:r>
        <w:t>work group</w:t>
      </w:r>
      <w:r w:rsidR="00EB0442">
        <w:t xml:space="preserve">, which was supposed to form to develop test criteria for </w:t>
      </w:r>
      <w:r w:rsidRPr="006D53BE">
        <w:t>NCWM Publication 14</w:t>
      </w:r>
      <w:r w:rsidR="00EB0442">
        <w:t xml:space="preserve"> following the 2010 </w:t>
      </w:r>
      <w:r w:rsidR="00DA372C">
        <w:t xml:space="preserve">NTETC </w:t>
      </w:r>
      <w:r>
        <w:t xml:space="preserve">Weighing </w:t>
      </w:r>
      <w:r w:rsidR="00EB0442">
        <w:t xml:space="preserve">Sector Meeting had never formed.  The </w:t>
      </w:r>
      <w:r w:rsidR="006D53BE" w:rsidRPr="006D53BE">
        <w:t>S</w:t>
      </w:r>
      <w:r w:rsidR="00EB0442" w:rsidRPr="006D53BE">
        <w:t>ector</w:t>
      </w:r>
      <w:r w:rsidR="00EB0442">
        <w:t xml:space="preserve"> considered the example given and agreed that </w:t>
      </w:r>
      <w:r w:rsidR="00EB0442" w:rsidRPr="0061044F">
        <w:rPr>
          <w:u w:color="82C42A"/>
        </w:rPr>
        <w:t>test criteria</w:t>
      </w:r>
      <w:r w:rsidR="00EB0442" w:rsidRPr="0061044F">
        <w:t xml:space="preserve"> </w:t>
      </w:r>
      <w:r w:rsidR="00EB0442">
        <w:t xml:space="preserve">needs to be developed to verify whether or not scales submitted for type evaluation comply with the tare requirements in </w:t>
      </w:r>
      <w:r w:rsidRPr="006D53BE">
        <w:t>NIST Handbook 44</w:t>
      </w:r>
      <w:r w:rsidR="00EB0442">
        <w:t xml:space="preserve"> S</w:t>
      </w:r>
      <w:r>
        <w:t xml:space="preserve">cales Code paragraph S.2.3.1.  </w:t>
      </w:r>
      <w:r w:rsidR="00EB0442">
        <w:t xml:space="preserve">A few members of the </w:t>
      </w:r>
      <w:r w:rsidR="00473C43">
        <w:t>S</w:t>
      </w:r>
      <w:r w:rsidR="00EB0442">
        <w:t xml:space="preserve">ector agreed to work on developing possible test criteria that could be added to </w:t>
      </w:r>
      <w:r w:rsidRPr="006D53BE">
        <w:t>NCWM Publication</w:t>
      </w:r>
      <w:r w:rsidR="006D53BE">
        <w:t> </w:t>
      </w:r>
      <w:r w:rsidRPr="006D53BE">
        <w:t xml:space="preserve">14 </w:t>
      </w:r>
      <w:r w:rsidR="00EB0442">
        <w:t xml:space="preserve">to verify whether a device submitted for type evaluation complies.  It was also agreed that the </w:t>
      </w:r>
      <w:r w:rsidRPr="0061044F">
        <w:rPr>
          <w:u w:color="82C42A"/>
        </w:rPr>
        <w:t>work group</w:t>
      </w:r>
      <w:r w:rsidR="00EB0442" w:rsidRPr="0061044F">
        <w:t xml:space="preserve"> </w:t>
      </w:r>
      <w:r w:rsidR="00EB0442">
        <w:t xml:space="preserve">would seek input from </w:t>
      </w:r>
      <w:r>
        <w:t xml:space="preserve">Mr. </w:t>
      </w:r>
      <w:r w:rsidR="00EB0442">
        <w:t>Ainsworth</w:t>
      </w:r>
      <w:r>
        <w:t>, Grain Inspection Packers and Stockyard Administration</w:t>
      </w:r>
      <w:r w:rsidR="00520CE7">
        <w:t>,</w:t>
      </w:r>
      <w:r>
        <w:t xml:space="preserve"> </w:t>
      </w:r>
      <w:r w:rsidR="00EB0442">
        <w:t xml:space="preserve">and </w:t>
      </w:r>
      <w:r>
        <w:t xml:space="preserve">Mr. Vande Berg, Vande Berg Scales, </w:t>
      </w:r>
      <w:r w:rsidR="00EB0442">
        <w:t>when developing the test criteria.</w:t>
      </w:r>
    </w:p>
    <w:p w:rsidR="007F23EC" w:rsidRDefault="007F23EC" w:rsidP="00FC3603">
      <w:pPr>
        <w:pStyle w:val="ItemHeading"/>
      </w:pPr>
      <w:bookmarkStart w:id="30" w:name="_Toc310427963"/>
      <w:bookmarkStart w:id="31" w:name="_Toc311539245"/>
      <w:bookmarkStart w:id="32" w:name="AcceptableSymbolsAbbreviations"/>
      <w:r>
        <w:t xml:space="preserve">Acceptable Symbols/Abbreviations to Display the </w:t>
      </w:r>
      <w:r w:rsidR="00FF1804">
        <w:t>Certificate of Conformance (</w:t>
      </w:r>
      <w:r>
        <w:t>CC</w:t>
      </w:r>
      <w:r w:rsidR="00FF1804">
        <w:t>)</w:t>
      </w:r>
      <w:r>
        <w:t xml:space="preserve"> Number </w:t>
      </w:r>
      <w:r w:rsidR="00FF1804">
        <w:t>V</w:t>
      </w:r>
      <w:r>
        <w:t>ia a Device’s User Interface</w:t>
      </w:r>
      <w:bookmarkEnd w:id="30"/>
      <w:bookmarkEnd w:id="31"/>
    </w:p>
    <w:bookmarkEnd w:id="32"/>
    <w:p w:rsidR="007F23EC" w:rsidRDefault="007F23EC" w:rsidP="007F23EC">
      <w:pPr>
        <w:pStyle w:val="BoldHeading"/>
      </w:pPr>
      <w:r>
        <w:t>Sources:</w:t>
      </w:r>
      <w:r>
        <w:tab/>
      </w:r>
    </w:p>
    <w:p w:rsidR="007F23EC" w:rsidRDefault="007F23EC" w:rsidP="007F23EC">
      <w:pPr>
        <w:pStyle w:val="bulletedlist"/>
      </w:pPr>
      <w:r>
        <w:t>2009 NTETC Software Sector Agenda Item 3 and 2010 S&amp;T Item 310-3 G-S.1. Identification. (Software)</w:t>
      </w:r>
    </w:p>
    <w:p w:rsidR="007F23EC" w:rsidRDefault="007F23EC" w:rsidP="007F23EC">
      <w:pPr>
        <w:pStyle w:val="bulletedlist"/>
      </w:pPr>
      <w:r>
        <w:t xml:space="preserve">2010 Final Report of the S&amp;T Committee: </w:t>
      </w:r>
      <w:r w:rsidR="006D53BE">
        <w:t xml:space="preserve"> </w:t>
      </w:r>
      <w:r w:rsidRPr="006D53BE">
        <w:rPr>
          <w:rStyle w:val="Hyperlink"/>
          <w:b/>
        </w:rPr>
        <w:t>ncwm.net/content/annual-archive</w:t>
      </w:r>
    </w:p>
    <w:p w:rsidR="007F23EC" w:rsidRDefault="007F23EC" w:rsidP="007F23EC">
      <w:pPr>
        <w:pStyle w:val="bulletedlist"/>
      </w:pPr>
      <w:r>
        <w:t xml:space="preserve">2010 Software Sector summary:  </w:t>
      </w:r>
      <w:r w:rsidRPr="006D53BE">
        <w:rPr>
          <w:rStyle w:val="Hyperlink"/>
          <w:b/>
        </w:rPr>
        <w:t>ncwm.net/content/software-archive</w:t>
      </w:r>
    </w:p>
    <w:p w:rsidR="007F23EC" w:rsidRDefault="007F23EC" w:rsidP="007F23EC">
      <w:pPr>
        <w:pStyle w:val="bulletedlist"/>
      </w:pPr>
      <w:r>
        <w:t xml:space="preserve">2011 Software Sector summary: </w:t>
      </w:r>
      <w:r w:rsidR="006D53BE">
        <w:t xml:space="preserve"> </w:t>
      </w:r>
      <w:r w:rsidRPr="006D53BE">
        <w:rPr>
          <w:rStyle w:val="Hyperlink"/>
          <w:b/>
        </w:rPr>
        <w:t>ncwm.net/content/software-docs</w:t>
      </w:r>
    </w:p>
    <w:p w:rsidR="00FF1804" w:rsidRDefault="007F23EC" w:rsidP="00FF1804">
      <w:pPr>
        <w:pStyle w:val="BoldHeading"/>
      </w:pPr>
      <w:r>
        <w:t>Background</w:t>
      </w:r>
      <w:r w:rsidR="00FF1804">
        <w:t>/Discussion</w:t>
      </w:r>
      <w:r>
        <w:t xml:space="preserve">: </w:t>
      </w:r>
    </w:p>
    <w:p w:rsidR="007F23EC" w:rsidRDefault="007F23EC" w:rsidP="007F23EC">
      <w:r>
        <w:t xml:space="preserve">Local </w:t>
      </w:r>
      <w:r w:rsidR="00FF1804">
        <w:t>w</w:t>
      </w:r>
      <w:r>
        <w:t xml:space="preserve">eights and </w:t>
      </w:r>
      <w:r w:rsidR="00FF1804">
        <w:t>m</w:t>
      </w:r>
      <w:r>
        <w:t>easures inspectors need a means to determine whether equipment discovered in the field has been evaluated by NTEP.</w:t>
      </w:r>
      <w:r w:rsidR="00FF1804">
        <w:t xml:space="preserve"> </w:t>
      </w:r>
      <w:r>
        <w:t xml:space="preserve"> If so, the inspector needs to know at a minimum the CC number.</w:t>
      </w:r>
      <w:r w:rsidR="00FF1804">
        <w:t xml:space="preserve"> </w:t>
      </w:r>
      <w:r>
        <w:t xml:space="preserve"> From this starting point, other required </w:t>
      </w:r>
      <w:r w:rsidR="00FF1804">
        <w:t xml:space="preserve">information can be ascertained.  </w:t>
      </w:r>
      <w:r w:rsidR="00FF1804" w:rsidRPr="006D53BE">
        <w:t xml:space="preserve">NIST Handbook </w:t>
      </w:r>
      <w:r w:rsidRPr="006D53BE">
        <w:t>44</w:t>
      </w:r>
      <w:r>
        <w:t xml:space="preserve"> currently includes three options for marking of the CC:</w:t>
      </w:r>
    </w:p>
    <w:p w:rsidR="007F23EC" w:rsidRDefault="007F23EC" w:rsidP="00FF1804">
      <w:pPr>
        <w:pStyle w:val="numberedlist"/>
        <w:numPr>
          <w:ilvl w:val="0"/>
          <w:numId w:val="36"/>
        </w:numPr>
      </w:pPr>
      <w:r>
        <w:t>Permanent marking</w:t>
      </w:r>
    </w:p>
    <w:p w:rsidR="007F23EC" w:rsidRDefault="007F23EC" w:rsidP="00FF1804">
      <w:pPr>
        <w:pStyle w:val="numberedlist"/>
        <w:numPr>
          <w:ilvl w:val="0"/>
          <w:numId w:val="36"/>
        </w:numPr>
      </w:pPr>
      <w:r>
        <w:t>Continuous display</w:t>
      </w:r>
    </w:p>
    <w:p w:rsidR="007F23EC" w:rsidRDefault="007F23EC" w:rsidP="00FF1804">
      <w:pPr>
        <w:pStyle w:val="numberedlist"/>
        <w:numPr>
          <w:ilvl w:val="0"/>
          <w:numId w:val="36"/>
        </w:numPr>
      </w:pPr>
      <w:r>
        <w:t>Recall using a special operation</w:t>
      </w:r>
    </w:p>
    <w:p w:rsidR="007F23EC" w:rsidRPr="003B3B3A" w:rsidRDefault="007F23EC" w:rsidP="00FF1804">
      <w:r w:rsidRPr="003B3B3A">
        <w:t xml:space="preserve">Additional background information relative to this item can be found in </w:t>
      </w:r>
      <w:r w:rsidRPr="006D53BE">
        <w:t>2011 NCWM Publication 16</w:t>
      </w:r>
      <w:r w:rsidRPr="003B3B3A">
        <w:t xml:space="preserve"> at:</w:t>
      </w:r>
      <w:r w:rsidR="00FF1804" w:rsidRPr="003B3B3A">
        <w:t xml:space="preserve"> </w:t>
      </w:r>
      <w:r w:rsidR="006D53BE">
        <w:t xml:space="preserve"> </w:t>
      </w:r>
      <w:r w:rsidR="00FF1804" w:rsidRPr="006D53BE">
        <w:rPr>
          <w:rStyle w:val="Hyperlink"/>
          <w:b/>
        </w:rPr>
        <w:t>ncwm.net/content/annual-archive</w:t>
      </w:r>
    </w:p>
    <w:p w:rsidR="007F23EC" w:rsidRPr="006D53BE" w:rsidRDefault="007F23EC" w:rsidP="007F23EC">
      <w:r>
        <w:t xml:space="preserve">During the 2010 </w:t>
      </w:r>
      <w:r w:rsidR="00FF1804">
        <w:t xml:space="preserve">NTETC </w:t>
      </w:r>
      <w:r>
        <w:t>W</w:t>
      </w:r>
      <w:r w:rsidR="00FF1804">
        <w:t>eighing Sector</w:t>
      </w:r>
      <w:r>
        <w:t xml:space="preserve"> Meeting</w:t>
      </w:r>
      <w:r w:rsidRPr="006D53BE">
        <w:t xml:space="preserve">, the </w:t>
      </w:r>
      <w:r w:rsidR="006D53BE" w:rsidRPr="006D53BE">
        <w:t>S</w:t>
      </w:r>
      <w:r w:rsidR="00FF1804" w:rsidRPr="006D53BE">
        <w:t>ector</w:t>
      </w:r>
      <w:r w:rsidRPr="006D53BE">
        <w:t xml:space="preserve"> reviewed an initial list of </w:t>
      </w:r>
      <w:r w:rsidRPr="0061044F">
        <w:rPr>
          <w:u w:color="82C42A"/>
        </w:rPr>
        <w:t>menu text</w:t>
      </w:r>
      <w:r w:rsidRPr="0061044F">
        <w:t xml:space="preserve"> </w:t>
      </w:r>
      <w:r w:rsidRPr="006D53BE">
        <w:t xml:space="preserve">and icons developed by the </w:t>
      </w:r>
      <w:r w:rsidR="00FF1804" w:rsidRPr="006D53BE">
        <w:t xml:space="preserve">NTETC </w:t>
      </w:r>
      <w:r w:rsidRPr="006D53BE">
        <w:t xml:space="preserve">Software Sector and provided comments to the </w:t>
      </w:r>
      <w:r w:rsidR="00FF1804" w:rsidRPr="006D53BE">
        <w:t xml:space="preserve">NTETC </w:t>
      </w:r>
      <w:r w:rsidRPr="006D53BE">
        <w:t>Software Sector as requested.</w:t>
      </w:r>
    </w:p>
    <w:p w:rsidR="007F23EC" w:rsidRDefault="007F23EC" w:rsidP="007F23EC">
      <w:r w:rsidRPr="006D53BE">
        <w:t xml:space="preserve">At the 2011 NCWM Annual Meeting, </w:t>
      </w:r>
      <w:r w:rsidR="00DA372C" w:rsidRPr="006D53BE">
        <w:t xml:space="preserve">NIST, </w:t>
      </w:r>
      <w:r w:rsidRPr="006D53BE">
        <w:t xml:space="preserve">OWM suggested that the S&amp;T Committee consider changing the status of the item from Informational to Developing in order to provide the </w:t>
      </w:r>
      <w:r w:rsidR="00397175" w:rsidRPr="006D53BE">
        <w:t xml:space="preserve">NTETC </w:t>
      </w:r>
      <w:r w:rsidRPr="006D53BE">
        <w:t>Software Sector additional time to more fully develop the item based on the following points:</w:t>
      </w:r>
    </w:p>
    <w:p w:rsidR="007F23EC" w:rsidRDefault="007F23EC" w:rsidP="00DA372C">
      <w:pPr>
        <w:pStyle w:val="numberedlist"/>
        <w:numPr>
          <w:ilvl w:val="0"/>
          <w:numId w:val="37"/>
        </w:numPr>
      </w:pPr>
      <w:r>
        <w:t>The current proposal is not developed enough for consideration by the S&amp;T</w:t>
      </w:r>
      <w:r w:rsidR="00DA372C">
        <w:t xml:space="preserve"> Committee.  </w:t>
      </w:r>
      <w:r>
        <w:t xml:space="preserve">Based on the diversity of comments heard on this issue, </w:t>
      </w:r>
      <w:r w:rsidR="00DA372C">
        <w:t xml:space="preserve">NIST, </w:t>
      </w:r>
      <w:r>
        <w:t xml:space="preserve">OWM believes the item is not close to a vote and that </w:t>
      </w:r>
      <w:r>
        <w:lastRenderedPageBreak/>
        <w:t xml:space="preserve">considerable work still needs to be done to develop the item before it could be considered for </w:t>
      </w:r>
      <w:r w:rsidRPr="0061044F">
        <w:rPr>
          <w:u w:color="82C42A"/>
        </w:rPr>
        <w:t>vote</w:t>
      </w:r>
      <w:r w:rsidRPr="0061044F">
        <w:t xml:space="preserve"> </w:t>
      </w:r>
      <w:r>
        <w:t xml:space="preserve">by </w:t>
      </w:r>
      <w:r w:rsidRPr="0061044F">
        <w:rPr>
          <w:u w:color="82C42A"/>
        </w:rPr>
        <w:t>NCWM</w:t>
      </w:r>
      <w:r w:rsidRPr="0061044F">
        <w:t>.</w:t>
      </w:r>
      <w:r>
        <w:t xml:space="preserve">  </w:t>
      </w:r>
    </w:p>
    <w:p w:rsidR="007F23EC" w:rsidRDefault="00DA372C" w:rsidP="00DA372C">
      <w:pPr>
        <w:pStyle w:val="numberedlist"/>
      </w:pPr>
      <w:r>
        <w:t xml:space="preserve">NIST, </w:t>
      </w:r>
      <w:r w:rsidR="007F23EC">
        <w:t xml:space="preserve">OWM interprets the current proposal to require </w:t>
      </w:r>
      <w:r w:rsidR="007F23EC" w:rsidRPr="0061044F">
        <w:rPr>
          <w:u w:color="82C42A"/>
        </w:rPr>
        <w:t>software</w:t>
      </w:r>
      <w:r w:rsidR="007F23EC" w:rsidRPr="0061044F">
        <w:t xml:space="preserve"> </w:t>
      </w:r>
      <w:r w:rsidR="007F23EC">
        <w:t xml:space="preserve">be marked with a </w:t>
      </w:r>
      <w:r>
        <w:t xml:space="preserve">non-repetitive </w:t>
      </w:r>
      <w:r w:rsidR="007F23EC">
        <w:t xml:space="preserve">serial number when in fact it is not the intent of the </w:t>
      </w:r>
      <w:r>
        <w:t>NTETC Software Sector</w:t>
      </w:r>
      <w:r w:rsidR="007F23EC">
        <w:t xml:space="preserve"> to require such marking.  Thus, it is believed that the language in </w:t>
      </w:r>
      <w:r>
        <w:t xml:space="preserve">the </w:t>
      </w:r>
      <w:r w:rsidR="007F23EC">
        <w:t>current proposal will need modification to resolve this issue.</w:t>
      </w:r>
    </w:p>
    <w:p w:rsidR="007F23EC" w:rsidRDefault="007F23EC" w:rsidP="00DA372C">
      <w:pPr>
        <w:pStyle w:val="numberedlist"/>
      </w:pPr>
      <w:r>
        <w:t xml:space="preserve">The draft of the March 2011 </w:t>
      </w:r>
      <w:r w:rsidR="00DA372C">
        <w:t xml:space="preserve">NTETC Software </w:t>
      </w:r>
      <w:r>
        <w:t xml:space="preserve">Sector Summary reported that several </w:t>
      </w:r>
      <w:r w:rsidR="00DA372C">
        <w:t>NTETC Software Sector</w:t>
      </w:r>
      <w:r>
        <w:t xml:space="preserve"> members envision G-S.1. being developed further to the extent that G-S.1.1. may not be needed.    </w:t>
      </w:r>
    </w:p>
    <w:p w:rsidR="007F23EC" w:rsidRDefault="007F23EC" w:rsidP="007F23EC">
      <w:r>
        <w:t>The S&amp;T Committee agreed to change the status of this item to Developing because the item was lacking enough information for full consideration and a full proposal has yet to be developed.</w:t>
      </w:r>
    </w:p>
    <w:p w:rsidR="00CC51D0" w:rsidRDefault="007F23EC" w:rsidP="006D53BE">
      <w:pPr>
        <w:pStyle w:val="BoldHeading"/>
        <w:keepNext/>
      </w:pPr>
      <w:r>
        <w:t xml:space="preserve">Conclusion: </w:t>
      </w:r>
    </w:p>
    <w:p w:rsidR="007F23EC" w:rsidRDefault="007F23EC" w:rsidP="006D53BE">
      <w:pPr>
        <w:keepNext/>
      </w:pPr>
      <w:r>
        <w:t xml:space="preserve">The </w:t>
      </w:r>
      <w:r w:rsidR="00CC51D0">
        <w:t>NTETC Weighing Sector</w:t>
      </w:r>
      <w:r>
        <w:t xml:space="preserve"> agreed to take no additional action on this item pending further development of the item by the </w:t>
      </w:r>
      <w:r w:rsidR="00CC51D0">
        <w:t xml:space="preserve">NTETC </w:t>
      </w:r>
      <w:r>
        <w:t>Software Sector.</w:t>
      </w:r>
    </w:p>
    <w:p w:rsidR="00CC51D0" w:rsidRDefault="00CC51D0" w:rsidP="00CC51D0">
      <w:pPr>
        <w:pStyle w:val="Heading1"/>
      </w:pPr>
      <w:bookmarkStart w:id="33" w:name="_Toc310427964"/>
      <w:bookmarkStart w:id="34" w:name="_Toc311539246"/>
      <w:bookmarkStart w:id="35" w:name="NEWITEMS"/>
      <w:r>
        <w:t>New Items</w:t>
      </w:r>
      <w:bookmarkEnd w:id="33"/>
      <w:bookmarkEnd w:id="34"/>
    </w:p>
    <w:p w:rsidR="00CC51D0" w:rsidRDefault="00944009" w:rsidP="00FC3603">
      <w:pPr>
        <w:pStyle w:val="ItemHeading"/>
      </w:pPr>
      <w:bookmarkStart w:id="36" w:name="_Toc310427965"/>
      <w:bookmarkStart w:id="37" w:name="_Toc311539247"/>
      <w:bookmarkStart w:id="38" w:name="DESSection634"/>
      <w:bookmarkEnd w:id="35"/>
      <w:r>
        <w:t>DES Section 63</w:t>
      </w:r>
      <w:bookmarkEnd w:id="36"/>
      <w:r w:rsidR="00397175">
        <w:t>.4. Out-of-</w:t>
      </w:r>
      <w:r w:rsidR="00AE1FE2">
        <w:t>Level Tests (if applicable)</w:t>
      </w:r>
      <w:bookmarkEnd w:id="37"/>
    </w:p>
    <w:bookmarkEnd w:id="38"/>
    <w:p w:rsidR="00CC51D0" w:rsidRDefault="00CC51D0" w:rsidP="00CC51D0">
      <w:pPr>
        <w:pStyle w:val="BoldHeading"/>
      </w:pPr>
      <w:r>
        <w:t xml:space="preserve">Source:  </w:t>
      </w:r>
    </w:p>
    <w:p w:rsidR="00CC51D0" w:rsidRDefault="00CC51D0" w:rsidP="00CC51D0">
      <w:r>
        <w:t>Mr. Payne Jr., Maryland NTEP laboratory</w:t>
      </w:r>
    </w:p>
    <w:p w:rsidR="00CC51D0" w:rsidRDefault="00CC51D0" w:rsidP="00CC51D0">
      <w:pPr>
        <w:pStyle w:val="BoldHeading"/>
      </w:pPr>
      <w:r>
        <w:t xml:space="preserve">Background/Discussion: </w:t>
      </w:r>
    </w:p>
    <w:p w:rsidR="00CC51D0" w:rsidRDefault="00CC51D0" w:rsidP="00CC51D0">
      <w:r>
        <w:t xml:space="preserve">Mr. Payne, </w:t>
      </w:r>
      <w:r w:rsidRPr="00CC51D0">
        <w:t>Maryland Department of Agriculture</w:t>
      </w:r>
      <w:r>
        <w:t xml:space="preserve">, reports that the NTEP laboratories have to verify the sensitivity of the level indicator on a scale that’s been submitted for type evaluation under NTEP’s Mutual Recognition Agreement (MRA) with Measurement Canada (MC).  An MRA is an agreement whereby the test data from evaluation in either an NTEP authorized laboratory or MC can be used by both countries in the issuance of their respective certifications.  Since testing is already being performed by the NTEP laboratories on devices submitted under the MRA, Mr. Payne is </w:t>
      </w:r>
      <w:r w:rsidRPr="00C83B0B">
        <w:rPr>
          <w:u w:color="82C42A"/>
        </w:rPr>
        <w:t>recommending</w:t>
      </w:r>
      <w:r w:rsidRPr="00C83B0B">
        <w:t xml:space="preserve"> </w:t>
      </w:r>
      <w:r>
        <w:t xml:space="preserve">that testing the sensitivity of a level indicator be expanded to include all portable scales, so equipped, that are submitted to NTEP for evaluation.  </w:t>
      </w:r>
    </w:p>
    <w:p w:rsidR="00CC51D0" w:rsidRDefault="00CC51D0" w:rsidP="00CC51D0">
      <w:r>
        <w:t xml:space="preserve">Mr. Payne requests </w:t>
      </w:r>
      <w:r w:rsidRPr="00C83B0B">
        <w:rPr>
          <w:u w:color="82C42A"/>
        </w:rPr>
        <w:t>that additional test</w:t>
      </w:r>
      <w:r w:rsidRPr="00C83B0B">
        <w:t xml:space="preserve"> </w:t>
      </w:r>
      <w:r>
        <w:t xml:space="preserve">criteria for testing the suitability of a level indicating means on a portable scale, equivalent to that used by MC be added to </w:t>
      </w:r>
      <w:r w:rsidRPr="001C4A96">
        <w:t>NCWM Publication 14</w:t>
      </w:r>
      <w:r>
        <w:t xml:space="preserve"> DES Section 63.4.  MC’s current test criteria for verifying acceptable sensitivity on a scale’s level indicating means is as follows:</w:t>
      </w:r>
    </w:p>
    <w:p w:rsidR="00CC51D0" w:rsidRPr="00CC51D0" w:rsidRDefault="00CC51D0" w:rsidP="00CC51D0">
      <w:pPr>
        <w:pStyle w:val="I-Normalreg"/>
        <w:spacing w:after="0"/>
        <w:rPr>
          <w:b/>
        </w:rPr>
      </w:pPr>
      <w:r w:rsidRPr="00CC51D0">
        <w:rPr>
          <w:b/>
        </w:rPr>
        <w:t>MC Test Requirements (2011):</w:t>
      </w:r>
    </w:p>
    <w:p w:rsidR="00CC51D0" w:rsidRDefault="00CC51D0" w:rsidP="00CC51D0">
      <w:pPr>
        <w:pStyle w:val="I-Normalreg"/>
        <w:spacing w:after="0"/>
      </w:pPr>
      <w:r>
        <w:t>MRA. LG-3.05 SUITABILITY OF THE LEVEL INDICATOR</w:t>
      </w:r>
    </w:p>
    <w:p w:rsidR="00CC51D0" w:rsidRDefault="00CC51D0" w:rsidP="00CC51D0">
      <w:pPr>
        <w:pStyle w:val="I-Normalreg"/>
      </w:pPr>
      <w:r>
        <w:t>Off Level: -X direction</w:t>
      </w:r>
    </w:p>
    <w:p w:rsidR="00CC51D0" w:rsidRDefault="00CC51D0" w:rsidP="00CC51D0">
      <w:pPr>
        <w:pStyle w:val="I-Normalreg"/>
        <w:spacing w:after="0"/>
      </w:pPr>
      <w:r>
        <w:t>REFERENCE</w:t>
      </w:r>
    </w:p>
    <w:p w:rsidR="00CC51D0" w:rsidRDefault="00CC51D0" w:rsidP="00CC51D0">
      <w:pPr>
        <w:pStyle w:val="I-Normalreg"/>
      </w:pPr>
      <w:r>
        <w:t>Sections 9, 10, 11</w:t>
      </w:r>
      <w:r w:rsidR="001C4A96">
        <w:t>,</w:t>
      </w:r>
      <w:r>
        <w:t xml:space="preserve"> and 22 of the Non Automatic Weighing Devices Specifications</w:t>
      </w:r>
    </w:p>
    <w:p w:rsidR="00CC51D0" w:rsidRDefault="00CC51D0" w:rsidP="00CC51D0">
      <w:pPr>
        <w:pStyle w:val="I-Normalreg"/>
        <w:spacing w:after="0"/>
      </w:pPr>
      <w:r>
        <w:t>APPLICATION</w:t>
      </w:r>
    </w:p>
    <w:p w:rsidR="00CC51D0" w:rsidRDefault="00CC51D0" w:rsidP="007653D6">
      <w:pPr>
        <w:pStyle w:val="I-Normalreg"/>
      </w:pPr>
      <w:r>
        <w:t>This test is intended for complete portable or movable devices and weighing elements whose performance is affected when off level.</w:t>
      </w:r>
      <w:r w:rsidR="001C4A96">
        <w:t xml:space="preserve"> </w:t>
      </w:r>
      <w:r>
        <w:t xml:space="preserve"> Such devices must be equipped with a suitable level indicating means. </w:t>
      </w:r>
      <w:r w:rsidR="001C4A96">
        <w:t xml:space="preserve"> </w:t>
      </w:r>
      <w:r>
        <w:t>This test is to ensure that the level indicating means is sensitive enough to accurately indicate the limit of inclination at which the device ceases to perform within tolerances.</w:t>
      </w:r>
    </w:p>
    <w:p w:rsidR="00CC51D0" w:rsidRDefault="00CC51D0" w:rsidP="007653D6">
      <w:pPr>
        <w:pStyle w:val="I-Normalreg"/>
        <w:spacing w:after="0"/>
      </w:pPr>
      <w:r>
        <w:t>SETTINGS</w:t>
      </w:r>
    </w:p>
    <w:p w:rsidR="00CC51D0" w:rsidRDefault="00CC51D0" w:rsidP="00CC51D0">
      <w:pPr>
        <w:pStyle w:val="bulletedlist"/>
      </w:pPr>
      <w:r>
        <w:t xml:space="preserve">The </w:t>
      </w:r>
      <w:r w:rsidR="00C16EC7">
        <w:t xml:space="preserve">Automatic Zero Tracking </w:t>
      </w:r>
      <w:r>
        <w:t>may be activated.</w:t>
      </w:r>
      <w:r w:rsidR="00C16EC7">
        <w:t xml:space="preserve"> </w:t>
      </w:r>
      <w:r>
        <w:t xml:space="preserve"> It must be set so that the weight value that can be tracked at once does not exceed 0.6</w:t>
      </w:r>
      <w:r w:rsidR="001C4A96">
        <w:t> </w:t>
      </w:r>
      <w:r>
        <w:t>e.</w:t>
      </w:r>
    </w:p>
    <w:p w:rsidR="00CC51D0" w:rsidRDefault="00CC51D0" w:rsidP="00CC51D0">
      <w:pPr>
        <w:pStyle w:val="bulletedlist"/>
      </w:pPr>
      <w:r>
        <w:lastRenderedPageBreak/>
        <w:t xml:space="preserve">If the </w:t>
      </w:r>
      <w:r w:rsidR="004D58CF">
        <w:t>Initial Zero Setting Mechanism (</w:t>
      </w:r>
      <w:r>
        <w:t>IZSM</w:t>
      </w:r>
      <w:r w:rsidR="004D58CF">
        <w:t>)</w:t>
      </w:r>
      <w:r>
        <w:t xml:space="preserve"> range of the device does not exceed 20</w:t>
      </w:r>
      <w:r w:rsidR="001C4A96">
        <w:t> </w:t>
      </w:r>
      <w:r>
        <w:t>% of Max, the test will be performed with the IZSM set at the maximum of the range.</w:t>
      </w:r>
    </w:p>
    <w:p w:rsidR="00CC51D0" w:rsidRDefault="00CC51D0" w:rsidP="00CC51D0">
      <w:pPr>
        <w:pStyle w:val="bulletedlist"/>
      </w:pPr>
      <w:r>
        <w:t>If the IZSM range exceeds 20</w:t>
      </w:r>
      <w:r w:rsidR="001C4A96">
        <w:t> </w:t>
      </w:r>
      <w:r>
        <w:t>% of Max, the test will be performed twice:</w:t>
      </w:r>
      <w:r w:rsidR="00473C43">
        <w:t xml:space="preserve"> </w:t>
      </w:r>
      <w:r>
        <w:t xml:space="preserve"> the first test with the IZSM set to the lowest possible value; the second test with the IZSM set to the maximum of its range.</w:t>
      </w:r>
    </w:p>
    <w:p w:rsidR="00CC51D0" w:rsidRPr="00C16EC7" w:rsidRDefault="00CC51D0" w:rsidP="00CC51D0">
      <w:pPr>
        <w:pStyle w:val="I-Normalreg"/>
        <w:rPr>
          <w:i/>
        </w:rPr>
      </w:pPr>
      <w:r w:rsidRPr="00C16EC7">
        <w:rPr>
          <w:i/>
        </w:rPr>
        <w:t xml:space="preserve">NOTE: </w:t>
      </w:r>
      <w:r w:rsidR="001C4A96">
        <w:rPr>
          <w:i/>
        </w:rPr>
        <w:t xml:space="preserve"> </w:t>
      </w:r>
      <w:r w:rsidRPr="00C16EC7">
        <w:rPr>
          <w:i/>
        </w:rPr>
        <w:t>In the case of a multi-range device, it is 20</w:t>
      </w:r>
      <w:r w:rsidR="001C4A96">
        <w:rPr>
          <w:i/>
        </w:rPr>
        <w:t> </w:t>
      </w:r>
      <w:r w:rsidRPr="00C16EC7">
        <w:rPr>
          <w:i/>
        </w:rPr>
        <w:t>% of Max of the lowest range; in the case of a multi-interval device, it is 20</w:t>
      </w:r>
      <w:r w:rsidR="001C4A96">
        <w:rPr>
          <w:i/>
        </w:rPr>
        <w:t> </w:t>
      </w:r>
      <w:r w:rsidRPr="00C16EC7">
        <w:rPr>
          <w:i/>
        </w:rPr>
        <w:t>% of max of the first range.</w:t>
      </w:r>
    </w:p>
    <w:p w:rsidR="00CC51D0" w:rsidRDefault="00CC51D0" w:rsidP="00C16EC7">
      <w:pPr>
        <w:pStyle w:val="bulletedlist"/>
      </w:pPr>
      <w:r>
        <w:t>The device must be leveled using the level indicating means, and adjusted to as close to zero error as possible.</w:t>
      </w:r>
    </w:p>
    <w:p w:rsidR="00CC51D0" w:rsidRDefault="00CC51D0" w:rsidP="00C16EC7">
      <w:pPr>
        <w:pStyle w:val="bulletedlist"/>
      </w:pPr>
      <w:r>
        <w:t>If the device has an "enhance" resolution feature, perform the test with that feature activated; or use the small weight method to determine errors before rounding.</w:t>
      </w:r>
    </w:p>
    <w:p w:rsidR="00CC51D0" w:rsidRDefault="00CC51D0" w:rsidP="00C16EC7">
      <w:pPr>
        <w:pStyle w:val="bulletedlist"/>
      </w:pPr>
      <w:r>
        <w:t>This test is performed at ambient temperature only.</w:t>
      </w:r>
    </w:p>
    <w:p w:rsidR="00CC51D0" w:rsidRDefault="00CC51D0" w:rsidP="007653D6">
      <w:pPr>
        <w:pStyle w:val="I-Normalreg"/>
        <w:spacing w:after="0"/>
      </w:pPr>
      <w:r>
        <w:t>PROCEDURE</w:t>
      </w:r>
    </w:p>
    <w:p w:rsidR="00CC51D0" w:rsidRDefault="00CC51D0" w:rsidP="00C16EC7">
      <w:pPr>
        <w:pStyle w:val="numberedlist"/>
        <w:numPr>
          <w:ilvl w:val="0"/>
          <w:numId w:val="38"/>
        </w:numPr>
      </w:pPr>
      <w:r>
        <w:t xml:space="preserve">Incline the DUT in one direction (arbitrary referred to as </w:t>
      </w:r>
      <w:r w:rsidR="001C4A96">
        <w:rPr>
          <w:rFonts w:cs="Times New Roman"/>
        </w:rPr>
        <w:t>− x</w:t>
      </w:r>
      <w:r>
        <w:t>) up to the point of limit where the level indicating means still indicates a level condition or at least 2/1</w:t>
      </w:r>
      <w:r w:rsidR="001C4A96">
        <w:t> </w:t>
      </w:r>
      <w:r>
        <w:t>000 (0.12 degree) whichever is greater.</w:t>
      </w:r>
    </w:p>
    <w:p w:rsidR="00CC51D0" w:rsidRDefault="00CC51D0" w:rsidP="00C16EC7">
      <w:pPr>
        <w:pStyle w:val="numberedlist"/>
        <w:numPr>
          <w:ilvl w:val="0"/>
          <w:numId w:val="0"/>
        </w:numPr>
        <w:ind w:left="720"/>
      </w:pPr>
      <w:r>
        <w:t>LG-3.05 SUITABILITY OF THE LEVEL INDICATOR</w:t>
      </w:r>
    </w:p>
    <w:p w:rsidR="00CC51D0" w:rsidRDefault="00CC51D0" w:rsidP="00C16EC7">
      <w:pPr>
        <w:pStyle w:val="numberedlist"/>
        <w:numPr>
          <w:ilvl w:val="0"/>
          <w:numId w:val="0"/>
        </w:numPr>
        <w:ind w:left="720"/>
      </w:pPr>
      <w:r>
        <w:t xml:space="preserve">Off Level: </w:t>
      </w:r>
      <w:r w:rsidR="001C4A96">
        <w:t xml:space="preserve"> </w:t>
      </w:r>
      <w:r>
        <w:t xml:space="preserve">X direction </w:t>
      </w:r>
    </w:p>
    <w:p w:rsidR="00CC51D0" w:rsidRDefault="00CC51D0" w:rsidP="00C16EC7">
      <w:pPr>
        <w:pStyle w:val="numberedlist"/>
        <w:numPr>
          <w:ilvl w:val="0"/>
          <w:numId w:val="0"/>
        </w:numPr>
        <w:ind w:left="720"/>
      </w:pPr>
      <w:r>
        <w:t xml:space="preserve">Off Level: </w:t>
      </w:r>
      <w:r w:rsidR="001C4A96">
        <w:t xml:space="preserve"> </w:t>
      </w:r>
      <w:r>
        <w:t xml:space="preserve">Y direction </w:t>
      </w:r>
    </w:p>
    <w:p w:rsidR="00CC51D0" w:rsidRDefault="00CC51D0" w:rsidP="00C16EC7">
      <w:pPr>
        <w:pStyle w:val="numberedlist"/>
        <w:numPr>
          <w:ilvl w:val="0"/>
          <w:numId w:val="0"/>
        </w:numPr>
        <w:ind w:left="720"/>
      </w:pPr>
      <w:r>
        <w:t xml:space="preserve">Off Level: </w:t>
      </w:r>
      <w:r w:rsidR="001C4A96">
        <w:t xml:space="preserve"> </w:t>
      </w:r>
      <w:r w:rsidR="001C4A96">
        <w:rPr>
          <w:rFonts w:cs="Times New Roman"/>
        </w:rPr>
        <w:t>− </w:t>
      </w:r>
      <w:r>
        <w:t xml:space="preserve">Y direction   </w:t>
      </w:r>
    </w:p>
    <w:p w:rsidR="00CC51D0" w:rsidRDefault="00CC51D0" w:rsidP="00C16EC7">
      <w:pPr>
        <w:pStyle w:val="numberedlist"/>
        <w:numPr>
          <w:ilvl w:val="0"/>
          <w:numId w:val="38"/>
        </w:numPr>
      </w:pPr>
      <w:r>
        <w:t>Set the device to zero if necessary; perform an increasing and decreasing load test.</w:t>
      </w:r>
      <w:r w:rsidR="00C16EC7">
        <w:t xml:space="preserve"> </w:t>
      </w:r>
      <w:r>
        <w:t xml:space="preserve"> If necessary, use the small weight method to find errors before rounding. </w:t>
      </w:r>
      <w:r w:rsidR="00C16EC7">
        <w:t xml:space="preserve"> </w:t>
      </w:r>
      <w:r>
        <w:t>Record the results.</w:t>
      </w:r>
    </w:p>
    <w:p w:rsidR="00CC51D0" w:rsidRDefault="00CC51D0" w:rsidP="00C16EC7">
      <w:pPr>
        <w:pStyle w:val="numberedlist"/>
        <w:numPr>
          <w:ilvl w:val="0"/>
          <w:numId w:val="38"/>
        </w:numPr>
      </w:pPr>
      <w:r>
        <w:t>Record the angle with reference to the horizontal</w:t>
      </w:r>
      <w:r w:rsidR="00520CE7">
        <w:t>.</w:t>
      </w:r>
    </w:p>
    <w:p w:rsidR="00CC51D0" w:rsidRDefault="00CC51D0" w:rsidP="00C16EC7">
      <w:pPr>
        <w:pStyle w:val="numberedlist"/>
        <w:numPr>
          <w:ilvl w:val="0"/>
          <w:numId w:val="38"/>
        </w:numPr>
      </w:pPr>
      <w:r>
        <w:t>Repeat the test described above for the other three inclinations (+</w:t>
      </w:r>
      <w:r w:rsidR="001C4A96">
        <w:t> </w:t>
      </w:r>
      <w:r>
        <w:t xml:space="preserve">x, </w:t>
      </w:r>
      <w:r w:rsidR="001C4A96">
        <w:rPr>
          <w:rFonts w:cs="Times New Roman"/>
        </w:rPr>
        <w:t>−</w:t>
      </w:r>
      <w:r w:rsidR="001C4A96">
        <w:t> </w:t>
      </w:r>
      <w:r>
        <w:t>y, +</w:t>
      </w:r>
      <w:r w:rsidR="001C4A96">
        <w:t> </w:t>
      </w:r>
      <w:r>
        <w:t>y)</w:t>
      </w:r>
      <w:r w:rsidR="001C4A96">
        <w:t xml:space="preserve">. </w:t>
      </w:r>
      <w:r>
        <w:t xml:space="preserve"> (See the following illustrations</w:t>
      </w:r>
      <w:r w:rsidR="001C4A96">
        <w:t>.</w:t>
      </w:r>
      <w:r>
        <w:t>)</w:t>
      </w:r>
    </w:p>
    <w:p w:rsidR="00CC51D0" w:rsidRDefault="00CC51D0" w:rsidP="00C16EC7">
      <w:pPr>
        <w:pStyle w:val="I-Normalreg"/>
        <w:spacing w:after="0"/>
      </w:pPr>
      <w:r>
        <w:t>INTERPRETATION OF RESULTS</w:t>
      </w:r>
    </w:p>
    <w:p w:rsidR="00CC51D0" w:rsidRDefault="00CC51D0" w:rsidP="00CC51D0">
      <w:pPr>
        <w:pStyle w:val="I-Normalreg"/>
      </w:pPr>
      <w:r>
        <w:t>The device meets the requirements if, at the limits of inclination in all four directions, it performs within applicable limits of error.</w:t>
      </w:r>
    </w:p>
    <w:p w:rsidR="00C16EC7" w:rsidRDefault="00C16EC7" w:rsidP="00C16EC7">
      <w:pPr>
        <w:pStyle w:val="BoldHeading"/>
      </w:pPr>
      <w:r>
        <w:t>Conclusion:</w:t>
      </w:r>
    </w:p>
    <w:p w:rsidR="008A1C05" w:rsidRDefault="00C16EC7" w:rsidP="00C16EC7">
      <w:r w:rsidRPr="001C4A96">
        <w:t xml:space="preserve">Mr. Payne, Maryland Department of Agriculture, provided the </w:t>
      </w:r>
      <w:r w:rsidR="001C4A96" w:rsidRPr="001C4A96">
        <w:t>S</w:t>
      </w:r>
      <w:r w:rsidRPr="007A057D">
        <w:t>ector</w:t>
      </w:r>
      <w:r w:rsidRPr="001C4A96">
        <w:t xml:space="preserve"> a copy of the MC test requirements used for determining the suitability of a level indicator on a portable scale, and proposed adding similar procedures to NCWM Publication 14.  The </w:t>
      </w:r>
      <w:r w:rsidR="001C4A96" w:rsidRPr="001C4A96">
        <w:t>S</w:t>
      </w:r>
      <w:r w:rsidRPr="007A057D">
        <w:t>ector</w:t>
      </w:r>
      <w:r w:rsidRPr="001C4A96">
        <w:t xml:space="preserve"> reviewed the information and agreed that it was appropriate to add test criteria, similar to that used by MC into NCWM Publication 14.  </w:t>
      </w:r>
      <w:r w:rsidR="008A1C05" w:rsidRPr="001C4A96">
        <w:t xml:space="preserve">The </w:t>
      </w:r>
      <w:r w:rsidR="001C4A96" w:rsidRPr="001C4A96">
        <w:t>S</w:t>
      </w:r>
      <w:r w:rsidR="008A1C05" w:rsidRPr="007A057D">
        <w:t>ector</w:t>
      </w:r>
      <w:r w:rsidR="008A1C05" w:rsidRPr="001C4A96">
        <w:t xml:space="preserve"> also agreed to recommend that the procedures</w:t>
      </w:r>
      <w:r w:rsidR="008A1C05" w:rsidRPr="008A1C05">
        <w:t xml:space="preserve"> be added to Section 63.4</w:t>
      </w:r>
      <w:r w:rsidR="001C4A96">
        <w:t>.</w:t>
      </w:r>
      <w:r w:rsidR="008A1C05" w:rsidRPr="008A1C05">
        <w:t xml:space="preserve"> Out-of-Level Tests. </w:t>
      </w:r>
      <w:r w:rsidR="006D3066">
        <w:t xml:space="preserve"> </w:t>
      </w:r>
      <w:r w:rsidR="008A1C05" w:rsidRPr="008A1C05">
        <w:t xml:space="preserve">During its discussions, the </w:t>
      </w:r>
      <w:r w:rsidR="006D3066">
        <w:t>work</w:t>
      </w:r>
      <w:r w:rsidR="008A1C05" w:rsidRPr="008A1C05">
        <w:t xml:space="preserve"> considered whether the test criteria should apply to scales designated Accuracy Class I and concluded that the test criteria should</w:t>
      </w:r>
      <w:r w:rsidR="006D3066">
        <w:t xml:space="preserve"> </w:t>
      </w:r>
      <w:r w:rsidR="008A1C05" w:rsidRPr="008A1C05">
        <w:t xml:space="preserve">not apply to scales designated Accuracy Class I.  </w:t>
      </w:r>
    </w:p>
    <w:p w:rsidR="00C16EC7" w:rsidRDefault="008A1C05" w:rsidP="00C16EC7">
      <w:r>
        <w:t>Mr. Harshman, NIST Technical Advisor</w:t>
      </w:r>
      <w:r w:rsidR="00520CE7">
        <w:t>,</w:t>
      </w:r>
      <w:r>
        <w:t xml:space="preserve"> noted that w</w:t>
      </w:r>
      <w:r w:rsidR="00C16EC7">
        <w:t>hile attempting to insert the new draft test procedures into Section 63.4. (i.e., after the 2011 NTETC Weighing Sector Meeting had concluded), it became evident to Mr.</w:t>
      </w:r>
      <w:r w:rsidR="001C4A96">
        <w:t> </w:t>
      </w:r>
      <w:r w:rsidR="00C16EC7">
        <w:t xml:space="preserve">Harshman, NIST Technical Advisor, that Section 63.4 was not the most appropriate Section within the DES Section of </w:t>
      </w:r>
      <w:r w:rsidR="00C16EC7" w:rsidRPr="001C4A96">
        <w:t>NCWM Publication 14</w:t>
      </w:r>
      <w:r w:rsidR="00C16EC7">
        <w:t xml:space="preserve"> to add the new procedures.  Mr. Truex, NTEP Administrator</w:t>
      </w:r>
      <w:r w:rsidR="00520CE7">
        <w:t>,</w:t>
      </w:r>
      <w:r w:rsidR="00C16EC7">
        <w:t xml:space="preserve"> and Mr. Flocken, Chair</w:t>
      </w:r>
      <w:r w:rsidR="00520CE7">
        <w:t>,</w:t>
      </w:r>
      <w:r w:rsidR="00C16EC7">
        <w:t xml:space="preserve"> were made aware and the decision was made, after consulting with all NTETC Weighing Sector members </w:t>
      </w:r>
      <w:r w:rsidR="00C16EC7">
        <w:lastRenderedPageBreak/>
        <w:t>present at the 2011 NTETC Weighing Sector Meeting, to add t</w:t>
      </w:r>
      <w:r>
        <w:t>he new procedures to Section 56</w:t>
      </w:r>
      <w:r w:rsidR="00C16EC7">
        <w:t xml:space="preserve"> Level-Indicting Means – </w:t>
      </w:r>
      <w:r w:rsidR="00C16EC7" w:rsidRPr="001C4A96">
        <w:t>Portable Scales, subsection 56.4. and renumber the current subsection 56.4</w:t>
      </w:r>
      <w:r w:rsidR="001C4A96">
        <w:t>.</w:t>
      </w:r>
      <w:r w:rsidR="00C16EC7" w:rsidRPr="001C4A96">
        <w:t xml:space="preserve"> to 56.5.  The changes reco</w:t>
      </w:r>
      <w:r w:rsidR="006D3066" w:rsidRPr="001C4A96">
        <w:t xml:space="preserve">mmended by the </w:t>
      </w:r>
      <w:r w:rsidR="001C4A96" w:rsidRPr="001C4A96">
        <w:t>S</w:t>
      </w:r>
      <w:r w:rsidR="006D3066" w:rsidRPr="007A057D">
        <w:t>ector</w:t>
      </w:r>
      <w:r w:rsidR="006D3066" w:rsidRPr="001C4A96">
        <w:t xml:space="preserve"> are</w:t>
      </w:r>
      <w:r w:rsidR="006D3066">
        <w:t>:</w:t>
      </w:r>
    </w:p>
    <w:p w:rsidR="008A1C05" w:rsidRPr="006D3066" w:rsidRDefault="008A1C05" w:rsidP="008A1C05">
      <w:r w:rsidRPr="007A057D">
        <w:t>NCWM Publication 14</w:t>
      </w:r>
      <w:r w:rsidRPr="00A04BE4">
        <w:t xml:space="preserve">: </w:t>
      </w:r>
      <w:r w:rsidR="007A057D">
        <w:t xml:space="preserve"> </w:t>
      </w:r>
      <w:r w:rsidRPr="00A04BE4">
        <w:t xml:space="preserve">DES Section </w:t>
      </w:r>
      <w:r w:rsidR="006D3066" w:rsidRPr="00A04BE4">
        <w:t>56.4</w:t>
      </w:r>
      <w:r w:rsidRPr="00A04BE4">
        <w:t>.</w:t>
      </w:r>
    </w:p>
    <w:tbl>
      <w:tblPr>
        <w:tblW w:w="9450" w:type="dxa"/>
        <w:tblInd w:w="18" w:type="dxa"/>
        <w:tblLook w:val="04A0" w:firstRow="1" w:lastRow="0" w:firstColumn="1" w:lastColumn="0" w:noHBand="0" w:noVBand="1"/>
      </w:tblPr>
      <w:tblGrid>
        <w:gridCol w:w="7290"/>
        <w:gridCol w:w="2160"/>
      </w:tblGrid>
      <w:tr w:rsidR="008A1C05" w:rsidRPr="008A1C05" w:rsidTr="008A1C05">
        <w:tc>
          <w:tcPr>
            <w:tcW w:w="7290" w:type="dxa"/>
          </w:tcPr>
          <w:p w:rsidR="008A1C05" w:rsidRPr="006D3066" w:rsidRDefault="006D3066" w:rsidP="006D3066">
            <w:pPr>
              <w:pStyle w:val="I-Normalreg"/>
              <w:spacing w:after="0"/>
              <w:ind w:left="882" w:hanging="522"/>
              <w:jc w:val="left"/>
            </w:pPr>
            <w:r w:rsidRPr="006D3066">
              <w:t>56.3</w:t>
            </w:r>
            <w:r w:rsidR="008A1C05" w:rsidRPr="006D3066">
              <w:t>.</w:t>
            </w:r>
            <w:r w:rsidR="008A1C05" w:rsidRPr="006D3066">
              <w:tab/>
              <w:t xml:space="preserve">The level-indicating means is rigidly mounted, easily read, protected from damage, </w:t>
            </w:r>
            <w:r w:rsidR="008A1C05" w:rsidRPr="006D3066">
              <w:rPr>
                <w:b/>
                <w:u w:val="single"/>
              </w:rPr>
              <w:t>and</w:t>
            </w:r>
            <w:r w:rsidR="008A1C05" w:rsidRPr="006D3066">
              <w:t xml:space="preserve"> will not</w:t>
            </w:r>
            <w:r w:rsidRPr="006D3066">
              <w:t xml:space="preserve"> change its reference for level</w:t>
            </w:r>
            <w:r w:rsidRPr="006D3066">
              <w:rPr>
                <w:b/>
                <w:strike/>
              </w:rPr>
              <w:t>, and sufficiently sensitive</w:t>
            </w:r>
            <w:r w:rsidRPr="006D3066">
              <w:t>.</w:t>
            </w:r>
          </w:p>
        </w:tc>
        <w:tc>
          <w:tcPr>
            <w:tcW w:w="2160" w:type="dxa"/>
          </w:tcPr>
          <w:p w:rsidR="008A1C05" w:rsidRPr="006D3066" w:rsidRDefault="008A1C05" w:rsidP="008A1C05">
            <w:pPr>
              <w:pStyle w:val="CheckBoxes"/>
            </w:pPr>
            <w:r w:rsidRPr="006D3066">
              <w:fldChar w:fldCharType="begin">
                <w:ffData>
                  <w:name w:val="Check1"/>
                  <w:enabled/>
                  <w:calcOnExit w:val="0"/>
                  <w:checkBox>
                    <w:sizeAuto/>
                    <w:default w:val="0"/>
                  </w:checkBox>
                </w:ffData>
              </w:fldChar>
            </w:r>
            <w:r w:rsidRPr="006D3066">
              <w:instrText xml:space="preserve"> FORMCHECKBOX </w:instrText>
            </w:r>
            <w:r w:rsidRPr="006D3066">
              <w:fldChar w:fldCharType="end"/>
            </w:r>
            <w:r w:rsidRPr="006D3066">
              <w:t xml:space="preserve"> Yes  </w:t>
            </w:r>
            <w:r w:rsidRPr="006D3066">
              <w:fldChar w:fldCharType="begin">
                <w:ffData>
                  <w:name w:val="Check1"/>
                  <w:enabled/>
                  <w:calcOnExit w:val="0"/>
                  <w:checkBox>
                    <w:sizeAuto/>
                    <w:default w:val="0"/>
                  </w:checkBox>
                </w:ffData>
              </w:fldChar>
            </w:r>
            <w:r w:rsidRPr="006D3066">
              <w:instrText xml:space="preserve"> FORMCHECKBOX </w:instrText>
            </w:r>
            <w:r w:rsidRPr="006D3066">
              <w:fldChar w:fldCharType="end"/>
            </w:r>
            <w:r w:rsidRPr="006D3066">
              <w:t xml:space="preserve"> No  </w:t>
            </w:r>
            <w:r w:rsidRPr="006D3066">
              <w:fldChar w:fldCharType="begin">
                <w:ffData>
                  <w:name w:val="Check1"/>
                  <w:enabled/>
                  <w:calcOnExit w:val="0"/>
                  <w:checkBox>
                    <w:sizeAuto/>
                    <w:default w:val="0"/>
                  </w:checkBox>
                </w:ffData>
              </w:fldChar>
            </w:r>
            <w:r w:rsidRPr="006D3066">
              <w:instrText xml:space="preserve"> FORMCHECKBOX </w:instrText>
            </w:r>
            <w:r w:rsidRPr="006D3066">
              <w:fldChar w:fldCharType="end"/>
            </w:r>
            <w:r w:rsidRPr="006D3066">
              <w:t xml:space="preserve"> N/A</w:t>
            </w:r>
          </w:p>
        </w:tc>
      </w:tr>
      <w:tr w:rsidR="006D3066" w:rsidRPr="008A1C05" w:rsidTr="008A1C05">
        <w:tc>
          <w:tcPr>
            <w:tcW w:w="7290" w:type="dxa"/>
          </w:tcPr>
          <w:p w:rsidR="006D3066" w:rsidRPr="00506530" w:rsidRDefault="006D3066" w:rsidP="006D3066">
            <w:pPr>
              <w:pStyle w:val="I-Normalreg"/>
              <w:spacing w:after="0"/>
              <w:ind w:left="882" w:hanging="522"/>
              <w:jc w:val="left"/>
              <w:rPr>
                <w:b/>
                <w:u w:val="single"/>
              </w:rPr>
            </w:pPr>
            <w:r w:rsidRPr="00506530">
              <w:rPr>
                <w:b/>
                <w:u w:val="single"/>
              </w:rPr>
              <w:t>56.4.</w:t>
            </w:r>
            <w:r w:rsidRPr="00506530">
              <w:rPr>
                <w:b/>
              </w:rPr>
              <w:tab/>
            </w:r>
            <w:r w:rsidRPr="00506530">
              <w:rPr>
                <w:b/>
                <w:u w:val="single"/>
              </w:rPr>
              <w:t>The level-indicating means is sufficiently sensitive</w:t>
            </w:r>
            <w:r w:rsidR="00D17B16" w:rsidRPr="00506530">
              <w:rPr>
                <w:b/>
                <w:u w:val="single"/>
              </w:rPr>
              <w:t>:</w:t>
            </w:r>
          </w:p>
          <w:p w:rsidR="00506530" w:rsidRPr="00506530" w:rsidRDefault="00D17B16" w:rsidP="00506530">
            <w:pPr>
              <w:pStyle w:val="I-Normalreg"/>
              <w:numPr>
                <w:ilvl w:val="0"/>
                <w:numId w:val="45"/>
              </w:numPr>
              <w:spacing w:after="0"/>
              <w:ind w:left="1062" w:hanging="180"/>
              <w:jc w:val="left"/>
              <w:rPr>
                <w:b/>
                <w:u w:val="single"/>
              </w:rPr>
            </w:pPr>
            <w:r w:rsidRPr="00506530">
              <w:rPr>
                <w:b/>
                <w:u w:val="single"/>
              </w:rPr>
              <w:t>Except for Scales Designated Accuracy Class I, if the scale is equipped with a level-indicating means, the level indicator</w:t>
            </w:r>
            <w:r w:rsidR="00506530" w:rsidRPr="00506530">
              <w:rPr>
                <w:b/>
                <w:u w:val="single"/>
              </w:rPr>
              <w:t xml:space="preserve"> must be tested to determine whether or not it’s sufficiently sensitive.</w:t>
            </w:r>
          </w:p>
          <w:p w:rsidR="00506530" w:rsidRPr="00506530" w:rsidRDefault="00506530" w:rsidP="00506530">
            <w:pPr>
              <w:pStyle w:val="I-Normalreg"/>
              <w:numPr>
                <w:ilvl w:val="0"/>
                <w:numId w:val="45"/>
              </w:numPr>
              <w:spacing w:after="0"/>
              <w:ind w:left="1062" w:hanging="180"/>
              <w:jc w:val="left"/>
              <w:rPr>
                <w:b/>
                <w:u w:val="single"/>
              </w:rPr>
            </w:pPr>
            <w:r w:rsidRPr="00506530">
              <w:rPr>
                <w:b/>
                <w:u w:val="single"/>
              </w:rPr>
              <w:t>Level Sensitivity Tests (if applicable)</w:t>
            </w:r>
          </w:p>
          <w:p w:rsidR="00D17B16" w:rsidRPr="00506530" w:rsidRDefault="00506530" w:rsidP="00506530">
            <w:pPr>
              <w:pStyle w:val="I-Normalreg"/>
              <w:numPr>
                <w:ilvl w:val="0"/>
                <w:numId w:val="45"/>
              </w:numPr>
              <w:spacing w:after="0"/>
              <w:ind w:left="1062" w:hanging="180"/>
              <w:jc w:val="left"/>
              <w:rPr>
                <w:b/>
                <w:u w:val="single"/>
              </w:rPr>
            </w:pPr>
            <w:r w:rsidRPr="00506530">
              <w:rPr>
                <w:b/>
                <w:u w:val="single"/>
              </w:rPr>
              <w:t>Test Conditions (both analog and digital indicating scales)</w:t>
            </w:r>
          </w:p>
          <w:p w:rsidR="00506530" w:rsidRPr="00506530" w:rsidRDefault="00506530" w:rsidP="00506530">
            <w:pPr>
              <w:pStyle w:val="I-Normalreg"/>
              <w:numPr>
                <w:ilvl w:val="0"/>
                <w:numId w:val="45"/>
              </w:numPr>
              <w:spacing w:after="0"/>
              <w:ind w:left="1242" w:hanging="180"/>
              <w:jc w:val="left"/>
              <w:rPr>
                <w:b/>
                <w:u w:val="single"/>
              </w:rPr>
            </w:pPr>
            <w:r w:rsidRPr="00506530">
              <w:rPr>
                <w:b/>
                <w:u w:val="single"/>
              </w:rPr>
              <w:t>This test is performed at ambient temperature only.</w:t>
            </w:r>
          </w:p>
          <w:p w:rsidR="00506530" w:rsidRPr="00506530" w:rsidRDefault="00506530" w:rsidP="00506530">
            <w:pPr>
              <w:pStyle w:val="I-Normalreg"/>
              <w:numPr>
                <w:ilvl w:val="0"/>
                <w:numId w:val="45"/>
              </w:numPr>
              <w:spacing w:after="0"/>
              <w:ind w:left="1242" w:hanging="180"/>
              <w:jc w:val="left"/>
              <w:rPr>
                <w:b/>
                <w:u w:val="single"/>
              </w:rPr>
            </w:pPr>
            <w:r w:rsidRPr="00506530">
              <w:rPr>
                <w:b/>
                <w:u w:val="single"/>
              </w:rPr>
              <w:t>The device must be leveled using the level indicating means, and adjusted to as close to zero error as possible.</w:t>
            </w:r>
          </w:p>
          <w:p w:rsidR="00506530" w:rsidRPr="00506530" w:rsidRDefault="00506530" w:rsidP="00506530">
            <w:pPr>
              <w:pStyle w:val="I-Normalreg"/>
              <w:spacing w:after="0"/>
              <w:ind w:left="882"/>
              <w:jc w:val="left"/>
              <w:rPr>
                <w:b/>
                <w:u w:val="single"/>
              </w:rPr>
            </w:pPr>
            <w:r w:rsidRPr="00506530">
              <w:rPr>
                <w:b/>
                <w:u w:val="single"/>
              </w:rPr>
              <w:t>Additional Test Conditions Applicable Only to Digital Indicating Scales:</w:t>
            </w:r>
          </w:p>
          <w:p w:rsidR="00506530" w:rsidRPr="00506530" w:rsidRDefault="00506530" w:rsidP="00506530">
            <w:pPr>
              <w:pStyle w:val="I-Normalreg"/>
              <w:numPr>
                <w:ilvl w:val="0"/>
                <w:numId w:val="45"/>
              </w:numPr>
              <w:spacing w:after="0"/>
              <w:ind w:hanging="198"/>
              <w:jc w:val="left"/>
              <w:rPr>
                <w:b/>
                <w:u w:val="single"/>
              </w:rPr>
            </w:pPr>
            <w:r w:rsidRPr="00506530">
              <w:rPr>
                <w:b/>
                <w:u w:val="single"/>
              </w:rPr>
              <w:t>The AZT may be activated. It must be set so that the weight value that can be tracked at once does not exceed 0.5</w:t>
            </w:r>
            <w:r w:rsidR="007A057D">
              <w:rPr>
                <w:b/>
                <w:u w:val="single"/>
              </w:rPr>
              <w:t> </w:t>
            </w:r>
            <w:r w:rsidRPr="00506530">
              <w:rPr>
                <w:b/>
                <w:u w:val="single"/>
              </w:rPr>
              <w:t>e.</w:t>
            </w:r>
          </w:p>
          <w:p w:rsidR="00506530" w:rsidRPr="00506530" w:rsidRDefault="00506530" w:rsidP="00506530">
            <w:pPr>
              <w:pStyle w:val="I-Normalreg"/>
              <w:numPr>
                <w:ilvl w:val="0"/>
                <w:numId w:val="45"/>
              </w:numPr>
              <w:spacing w:after="0"/>
              <w:ind w:hanging="198"/>
              <w:jc w:val="left"/>
              <w:rPr>
                <w:b/>
                <w:u w:val="single"/>
              </w:rPr>
            </w:pPr>
            <w:r w:rsidRPr="00506530">
              <w:rPr>
                <w:b/>
                <w:u w:val="single"/>
              </w:rPr>
              <w:t>If the IZSM range of the device does not exceed 20</w:t>
            </w:r>
            <w:r w:rsidR="007A057D">
              <w:rPr>
                <w:b/>
                <w:u w:val="single"/>
              </w:rPr>
              <w:t> </w:t>
            </w:r>
            <w:r w:rsidRPr="00506530">
              <w:rPr>
                <w:b/>
                <w:u w:val="single"/>
              </w:rPr>
              <w:t>% of Max, the test will be performed with the IZSM set at the maximum of the range.</w:t>
            </w:r>
          </w:p>
          <w:p w:rsidR="00506530" w:rsidRPr="00506530" w:rsidRDefault="00506530" w:rsidP="00506530">
            <w:pPr>
              <w:pStyle w:val="I-Normalreg"/>
              <w:numPr>
                <w:ilvl w:val="0"/>
                <w:numId w:val="45"/>
              </w:numPr>
              <w:spacing w:after="0"/>
              <w:ind w:hanging="198"/>
              <w:jc w:val="left"/>
              <w:rPr>
                <w:b/>
                <w:u w:val="single"/>
              </w:rPr>
            </w:pPr>
            <w:r w:rsidRPr="00506530">
              <w:rPr>
                <w:b/>
                <w:u w:val="single"/>
              </w:rPr>
              <w:t>If the IZSM range exceeds 20</w:t>
            </w:r>
            <w:r w:rsidR="007A057D">
              <w:rPr>
                <w:b/>
                <w:u w:val="single"/>
              </w:rPr>
              <w:t> </w:t>
            </w:r>
            <w:r w:rsidRPr="00506530">
              <w:rPr>
                <w:b/>
                <w:u w:val="single"/>
              </w:rPr>
              <w:t xml:space="preserve">% of Max, the test will be performed twice: </w:t>
            </w:r>
            <w:r w:rsidR="007A057D">
              <w:rPr>
                <w:b/>
                <w:u w:val="single"/>
              </w:rPr>
              <w:t xml:space="preserve"> </w:t>
            </w:r>
            <w:r w:rsidRPr="00506530">
              <w:rPr>
                <w:b/>
                <w:u w:val="single"/>
              </w:rPr>
              <w:t>the first test with the IZSM set to the lowest possible value; the second test with the IZSM set to the maximum of its range.</w:t>
            </w:r>
          </w:p>
          <w:p w:rsidR="00506530" w:rsidRPr="00506530" w:rsidRDefault="00506530" w:rsidP="00506530">
            <w:pPr>
              <w:pStyle w:val="I-Normalreg"/>
              <w:spacing w:after="0"/>
              <w:ind w:left="1080"/>
              <w:jc w:val="left"/>
              <w:rPr>
                <w:b/>
                <w:i/>
                <w:u w:val="single"/>
              </w:rPr>
            </w:pPr>
            <w:r w:rsidRPr="00506530">
              <w:rPr>
                <w:b/>
                <w:i/>
                <w:u w:val="single"/>
              </w:rPr>
              <w:t xml:space="preserve">NOTE: </w:t>
            </w:r>
            <w:r w:rsidR="007A057D">
              <w:rPr>
                <w:b/>
                <w:i/>
                <w:u w:val="single"/>
              </w:rPr>
              <w:t xml:space="preserve"> </w:t>
            </w:r>
            <w:r w:rsidRPr="00506530">
              <w:rPr>
                <w:b/>
                <w:i/>
                <w:u w:val="single"/>
              </w:rPr>
              <w:t>In the case of a multi-range device, it is 20% of Max of the lowest range; in the case of a multi-interval device, it is 20% of max of the first weighing segment.</w:t>
            </w:r>
          </w:p>
          <w:p w:rsidR="00506530" w:rsidRPr="006D3066" w:rsidRDefault="00506530" w:rsidP="007A057D">
            <w:pPr>
              <w:pStyle w:val="I-Normalreg"/>
              <w:numPr>
                <w:ilvl w:val="0"/>
                <w:numId w:val="45"/>
              </w:numPr>
              <w:spacing w:after="0"/>
              <w:ind w:hanging="198"/>
              <w:jc w:val="left"/>
            </w:pPr>
            <w:r w:rsidRPr="00506530">
              <w:rPr>
                <w:b/>
                <w:u w:val="single"/>
              </w:rPr>
              <w:t xml:space="preserve">If the device has an </w:t>
            </w:r>
            <w:r w:rsidR="007A057D">
              <w:rPr>
                <w:b/>
                <w:u w:val="single"/>
              </w:rPr>
              <w:t>“</w:t>
            </w:r>
            <w:r w:rsidRPr="00506530">
              <w:rPr>
                <w:b/>
                <w:u w:val="single"/>
              </w:rPr>
              <w:t>enhance/expanded</w:t>
            </w:r>
            <w:r w:rsidR="007A057D">
              <w:rPr>
                <w:b/>
                <w:u w:val="single"/>
              </w:rPr>
              <w:t>”</w:t>
            </w:r>
            <w:r w:rsidRPr="00506530">
              <w:rPr>
                <w:b/>
                <w:u w:val="single"/>
              </w:rPr>
              <w:t xml:space="preserve"> resolution feature, perform the test with that feature activated; or use the small weight method to determine errors before rounding.</w:t>
            </w:r>
          </w:p>
        </w:tc>
        <w:tc>
          <w:tcPr>
            <w:tcW w:w="2160" w:type="dxa"/>
          </w:tcPr>
          <w:p w:rsidR="006D3066" w:rsidRPr="006D3066" w:rsidRDefault="006D3066" w:rsidP="006D3066">
            <w:pPr>
              <w:pStyle w:val="CheckBoxes"/>
            </w:pPr>
            <w:r w:rsidRPr="006D3066">
              <w:fldChar w:fldCharType="begin">
                <w:ffData>
                  <w:name w:val="Check1"/>
                  <w:enabled/>
                  <w:calcOnExit w:val="0"/>
                  <w:checkBox>
                    <w:sizeAuto/>
                    <w:default w:val="0"/>
                  </w:checkBox>
                </w:ffData>
              </w:fldChar>
            </w:r>
            <w:r w:rsidRPr="006D3066">
              <w:instrText xml:space="preserve"> FORMCHECKBOX </w:instrText>
            </w:r>
            <w:r w:rsidRPr="006D3066">
              <w:fldChar w:fldCharType="end"/>
            </w:r>
            <w:r w:rsidRPr="006D3066">
              <w:t xml:space="preserve"> Yes  </w:t>
            </w:r>
            <w:r w:rsidRPr="006D3066">
              <w:fldChar w:fldCharType="begin">
                <w:ffData>
                  <w:name w:val="Check1"/>
                  <w:enabled/>
                  <w:calcOnExit w:val="0"/>
                  <w:checkBox>
                    <w:sizeAuto/>
                    <w:default w:val="0"/>
                  </w:checkBox>
                </w:ffData>
              </w:fldChar>
            </w:r>
            <w:r w:rsidRPr="006D3066">
              <w:instrText xml:space="preserve"> FORMCHECKBOX </w:instrText>
            </w:r>
            <w:r w:rsidRPr="006D3066">
              <w:fldChar w:fldCharType="end"/>
            </w:r>
            <w:r w:rsidRPr="006D3066">
              <w:t xml:space="preserve"> No  </w:t>
            </w:r>
            <w:r w:rsidRPr="006D3066">
              <w:fldChar w:fldCharType="begin">
                <w:ffData>
                  <w:name w:val="Check1"/>
                  <w:enabled/>
                  <w:calcOnExit w:val="0"/>
                  <w:checkBox>
                    <w:sizeAuto/>
                    <w:default w:val="0"/>
                  </w:checkBox>
                </w:ffData>
              </w:fldChar>
            </w:r>
            <w:r w:rsidRPr="006D3066">
              <w:instrText xml:space="preserve"> FORMCHECKBOX </w:instrText>
            </w:r>
            <w:r w:rsidRPr="006D3066">
              <w:fldChar w:fldCharType="end"/>
            </w:r>
            <w:r w:rsidRPr="006D3066">
              <w:t xml:space="preserve"> N/A</w:t>
            </w:r>
          </w:p>
        </w:tc>
      </w:tr>
      <w:tr w:rsidR="00506530" w:rsidTr="008A1C05">
        <w:tc>
          <w:tcPr>
            <w:tcW w:w="7290" w:type="dxa"/>
          </w:tcPr>
          <w:p w:rsidR="00506530" w:rsidRPr="00506530" w:rsidRDefault="00506530" w:rsidP="007A057D">
            <w:pPr>
              <w:pStyle w:val="I-Normalreg"/>
              <w:spacing w:after="0"/>
              <w:ind w:left="1602" w:hanging="720"/>
              <w:jc w:val="left"/>
              <w:rPr>
                <w:b/>
                <w:u w:val="single"/>
              </w:rPr>
            </w:pPr>
            <w:r w:rsidRPr="00506530">
              <w:rPr>
                <w:b/>
                <w:u w:val="single"/>
              </w:rPr>
              <w:t>56.</w:t>
            </w:r>
            <w:r>
              <w:rPr>
                <w:b/>
                <w:u w:val="single"/>
              </w:rPr>
              <w:t>4</w:t>
            </w:r>
            <w:r w:rsidRPr="00506530">
              <w:rPr>
                <w:b/>
                <w:u w:val="single"/>
              </w:rPr>
              <w:t>.</w:t>
            </w:r>
            <w:r>
              <w:rPr>
                <w:b/>
                <w:u w:val="single"/>
              </w:rPr>
              <w:t>1.</w:t>
            </w:r>
            <w:r w:rsidRPr="00506530">
              <w:rPr>
                <w:b/>
              </w:rPr>
              <w:tab/>
            </w:r>
            <w:r w:rsidRPr="00506530">
              <w:rPr>
                <w:b/>
                <w:u w:val="single"/>
              </w:rPr>
              <w:t xml:space="preserve">Incline the DUT in one direction (arbitrary referred to as </w:t>
            </w:r>
            <w:r w:rsidR="007A057D">
              <w:rPr>
                <w:rFonts w:cs="Times New Roman"/>
                <w:b/>
                <w:u w:val="single"/>
              </w:rPr>
              <w:t>−</w:t>
            </w:r>
            <w:r w:rsidR="007A057D">
              <w:rPr>
                <w:b/>
                <w:u w:val="single"/>
              </w:rPr>
              <w:t> </w:t>
            </w:r>
            <w:r w:rsidRPr="00506530">
              <w:rPr>
                <w:b/>
                <w:u w:val="single"/>
              </w:rPr>
              <w:t>x) up to the point of limit where the level indicating means still indicates a level condition or at least 2/1</w:t>
            </w:r>
            <w:r w:rsidR="007A057D">
              <w:rPr>
                <w:b/>
                <w:u w:val="single"/>
              </w:rPr>
              <w:t> </w:t>
            </w:r>
            <w:r w:rsidRPr="00506530">
              <w:rPr>
                <w:b/>
                <w:u w:val="single"/>
              </w:rPr>
              <w:t>000 (0.12</w:t>
            </w:r>
            <w:r w:rsidR="007A057D">
              <w:rPr>
                <w:b/>
                <w:u w:val="single"/>
              </w:rPr>
              <w:t> </w:t>
            </w:r>
            <w:r w:rsidRPr="00506530">
              <w:rPr>
                <w:b/>
                <w:u w:val="single"/>
              </w:rPr>
              <w:t>degree) whichever is greater.</w:t>
            </w:r>
          </w:p>
        </w:tc>
        <w:tc>
          <w:tcPr>
            <w:tcW w:w="2160" w:type="dxa"/>
          </w:tcPr>
          <w:p w:rsidR="00506530" w:rsidRPr="006D3066" w:rsidRDefault="00506530" w:rsidP="00506530">
            <w:pPr>
              <w:pStyle w:val="CheckBoxes"/>
            </w:pPr>
          </w:p>
        </w:tc>
      </w:tr>
      <w:tr w:rsidR="00506530" w:rsidTr="008A1C05">
        <w:tc>
          <w:tcPr>
            <w:tcW w:w="7290" w:type="dxa"/>
          </w:tcPr>
          <w:p w:rsidR="00506530" w:rsidRPr="00506530" w:rsidRDefault="00506530" w:rsidP="00506530">
            <w:pPr>
              <w:pStyle w:val="I-Normalreg"/>
              <w:spacing w:after="0"/>
              <w:ind w:left="1602" w:hanging="720"/>
              <w:jc w:val="left"/>
              <w:rPr>
                <w:b/>
                <w:u w:val="single"/>
              </w:rPr>
            </w:pPr>
            <w:r w:rsidRPr="00506530">
              <w:rPr>
                <w:b/>
                <w:u w:val="single"/>
              </w:rPr>
              <w:t>56.</w:t>
            </w:r>
            <w:r>
              <w:rPr>
                <w:b/>
                <w:u w:val="single"/>
              </w:rPr>
              <w:t>4</w:t>
            </w:r>
            <w:r w:rsidRPr="00506530">
              <w:rPr>
                <w:b/>
                <w:u w:val="single"/>
              </w:rPr>
              <w:t>.</w:t>
            </w:r>
            <w:r>
              <w:rPr>
                <w:b/>
                <w:u w:val="single"/>
              </w:rPr>
              <w:t>2.</w:t>
            </w:r>
            <w:r w:rsidRPr="00506530">
              <w:rPr>
                <w:b/>
              </w:rPr>
              <w:tab/>
            </w:r>
            <w:r w:rsidRPr="00506530">
              <w:rPr>
                <w:b/>
                <w:u w:val="single"/>
              </w:rPr>
              <w:t>Set the device to zero if necessary; perform an increasing and decreasing load test. If necessary, use the small weight method to find errors before rounding. Record the results.</w:t>
            </w:r>
          </w:p>
        </w:tc>
        <w:tc>
          <w:tcPr>
            <w:tcW w:w="2160" w:type="dxa"/>
          </w:tcPr>
          <w:p w:rsidR="00506530" w:rsidRPr="006D3066" w:rsidRDefault="00506530" w:rsidP="00506530">
            <w:pPr>
              <w:pStyle w:val="CheckBoxes"/>
            </w:pPr>
          </w:p>
        </w:tc>
      </w:tr>
      <w:tr w:rsidR="00506530" w:rsidTr="008A1C05">
        <w:tc>
          <w:tcPr>
            <w:tcW w:w="7290" w:type="dxa"/>
          </w:tcPr>
          <w:p w:rsidR="00506530" w:rsidRPr="006D3066" w:rsidRDefault="00506530" w:rsidP="00506530">
            <w:pPr>
              <w:pStyle w:val="I-Normalreg"/>
              <w:spacing w:after="0"/>
              <w:ind w:left="1602" w:hanging="720"/>
              <w:jc w:val="left"/>
            </w:pPr>
            <w:r w:rsidRPr="00506530">
              <w:rPr>
                <w:b/>
                <w:u w:val="single"/>
              </w:rPr>
              <w:t>56.</w:t>
            </w:r>
            <w:r>
              <w:rPr>
                <w:b/>
                <w:u w:val="single"/>
              </w:rPr>
              <w:t>4</w:t>
            </w:r>
            <w:r w:rsidRPr="00506530">
              <w:rPr>
                <w:b/>
                <w:u w:val="single"/>
              </w:rPr>
              <w:t>.</w:t>
            </w:r>
            <w:r>
              <w:rPr>
                <w:b/>
                <w:u w:val="single"/>
              </w:rPr>
              <w:t>3.</w:t>
            </w:r>
            <w:r w:rsidRPr="00506530">
              <w:rPr>
                <w:b/>
              </w:rPr>
              <w:tab/>
            </w:r>
            <w:r w:rsidRPr="00506530">
              <w:rPr>
                <w:b/>
                <w:u w:val="single"/>
              </w:rPr>
              <w:t>Record the angle with reference to the horizontal.</w:t>
            </w:r>
          </w:p>
        </w:tc>
        <w:tc>
          <w:tcPr>
            <w:tcW w:w="2160" w:type="dxa"/>
          </w:tcPr>
          <w:p w:rsidR="00506530" w:rsidRPr="006D3066" w:rsidRDefault="00506530" w:rsidP="00506530">
            <w:pPr>
              <w:pStyle w:val="CheckBoxes"/>
            </w:pPr>
          </w:p>
        </w:tc>
      </w:tr>
    </w:tbl>
    <w:p w:rsidR="00506530" w:rsidRDefault="00C016B7">
      <w:r>
        <w:rPr>
          <w:noProof/>
        </w:rPr>
        <mc:AlternateContent>
          <mc:Choice Requires="wps">
            <w:drawing>
              <wp:anchor distT="0" distB="0" distL="114300" distR="114300" simplePos="0" relativeHeight="251659264" behindDoc="0" locked="0" layoutInCell="1" allowOverlap="1">
                <wp:simplePos x="0" y="0"/>
                <wp:positionH relativeFrom="column">
                  <wp:posOffset>1031443</wp:posOffset>
                </wp:positionH>
                <wp:positionV relativeFrom="paragraph">
                  <wp:posOffset>130480</wp:posOffset>
                </wp:positionV>
                <wp:extent cx="3511296"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35112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2pt,10.25pt" to="357.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" strokecolor="black [3213]"/>
            </w:pict>
          </mc:Fallback>
        </mc:AlternateContent>
      </w:r>
    </w:p>
    <w:tbl>
      <w:tblPr>
        <w:tblW w:w="9450" w:type="dxa"/>
        <w:tblInd w:w="18" w:type="dxa"/>
        <w:tblLook w:val="04A0" w:firstRow="1" w:lastRow="0" w:firstColumn="1" w:lastColumn="0" w:noHBand="0" w:noVBand="1"/>
      </w:tblPr>
      <w:tblGrid>
        <w:gridCol w:w="7290"/>
        <w:gridCol w:w="2160"/>
      </w:tblGrid>
      <w:tr w:rsidR="00506530" w:rsidTr="008A1C05">
        <w:tc>
          <w:tcPr>
            <w:tcW w:w="7290" w:type="dxa"/>
          </w:tcPr>
          <w:p w:rsidR="00506530" w:rsidRPr="006D3066" w:rsidRDefault="00506530" w:rsidP="007A057D">
            <w:pPr>
              <w:pStyle w:val="I-Normalreg"/>
              <w:spacing w:after="0"/>
              <w:ind w:left="1602" w:hanging="720"/>
              <w:jc w:val="left"/>
            </w:pPr>
            <w:r w:rsidRPr="00506530">
              <w:rPr>
                <w:b/>
                <w:u w:val="single"/>
              </w:rPr>
              <w:t>56.</w:t>
            </w:r>
            <w:r>
              <w:rPr>
                <w:b/>
                <w:u w:val="single"/>
              </w:rPr>
              <w:t>4</w:t>
            </w:r>
            <w:r w:rsidRPr="00506530">
              <w:rPr>
                <w:b/>
                <w:u w:val="single"/>
              </w:rPr>
              <w:t>.</w:t>
            </w:r>
            <w:r>
              <w:rPr>
                <w:b/>
                <w:u w:val="single"/>
              </w:rPr>
              <w:t>4.</w:t>
            </w:r>
            <w:r w:rsidRPr="00506530">
              <w:rPr>
                <w:b/>
              </w:rPr>
              <w:tab/>
            </w:r>
            <w:r w:rsidR="00C016B7" w:rsidRPr="00C016B7">
              <w:rPr>
                <w:b/>
                <w:u w:val="single"/>
              </w:rPr>
              <w:t>Repeat the test described above for the other three inclinations (+</w:t>
            </w:r>
            <w:r w:rsidR="007A057D">
              <w:rPr>
                <w:b/>
                <w:u w:val="single"/>
              </w:rPr>
              <w:t> </w:t>
            </w:r>
            <w:r w:rsidR="00C016B7" w:rsidRPr="00C016B7">
              <w:rPr>
                <w:b/>
                <w:u w:val="single"/>
              </w:rPr>
              <w:t xml:space="preserve">x, </w:t>
            </w:r>
            <w:r w:rsidR="007A057D">
              <w:rPr>
                <w:rFonts w:cs="Times New Roman"/>
                <w:b/>
                <w:u w:val="single"/>
              </w:rPr>
              <w:t>−</w:t>
            </w:r>
            <w:r w:rsidR="007A057D">
              <w:rPr>
                <w:b/>
                <w:u w:val="single"/>
              </w:rPr>
              <w:t> </w:t>
            </w:r>
            <w:r w:rsidR="00C016B7" w:rsidRPr="00C016B7">
              <w:rPr>
                <w:b/>
                <w:u w:val="single"/>
              </w:rPr>
              <w:t>y, +</w:t>
            </w:r>
            <w:r w:rsidR="007A057D">
              <w:rPr>
                <w:b/>
                <w:u w:val="single"/>
              </w:rPr>
              <w:t> </w:t>
            </w:r>
            <w:r w:rsidR="00C016B7" w:rsidRPr="00C016B7">
              <w:rPr>
                <w:b/>
                <w:u w:val="single"/>
              </w:rPr>
              <w:t>y) (See the following illustrations).</w:t>
            </w:r>
          </w:p>
        </w:tc>
        <w:tc>
          <w:tcPr>
            <w:tcW w:w="2160" w:type="dxa"/>
          </w:tcPr>
          <w:p w:rsidR="00506530" w:rsidRPr="006D3066" w:rsidRDefault="00506530" w:rsidP="00506530">
            <w:pPr>
              <w:pStyle w:val="CheckBoxes"/>
            </w:pPr>
          </w:p>
        </w:tc>
      </w:tr>
    </w:tbl>
    <w:p w:rsidR="00C016B7" w:rsidRDefault="00C016B7" w:rsidP="00C016B7">
      <w:pPr>
        <w:spacing w:before="240"/>
        <w:ind w:left="1620"/>
        <w:rPr>
          <w:b/>
          <w:u w:val="single"/>
        </w:rPr>
      </w:pPr>
      <w:r w:rsidRPr="00C016B7">
        <w:rPr>
          <w:b/>
          <w:u w:val="single"/>
        </w:rPr>
        <w:t>Position of the Bubble Indicator:</w:t>
      </w:r>
    </w:p>
    <w:p w:rsidR="00600D06" w:rsidRPr="00600D06" w:rsidRDefault="00600D06" w:rsidP="00C016B7">
      <w:pPr>
        <w:spacing w:before="240"/>
        <w:ind w:left="1620"/>
      </w:pPr>
      <w:r w:rsidRPr="00600D06">
        <w:rPr>
          <w:noProof/>
        </w:rPr>
        <w:drawing>
          <wp:inline distT="0" distB="0" distL="0" distR="0" wp14:anchorId="0C034D22" wp14:editId="75B2DA1B">
            <wp:extent cx="914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_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600D06">
        <w:rPr>
          <w:noProof/>
        </w:rPr>
        <w:drawing>
          <wp:inline distT="0" distB="0" distL="0" distR="0" wp14:anchorId="696625F5" wp14:editId="0ECB146E">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Pr>
          <w:noProof/>
        </w:rPr>
        <w:drawing>
          <wp:inline distT="0" distB="0" distL="0" distR="0" wp14:anchorId="1FDB6D12" wp14:editId="3FF40C5A">
            <wp:extent cx="9144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_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Pr>
          <w:noProof/>
        </w:rPr>
        <w:drawing>
          <wp:inline distT="0" distB="0" distL="0" distR="0" wp14:anchorId="108AB71C" wp14:editId="349F5B8E">
            <wp:extent cx="9144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_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bl>
      <w:tblPr>
        <w:tblW w:w="9450" w:type="dxa"/>
        <w:tblInd w:w="18" w:type="dxa"/>
        <w:tblLook w:val="04A0" w:firstRow="1" w:lastRow="0" w:firstColumn="1" w:lastColumn="0" w:noHBand="0" w:noVBand="1"/>
      </w:tblPr>
      <w:tblGrid>
        <w:gridCol w:w="7290"/>
        <w:gridCol w:w="2160"/>
      </w:tblGrid>
      <w:tr w:rsidR="00506530" w:rsidTr="008A1C05">
        <w:tc>
          <w:tcPr>
            <w:tcW w:w="7290" w:type="dxa"/>
          </w:tcPr>
          <w:p w:rsidR="00506530" w:rsidRPr="006D3066" w:rsidRDefault="00506530" w:rsidP="008A1C05">
            <w:pPr>
              <w:pStyle w:val="I-Normalreg"/>
              <w:spacing w:after="0"/>
              <w:ind w:left="882" w:hanging="522"/>
              <w:jc w:val="left"/>
            </w:pPr>
            <w:r w:rsidRPr="006D3066">
              <w:lastRenderedPageBreak/>
              <w:t>56.</w:t>
            </w:r>
            <w:r w:rsidRPr="006D3066">
              <w:rPr>
                <w:rFonts w:ascii="Times New Roman Bold" w:hAnsi="Times New Roman Bold"/>
                <w:b/>
                <w:dstrike/>
              </w:rPr>
              <w:t>4</w:t>
            </w:r>
            <w:r w:rsidRPr="006D3066">
              <w:rPr>
                <w:b/>
                <w:u w:val="single"/>
              </w:rPr>
              <w:t>5</w:t>
            </w:r>
            <w:r w:rsidRPr="006D3066">
              <w:t>.</w:t>
            </w:r>
            <w:r w:rsidRPr="006D3066">
              <w:tab/>
              <w:t>Wheel-load weighing and axle-load scales must weigh accurately when placed out-of-level by 5</w:t>
            </w:r>
            <w:r w:rsidR="007A057D">
              <w:t> </w:t>
            </w:r>
            <w:r w:rsidRPr="006D3066">
              <w:t>%.*</w:t>
            </w:r>
          </w:p>
        </w:tc>
        <w:tc>
          <w:tcPr>
            <w:tcW w:w="2160" w:type="dxa"/>
          </w:tcPr>
          <w:p w:rsidR="00506530" w:rsidRPr="006D3066" w:rsidRDefault="00506530" w:rsidP="008A1C05">
            <w:pPr>
              <w:pStyle w:val="CheckBoxes"/>
            </w:pPr>
            <w:r w:rsidRPr="006D3066">
              <w:fldChar w:fldCharType="begin">
                <w:ffData>
                  <w:name w:val="Check1"/>
                  <w:enabled/>
                  <w:calcOnExit w:val="0"/>
                  <w:checkBox>
                    <w:sizeAuto/>
                    <w:default w:val="0"/>
                  </w:checkBox>
                </w:ffData>
              </w:fldChar>
            </w:r>
            <w:r w:rsidRPr="006D3066">
              <w:instrText xml:space="preserve"> FORMCHECKBOX </w:instrText>
            </w:r>
            <w:r w:rsidRPr="006D3066">
              <w:fldChar w:fldCharType="end"/>
            </w:r>
            <w:r w:rsidRPr="006D3066">
              <w:t xml:space="preserve"> Yes  </w:t>
            </w:r>
            <w:r w:rsidRPr="006D3066">
              <w:fldChar w:fldCharType="begin">
                <w:ffData>
                  <w:name w:val="Check1"/>
                  <w:enabled/>
                  <w:calcOnExit w:val="0"/>
                  <w:checkBox>
                    <w:sizeAuto/>
                    <w:default w:val="0"/>
                  </w:checkBox>
                </w:ffData>
              </w:fldChar>
            </w:r>
            <w:r w:rsidRPr="006D3066">
              <w:instrText xml:space="preserve"> FORMCHECKBOX </w:instrText>
            </w:r>
            <w:r w:rsidRPr="006D3066">
              <w:fldChar w:fldCharType="end"/>
            </w:r>
            <w:r w:rsidRPr="006D3066">
              <w:t xml:space="preserve"> No  </w:t>
            </w:r>
            <w:r w:rsidRPr="006D3066">
              <w:fldChar w:fldCharType="begin">
                <w:ffData>
                  <w:name w:val="Check1"/>
                  <w:enabled/>
                  <w:calcOnExit w:val="0"/>
                  <w:checkBox>
                    <w:sizeAuto/>
                    <w:default w:val="0"/>
                  </w:checkBox>
                </w:ffData>
              </w:fldChar>
            </w:r>
            <w:r w:rsidRPr="006D3066">
              <w:instrText xml:space="preserve"> FORMCHECKBOX </w:instrText>
            </w:r>
            <w:r w:rsidRPr="006D3066">
              <w:fldChar w:fldCharType="end"/>
            </w:r>
            <w:r w:rsidRPr="006D3066">
              <w:t xml:space="preserve"> N/A</w:t>
            </w:r>
          </w:p>
        </w:tc>
      </w:tr>
    </w:tbl>
    <w:p w:rsidR="00C16EC7" w:rsidRDefault="00C16EC7" w:rsidP="00FC3603">
      <w:pPr>
        <w:pStyle w:val="ItemHeading"/>
      </w:pPr>
      <w:bookmarkStart w:id="39" w:name="_Toc310427966"/>
      <w:bookmarkStart w:id="40" w:name="_Toc311539248"/>
      <w:bookmarkStart w:id="41" w:name="DESSection31"/>
      <w:r>
        <w:t>DES Section 31</w:t>
      </w:r>
      <w:r w:rsidR="004116F6">
        <w:t xml:space="preserve">. </w:t>
      </w:r>
      <w:r>
        <w:t>Multi-Interval Scales</w:t>
      </w:r>
      <w:bookmarkEnd w:id="39"/>
      <w:bookmarkEnd w:id="40"/>
    </w:p>
    <w:bookmarkEnd w:id="41"/>
    <w:p w:rsidR="00FC164A" w:rsidRDefault="00C16EC7" w:rsidP="00FC164A">
      <w:pPr>
        <w:pStyle w:val="BoldHeading"/>
      </w:pPr>
      <w:r>
        <w:t>Source:</w:t>
      </w:r>
      <w:r>
        <w:tab/>
      </w:r>
    </w:p>
    <w:p w:rsidR="00C16EC7" w:rsidRDefault="00FC164A" w:rsidP="00C16EC7">
      <w:r>
        <w:t xml:space="preserve">Mr. </w:t>
      </w:r>
      <w:r w:rsidR="00C16EC7">
        <w:t>Davidson,</w:t>
      </w:r>
      <w:r>
        <w:t xml:space="preserve"> </w:t>
      </w:r>
      <w:r w:rsidR="00C16EC7">
        <w:t>Mettler-Toledo Inc.</w:t>
      </w:r>
    </w:p>
    <w:p w:rsidR="00FC164A" w:rsidRDefault="00C16EC7" w:rsidP="00FC164A">
      <w:pPr>
        <w:pStyle w:val="BoldHeading"/>
      </w:pPr>
      <w:r>
        <w:t>Background</w:t>
      </w:r>
      <w:r w:rsidR="00FC164A">
        <w:t>/</w:t>
      </w:r>
      <w:r w:rsidR="007E32E8">
        <w:t>Discussion</w:t>
      </w:r>
      <w:r>
        <w:t xml:space="preserve">:  </w:t>
      </w:r>
    </w:p>
    <w:p w:rsidR="00C16EC7" w:rsidRDefault="00FC164A" w:rsidP="00C16EC7">
      <w:r>
        <w:t xml:space="preserve">Mr. Davidson, </w:t>
      </w:r>
      <w:r w:rsidR="00C16EC7">
        <w:t>Mettler-Toledo</w:t>
      </w:r>
      <w:r>
        <w:t>, Inc.,</w:t>
      </w:r>
      <w:r w:rsidR="00C16EC7">
        <w:t xml:space="preserve"> discovered a discrepancy in DES Section 31 relative to the maximum permissible tare value that can be taken on a multi-interval scale.  There are two</w:t>
      </w:r>
      <w:r>
        <w:t xml:space="preserve"> </w:t>
      </w:r>
      <w:r w:rsidR="00C16EC7">
        <w:t>requirements in this section that seem to contradict each other in regards to the maximum allowed t</w:t>
      </w:r>
      <w:r>
        <w:t xml:space="preserve">are value.  Those requirements </w:t>
      </w:r>
      <w:r w:rsidR="00C16EC7">
        <w:t>are as follows:</w:t>
      </w:r>
    </w:p>
    <w:p w:rsidR="00C16EC7" w:rsidRDefault="00C16EC7" w:rsidP="006D3066">
      <w:pPr>
        <w:pStyle w:val="bulletedlist"/>
      </w:pPr>
      <w:r>
        <w:t>All tares must be taken in the minimum increment.</w:t>
      </w:r>
      <w:r w:rsidR="00FC164A">
        <w:t xml:space="preserve"> </w:t>
      </w:r>
      <w:r>
        <w:t xml:space="preserve"> Therefore, the maximum tare allowed is the maximum capacity of the smallest weighing segment.</w:t>
      </w:r>
    </w:p>
    <w:p w:rsidR="00C16EC7" w:rsidRDefault="00C16EC7" w:rsidP="006D3066">
      <w:pPr>
        <w:pStyle w:val="bulletedlist"/>
      </w:pPr>
      <w:r>
        <w:t>For multi-interval instruments, all tares, except for semi-automatic tare, must be taken in the minimum increment.  Therefore, the maximum tare allowed is the maximum capacity of the smallest weighing range.</w:t>
      </w:r>
    </w:p>
    <w:p w:rsidR="00421BBC" w:rsidRPr="00FC164A" w:rsidRDefault="00FC164A" w:rsidP="00096F1D">
      <w:r>
        <w:t xml:space="preserve">Mr. Davidson </w:t>
      </w:r>
      <w:r w:rsidR="00C16EC7">
        <w:t>noted that the intent of the requirements</w:t>
      </w:r>
      <w:r w:rsidR="00421BBC">
        <w:t xml:space="preserve"> </w:t>
      </w:r>
      <w:r w:rsidR="00C16EC7">
        <w:t xml:space="preserve">is to limit the tare value of all tare types except semi-automatic tare (i.e., push-button tare) to the maximum capacity of the first weighing segment of the device.  Thus, to correct the discrepancy, </w:t>
      </w:r>
      <w:r w:rsidR="004116F6">
        <w:t>the following changes were suggested:</w:t>
      </w:r>
    </w:p>
    <w:p w:rsidR="00421BBC" w:rsidRPr="00096F1D" w:rsidRDefault="00421BBC" w:rsidP="00096F1D">
      <w:pPr>
        <w:pStyle w:val="bulletedlist"/>
        <w:rPr>
          <w:b/>
          <w:strike/>
        </w:rPr>
      </w:pPr>
      <w:r w:rsidRPr="00096F1D">
        <w:rPr>
          <w:b/>
          <w:strike/>
        </w:rPr>
        <w:t>All tares must be taken in the minimum increment.  Therefore, the maximum tare allowed is the maximum capacity of the smallest weighing segment.</w:t>
      </w:r>
    </w:p>
    <w:p w:rsidR="00421BBC" w:rsidRPr="00096F1D" w:rsidRDefault="00421BBC" w:rsidP="00096F1D">
      <w:pPr>
        <w:pStyle w:val="bulletedlist"/>
        <w:rPr>
          <w:b/>
        </w:rPr>
      </w:pPr>
      <w:r w:rsidRPr="00096F1D">
        <w:rPr>
          <w:b/>
          <w:strike/>
        </w:rPr>
        <w:t>For multi-interval instruments, all tares, except for semi-automatic tare, must be</w:t>
      </w:r>
      <w:r w:rsidR="00096F1D">
        <w:rPr>
          <w:b/>
          <w:strike/>
        </w:rPr>
        <w:t xml:space="preserve"> taken in the minimum increment.  </w:t>
      </w:r>
      <w:r w:rsidRPr="00096F1D">
        <w:rPr>
          <w:b/>
          <w:strike/>
        </w:rPr>
        <w:t xml:space="preserve">Therefore, the maximum </w:t>
      </w:r>
      <w:r w:rsidRPr="00C83B0B">
        <w:rPr>
          <w:b/>
          <w:strike/>
          <w:u w:color="82C42A"/>
        </w:rPr>
        <w:t>tare</w:t>
      </w:r>
      <w:r w:rsidRPr="00C83B0B">
        <w:rPr>
          <w:b/>
          <w:strike/>
        </w:rPr>
        <w:t xml:space="preserve"> </w:t>
      </w:r>
      <w:r w:rsidRPr="00096F1D">
        <w:rPr>
          <w:b/>
          <w:strike/>
        </w:rPr>
        <w:t>allowed is the maximum capacity</w:t>
      </w:r>
      <w:r w:rsidR="00096F1D">
        <w:rPr>
          <w:b/>
          <w:strike/>
        </w:rPr>
        <w:t xml:space="preserve"> of the smallest weighing range.</w:t>
      </w:r>
      <w:r w:rsidR="00096F1D">
        <w:rPr>
          <w:b/>
        </w:rPr>
        <w:t xml:space="preserve">  </w:t>
      </w:r>
      <w:r w:rsidR="00096F1D" w:rsidRPr="00096F1D">
        <w:rPr>
          <w:b/>
          <w:u w:val="single"/>
        </w:rPr>
        <w:t>Except for semi-automatic tare, all tare values shall not exceed the maximum capacity of the first weighing segment (i.e., Max1).</w:t>
      </w:r>
      <w:r w:rsidR="00096F1D" w:rsidRPr="00096F1D">
        <w:rPr>
          <w:b/>
        </w:rPr>
        <w:t xml:space="preserve">  </w:t>
      </w:r>
    </w:p>
    <w:p w:rsidR="00C16EC7" w:rsidRDefault="00C16EC7" w:rsidP="00C16EC7">
      <w:r>
        <w:t xml:space="preserve">This proposed change would harmonize the NTEP requirement with that of </w:t>
      </w:r>
      <w:r w:rsidR="00421BBC" w:rsidRPr="00C83B0B">
        <w:rPr>
          <w:u w:color="82C42A"/>
        </w:rPr>
        <w:t>International Organization</w:t>
      </w:r>
      <w:r w:rsidR="00421BBC" w:rsidRPr="00C83B0B">
        <w:t xml:space="preserve"> </w:t>
      </w:r>
      <w:r w:rsidR="00421BBC">
        <w:t>of Legal Metrology (</w:t>
      </w:r>
      <w:r>
        <w:t>OIML</w:t>
      </w:r>
      <w:r w:rsidR="00421BBC">
        <w:t>) Recommendation</w:t>
      </w:r>
      <w:r>
        <w:t xml:space="preserve"> </w:t>
      </w:r>
      <w:r w:rsidR="00421BBC">
        <w:t>(</w:t>
      </w:r>
      <w:r>
        <w:t>R</w:t>
      </w:r>
      <w:r w:rsidR="00421BBC">
        <w:t>)</w:t>
      </w:r>
      <w:r w:rsidR="007A057D">
        <w:t> </w:t>
      </w:r>
      <w:r>
        <w:t xml:space="preserve">76 and </w:t>
      </w:r>
      <w:r w:rsidR="00421BBC">
        <w:t xml:space="preserve">MC.  </w:t>
      </w:r>
      <w:r>
        <w:t>The following pertinent clauses were copied fro</w:t>
      </w:r>
      <w:r w:rsidR="00421BBC">
        <w:t>m those documentary standards:</w:t>
      </w:r>
    </w:p>
    <w:p w:rsidR="00421BBC" w:rsidRPr="00421BBC" w:rsidRDefault="00421BBC" w:rsidP="00421BBC">
      <w:pPr>
        <w:pStyle w:val="I-Normalreg"/>
        <w:spacing w:after="0"/>
        <w:rPr>
          <w:b/>
        </w:rPr>
      </w:pPr>
      <w:r w:rsidRPr="00421BBC">
        <w:rPr>
          <w:b/>
        </w:rPr>
        <w:t>OIML R</w:t>
      </w:r>
      <w:r w:rsidR="007A057D">
        <w:rPr>
          <w:b/>
        </w:rPr>
        <w:t> </w:t>
      </w:r>
      <w:r w:rsidRPr="00421BBC">
        <w:rPr>
          <w:b/>
        </w:rPr>
        <w:t>76-1 Edition 2006 Section 4.7.1:</w:t>
      </w:r>
    </w:p>
    <w:p w:rsidR="00421BBC" w:rsidRDefault="00421BBC" w:rsidP="00421BBC">
      <w:pPr>
        <w:pStyle w:val="I-Normalreg"/>
      </w:pPr>
      <w:r>
        <w:t xml:space="preserve">“For a multi-interval instrument, the preset tare value shall be rounded to the smallest verification scale interval, e1, of the instrument, and the maximum preset tare value shall not be greater than Max1." </w:t>
      </w:r>
    </w:p>
    <w:p w:rsidR="00421BBC" w:rsidRPr="00421BBC" w:rsidRDefault="00421BBC" w:rsidP="00421BBC">
      <w:pPr>
        <w:pStyle w:val="I-Normalreg"/>
        <w:spacing w:after="0"/>
        <w:rPr>
          <w:b/>
        </w:rPr>
      </w:pPr>
      <w:r w:rsidRPr="00421BBC">
        <w:rPr>
          <w:b/>
        </w:rPr>
        <w:t>Measurement Canada Laboratory Manual Section 22.1.5:</w:t>
      </w:r>
    </w:p>
    <w:p w:rsidR="00421BBC" w:rsidRDefault="00421BBC" w:rsidP="00421BBC">
      <w:pPr>
        <w:pStyle w:val="I-Normalreg"/>
      </w:pPr>
      <w:r>
        <w:t xml:space="preserve">"The maximum tare value that may be entered shall not exceed Max1." </w:t>
      </w:r>
      <w:r w:rsidR="007A057D">
        <w:t xml:space="preserve"> </w:t>
      </w:r>
      <w:r>
        <w:t xml:space="preserve">(Our understanding of the use of the word "entered" in their sentence is describing the </w:t>
      </w:r>
      <w:r w:rsidR="007E32E8" w:rsidRPr="00C83B0B">
        <w:rPr>
          <w:u w:color="82C42A"/>
        </w:rPr>
        <w:t>entry</w:t>
      </w:r>
      <w:r w:rsidRPr="00C83B0B">
        <w:t xml:space="preserve"> </w:t>
      </w:r>
      <w:r>
        <w:t>of a numeric value which would not exceed Max1 and all other tares could be taken to the maximum capacity of the device.)</w:t>
      </w:r>
    </w:p>
    <w:p w:rsidR="00421BBC" w:rsidRDefault="00421BBC" w:rsidP="00421BBC">
      <w:pPr>
        <w:pStyle w:val="BoldHeading"/>
      </w:pPr>
      <w:r>
        <w:t>Conclusion:</w:t>
      </w:r>
    </w:p>
    <w:p w:rsidR="00421BBC" w:rsidRDefault="00421BBC" w:rsidP="00421BBC">
      <w:r>
        <w:t xml:space="preserve">The NTETC Weighing Sector reviewed </w:t>
      </w:r>
      <w:r w:rsidRPr="007A057D">
        <w:t>NCWM Publication 14</w:t>
      </w:r>
      <w:r>
        <w:t xml:space="preserve"> DES Section 31 and agreed that the referenced requirements thought to be in conflict by the submitter did in fact contradict one another.  Mr. Burtini, MC, pointed out, in deference to the submitter’s understanding of MC requirements, that MC’s type evaluation criteria would not permit a tare entry greater than the capacity of the first weighing segment (Max1) even if that tare were a semi-automatic tare.  Considering this difference in </w:t>
      </w:r>
      <w:r w:rsidRPr="00C83B0B">
        <w:rPr>
          <w:u w:color="82C42A"/>
        </w:rPr>
        <w:t>U.S.</w:t>
      </w:r>
      <w:r w:rsidRPr="00C83B0B">
        <w:t xml:space="preserve"> </w:t>
      </w:r>
      <w:r>
        <w:t xml:space="preserve">versus MC type evaluation criteria relating to the taking of </w:t>
      </w:r>
      <w:r w:rsidRPr="00C83B0B">
        <w:rPr>
          <w:u w:color="82C42A"/>
        </w:rPr>
        <w:t>tare</w:t>
      </w:r>
      <w:r w:rsidRPr="00C83B0B">
        <w:t xml:space="preserve"> </w:t>
      </w:r>
      <w:r>
        <w:t>on a multi-interval scale, it was noted that a scale passing MC’s test criteria would also pass U.S. criteria, but the opposite wou</w:t>
      </w:r>
      <w:r w:rsidR="00096F1D">
        <w:t xml:space="preserve">ld not necessarily hold true.  </w:t>
      </w:r>
      <w:r w:rsidRPr="007A057D">
        <w:t xml:space="preserve">The </w:t>
      </w:r>
      <w:r w:rsidR="007A057D" w:rsidRPr="007A057D">
        <w:t>S</w:t>
      </w:r>
      <w:r w:rsidRPr="007A057D">
        <w:t>ector</w:t>
      </w:r>
      <w:r>
        <w:t xml:space="preserve"> agreed to recommend</w:t>
      </w:r>
      <w:r w:rsidR="004116F6">
        <w:t xml:space="preserve"> the following changes</w:t>
      </w:r>
      <w:r>
        <w:t>:</w:t>
      </w:r>
    </w:p>
    <w:p w:rsidR="004116F6" w:rsidRDefault="004116F6" w:rsidP="004116F6">
      <w:r w:rsidRPr="007A057D">
        <w:t>NCWM Publication 14:</w:t>
      </w:r>
      <w:r w:rsidR="007A057D">
        <w:t xml:space="preserve"> </w:t>
      </w:r>
      <w:r>
        <w:t xml:space="preserve"> DES Section 31.</w:t>
      </w:r>
    </w:p>
    <w:p w:rsidR="004116F6" w:rsidRDefault="004116F6" w:rsidP="003361CE">
      <w:pPr>
        <w:pStyle w:val="I-LetterAreg"/>
        <w:ind w:left="360" w:firstLine="0"/>
      </w:pPr>
      <w:r>
        <w:lastRenderedPageBreak/>
        <w:t>The scale indication for a 10-</w:t>
      </w:r>
      <w:r w:rsidR="007A057D">
        <w:t>pound</w:t>
      </w:r>
      <w:r>
        <w:t xml:space="preserve"> load must be 10.00 </w:t>
      </w:r>
      <w:r w:rsidRPr="00C83B0B">
        <w:rPr>
          <w:u w:color="82C42A"/>
        </w:rPr>
        <w:t>lb</w:t>
      </w:r>
      <w:r w:rsidRPr="00C83B0B">
        <w:t>,</w:t>
      </w:r>
      <w:r>
        <w:t xml:space="preserve"> not 10.000 </w:t>
      </w:r>
      <w:r w:rsidRPr="00C83B0B">
        <w:rPr>
          <w:u w:color="82C42A"/>
        </w:rPr>
        <w:t>lb</w:t>
      </w:r>
      <w:r w:rsidRPr="00C83B0B">
        <w:t>:</w:t>
      </w:r>
      <w:r>
        <w:t xml:space="preserve"> once the scale has exceeded an internal weight indication of 9.99975 </w:t>
      </w:r>
      <w:r w:rsidRPr="00C83B0B">
        <w:rPr>
          <w:u w:color="82C42A"/>
        </w:rPr>
        <w:t>lb</w:t>
      </w:r>
      <w:r w:rsidRPr="00C83B0B">
        <w:t>,</w:t>
      </w:r>
      <w:r>
        <w:t xml:space="preserve"> it must round to the next higher weight indication. </w:t>
      </w:r>
      <w:r w:rsidR="007A057D">
        <w:t xml:space="preserve"> </w:t>
      </w:r>
      <w:r>
        <w:t>If 10.000</w:t>
      </w:r>
      <w:r w:rsidR="007A057D">
        <w:t> </w:t>
      </w:r>
      <w:r w:rsidRPr="00C83B0B">
        <w:rPr>
          <w:u w:color="82C42A"/>
        </w:rPr>
        <w:t>lb</w:t>
      </w:r>
      <w:r w:rsidRPr="00C83B0B">
        <w:t xml:space="preserve"> </w:t>
      </w:r>
      <w:r>
        <w:t>were to be indicated, a load perceived internally as 10.003</w:t>
      </w:r>
      <w:r w:rsidR="007A057D">
        <w:t> </w:t>
      </w:r>
      <w:r w:rsidRPr="00C83B0B">
        <w:rPr>
          <w:u w:color="82C42A"/>
        </w:rPr>
        <w:t>lb</w:t>
      </w:r>
      <w:r w:rsidRPr="00C83B0B">
        <w:t xml:space="preserve"> </w:t>
      </w:r>
      <w:r>
        <w:t>would result in the scale indicating in some manner that it is no longer sensing 10.000</w:t>
      </w:r>
      <w:r w:rsidR="007A057D">
        <w:t> </w:t>
      </w:r>
      <w:r w:rsidRPr="00C83B0B">
        <w:rPr>
          <w:u w:color="82C42A"/>
        </w:rPr>
        <w:t>lb</w:t>
      </w:r>
      <w:r w:rsidR="007A057D" w:rsidRPr="00C83B0B">
        <w:t> </w:t>
      </w:r>
      <w:r w:rsidR="00473C43">
        <w:rPr>
          <w:rFonts w:cs="Times New Roman"/>
        </w:rPr>
        <w:t>±</w:t>
      </w:r>
      <w:r w:rsidR="007A057D">
        <w:t> </w:t>
      </w:r>
      <w:r>
        <w:t>0.0025</w:t>
      </w:r>
      <w:r w:rsidR="007A057D">
        <w:t> </w:t>
      </w:r>
      <w:r w:rsidRPr="00C83B0B">
        <w:rPr>
          <w:u w:color="82C42A"/>
        </w:rPr>
        <w:t>lb</w:t>
      </w:r>
      <w:r w:rsidRPr="00C83B0B">
        <w:t>,</w:t>
      </w:r>
      <w:r>
        <w:t xml:space="preserve"> hence would then indicate 10.00</w:t>
      </w:r>
      <w:r w:rsidR="007A057D">
        <w:t> </w:t>
      </w:r>
      <w:r w:rsidRPr="00C83B0B">
        <w:rPr>
          <w:u w:color="82C42A"/>
        </w:rPr>
        <w:t>lb</w:t>
      </w:r>
      <w:r w:rsidRPr="00C83B0B">
        <w:t>.</w:t>
      </w:r>
      <w:r>
        <w:t xml:space="preserve"> </w:t>
      </w:r>
      <w:r w:rsidR="007A057D">
        <w:t xml:space="preserve"> </w:t>
      </w:r>
      <w:r>
        <w:t>This round-off problem is avoided by causing the scale to indicate 10.00 when sensing a load in excess of 9.9975</w:t>
      </w:r>
      <w:r w:rsidR="007A057D">
        <w:t> </w:t>
      </w:r>
      <w:r w:rsidRPr="00C83B0B">
        <w:rPr>
          <w:u w:color="82C42A"/>
        </w:rPr>
        <w:t>lb</w:t>
      </w:r>
      <w:r w:rsidRPr="00C83B0B">
        <w:t xml:space="preserve"> </w:t>
      </w:r>
      <w:r>
        <w:t>(based upon its internal resolution)</w:t>
      </w:r>
      <w:r w:rsidR="007A057D">
        <w:t>.</w:t>
      </w:r>
      <w:r>
        <w:t xml:space="preserve"> </w:t>
      </w:r>
      <w:r w:rsidR="007A057D">
        <w:t xml:space="preserve"> </w:t>
      </w:r>
      <w:r>
        <w:t>The scale will continue to indicate 10.00</w:t>
      </w:r>
      <w:r w:rsidR="007A057D">
        <w:t> </w:t>
      </w:r>
      <w:r w:rsidRPr="00C83B0B">
        <w:rPr>
          <w:u w:color="82C42A"/>
        </w:rPr>
        <w:t>lb</w:t>
      </w:r>
      <w:r w:rsidRPr="00C83B0B">
        <w:t xml:space="preserve"> </w:t>
      </w:r>
      <w:r>
        <w:t>until its internal resolution senses a load in excess of 10.005</w:t>
      </w:r>
      <w:r w:rsidR="007A057D">
        <w:t> </w:t>
      </w:r>
      <w:r w:rsidRPr="00C83B0B">
        <w:rPr>
          <w:u w:color="82C42A"/>
        </w:rPr>
        <w:t>lb</w:t>
      </w:r>
      <w:r w:rsidRPr="00C83B0B">
        <w:t>,</w:t>
      </w:r>
      <w:r>
        <w:t xml:space="preserve"> whereupon the weight display will update to 10.01</w:t>
      </w:r>
      <w:r w:rsidR="007A057D">
        <w:t> </w:t>
      </w:r>
      <w:r w:rsidRPr="00C83B0B">
        <w:rPr>
          <w:u w:color="82C42A"/>
        </w:rPr>
        <w:t>lb</w:t>
      </w:r>
      <w:r w:rsidRPr="00C83B0B">
        <w:t>.</w:t>
      </w:r>
    </w:p>
    <w:p w:rsidR="004116F6" w:rsidRDefault="004116F6" w:rsidP="004116F6">
      <w:pPr>
        <w:pStyle w:val="I-LetterAreg"/>
      </w:pPr>
      <w:r>
        <w:t xml:space="preserve">There are several considerations regarding the proper operation of </w:t>
      </w:r>
      <w:r w:rsidRPr="00C83B0B">
        <w:rPr>
          <w:u w:color="82C42A"/>
        </w:rPr>
        <w:t>tare</w:t>
      </w:r>
      <w:r w:rsidRPr="00C83B0B">
        <w:t xml:space="preserve"> </w:t>
      </w:r>
      <w:r>
        <w:t>on multi-interval scales.</w:t>
      </w:r>
    </w:p>
    <w:p w:rsidR="003361CE" w:rsidRPr="003361CE" w:rsidRDefault="003361CE" w:rsidP="003361CE">
      <w:pPr>
        <w:pStyle w:val="bulletedlist"/>
        <w:rPr>
          <w:b/>
          <w:strike/>
        </w:rPr>
      </w:pPr>
      <w:r w:rsidRPr="003361CE">
        <w:rPr>
          <w:b/>
          <w:strike/>
        </w:rPr>
        <w:t xml:space="preserve">All </w:t>
      </w:r>
      <w:r w:rsidRPr="00C83B0B">
        <w:rPr>
          <w:b/>
          <w:strike/>
          <w:u w:color="82C42A"/>
        </w:rPr>
        <w:t>tares</w:t>
      </w:r>
      <w:r w:rsidRPr="00C83B0B">
        <w:rPr>
          <w:b/>
          <w:strike/>
        </w:rPr>
        <w:t xml:space="preserve"> </w:t>
      </w:r>
      <w:r w:rsidRPr="003361CE">
        <w:rPr>
          <w:b/>
          <w:strike/>
        </w:rPr>
        <w:t xml:space="preserve">must be taken in the minimum increment. Therefore, the maximum </w:t>
      </w:r>
      <w:r w:rsidRPr="00C83B0B">
        <w:rPr>
          <w:b/>
          <w:strike/>
          <w:u w:color="82C42A"/>
        </w:rPr>
        <w:t>tare</w:t>
      </w:r>
      <w:r w:rsidRPr="00C83B0B">
        <w:rPr>
          <w:b/>
          <w:strike/>
        </w:rPr>
        <w:t xml:space="preserve"> </w:t>
      </w:r>
      <w:r w:rsidRPr="003361CE">
        <w:rPr>
          <w:b/>
          <w:strike/>
        </w:rPr>
        <w:t>allowed is the maximum capacity of the smallest weighing segment.</w:t>
      </w:r>
    </w:p>
    <w:p w:rsidR="003361CE" w:rsidRPr="003361CE" w:rsidRDefault="003361CE" w:rsidP="003361CE">
      <w:pPr>
        <w:pStyle w:val="bulletedlist"/>
        <w:rPr>
          <w:b/>
          <w:u w:val="single"/>
        </w:rPr>
      </w:pPr>
      <w:r w:rsidRPr="003361CE">
        <w:rPr>
          <w:b/>
          <w:u w:val="single"/>
        </w:rPr>
        <w:t>Except for semi-automatic tare, all tare values shall not exceed the maximum capacity of the first weighing segment (WS1).</w:t>
      </w:r>
    </w:p>
    <w:p w:rsidR="003361CE" w:rsidRDefault="003361CE" w:rsidP="003361CE">
      <w:pPr>
        <w:pStyle w:val="bulletedlist"/>
      </w:pPr>
      <w:r>
        <w:t>Whenever gross and tare weights fall in different weighing segments, (hence the scale divisions for the gross and tare weights differ), the net weight must be in mathematical agreement with the gross and tare weights that are indicated and recorded, (e.g., net = gross – tare.)</w:t>
      </w:r>
    </w:p>
    <w:p w:rsidR="003361CE" w:rsidRDefault="003361CE" w:rsidP="003361CE">
      <w:pPr>
        <w:pStyle w:val="bulletedlist"/>
      </w:pPr>
      <w:r>
        <w:t>Scales that display or record only net weight values (e.g., most computing scales) may semi automatically (</w:t>
      </w:r>
      <w:r w:rsidRPr="00C83B0B">
        <w:rPr>
          <w:u w:color="82C42A"/>
        </w:rPr>
        <w:t>pushbutton</w:t>
      </w:r>
      <w:r w:rsidRPr="00C83B0B">
        <w:t>)</w:t>
      </w:r>
      <w:r>
        <w:t xml:space="preserve"> take tare values to either the internal resolution or the displayed scale division.</w:t>
      </w:r>
    </w:p>
    <w:p w:rsidR="003361CE" w:rsidRDefault="003361CE" w:rsidP="003361CE">
      <w:pPr>
        <w:pStyle w:val="bulletedlist"/>
      </w:pPr>
      <w:r>
        <w:t xml:space="preserve">Manually entered keyboard, thumb-wheel, and digital tare values must be entered </w:t>
      </w:r>
      <w:r w:rsidRPr="00C83B0B">
        <w:rPr>
          <w:u w:color="82C42A"/>
        </w:rPr>
        <w:t>to</w:t>
      </w:r>
      <w:r w:rsidRPr="00C83B0B">
        <w:t xml:space="preserve"> </w:t>
      </w:r>
      <w:r>
        <w:t>the displayed scale division.</w:t>
      </w:r>
    </w:p>
    <w:p w:rsidR="00096F1D" w:rsidRDefault="00096F1D" w:rsidP="00096F1D">
      <w:pPr>
        <w:pStyle w:val="I-LetterAreg"/>
      </w:pPr>
      <w:r>
        <w:t xml:space="preserve">In applying these principles, it </w:t>
      </w:r>
      <w:r w:rsidRPr="00C83B0B">
        <w:rPr>
          <w:u w:color="82C42A"/>
        </w:rPr>
        <w:t>is acceptable to</w:t>
      </w:r>
      <w:r w:rsidRPr="00C83B0B">
        <w:t>:</w:t>
      </w:r>
    </w:p>
    <w:p w:rsidR="00096F1D" w:rsidRDefault="00096F1D" w:rsidP="00096F1D">
      <w:pPr>
        <w:pStyle w:val="bulletedlist"/>
      </w:pPr>
      <w:r>
        <w:t xml:space="preserve">Round the indicated and printed tare values to the nearest appropriate net weight scale division. </w:t>
      </w:r>
      <w:r w:rsidRPr="00634337">
        <w:t>OR</w:t>
      </w:r>
    </w:p>
    <w:p w:rsidR="00096F1D" w:rsidRDefault="00096F1D" w:rsidP="00096F1D">
      <w:pPr>
        <w:pStyle w:val="bulletedlist"/>
      </w:pPr>
      <w:r>
        <w:t xml:space="preserve">Display net weight values in scale divisions other than the scale division used in the display of gross weight, as when the gross and tare weights are in different ranges of the device. For example, a scale indicating in </w:t>
      </w:r>
      <w:r w:rsidR="00F07D63">
        <w:t>two-pound</w:t>
      </w:r>
      <w:r>
        <w:t xml:space="preserve"> divisions in the lower range and </w:t>
      </w:r>
      <w:r w:rsidR="00F07D63">
        <w:t>five-pound</w:t>
      </w:r>
      <w:r>
        <w:t xml:space="preserve"> divisions in the next higher range may result in net values ending in three or eight in the higher range. For example, a multi-interval scale may indicate and record tare weights in a lower weighing segment (WS) and net weights in the higher weighing segment as follows:</w:t>
      </w:r>
    </w:p>
    <w:p w:rsidR="00096F1D" w:rsidRPr="00096F1D" w:rsidRDefault="00096F1D" w:rsidP="00CC58E8">
      <w:pPr>
        <w:pStyle w:val="I-LetterAreg"/>
        <w:tabs>
          <w:tab w:val="left" w:pos="1440"/>
          <w:tab w:val="decimal" w:pos="5220"/>
          <w:tab w:val="left" w:pos="5940"/>
        </w:tabs>
        <w:spacing w:after="0"/>
        <w:ind w:firstLine="0"/>
      </w:pPr>
      <w:r w:rsidRPr="00096F1D">
        <w:t>55 kg</w:t>
      </w:r>
      <w:r w:rsidR="007653D6">
        <w:tab/>
      </w:r>
      <w:r w:rsidRPr="00096F1D">
        <w:t>Gro</w:t>
      </w:r>
      <w:r w:rsidR="007653D6">
        <w:t>ss Weight (WS2 d = 5kg)</w:t>
      </w:r>
      <w:r w:rsidR="007653D6">
        <w:tab/>
      </w:r>
      <w:r w:rsidRPr="00096F1D">
        <w:t>10.05</w:t>
      </w:r>
      <w:r w:rsidR="001643B4">
        <w:t> </w:t>
      </w:r>
      <w:r w:rsidRPr="00C83B0B">
        <w:rPr>
          <w:u w:color="82C42A"/>
        </w:rPr>
        <w:t>lb</w:t>
      </w:r>
      <w:r w:rsidR="007653D6" w:rsidRPr="00C83B0B">
        <w:tab/>
      </w:r>
      <w:r w:rsidRPr="00096F1D">
        <w:t xml:space="preserve">Gross Weight (WS2 d = 0.05 </w:t>
      </w:r>
      <w:r w:rsidRPr="00C83B0B">
        <w:rPr>
          <w:u w:color="82C42A"/>
        </w:rPr>
        <w:t>lb</w:t>
      </w:r>
      <w:r w:rsidRPr="00C83B0B">
        <w:t>)</w:t>
      </w:r>
    </w:p>
    <w:p w:rsidR="00AB5499" w:rsidRDefault="007A057D" w:rsidP="00CC58E8">
      <w:pPr>
        <w:pStyle w:val="I-LetterAreg"/>
        <w:tabs>
          <w:tab w:val="left" w:pos="1440"/>
          <w:tab w:val="decimal" w:pos="5220"/>
          <w:tab w:val="left" w:pos="5940"/>
        </w:tabs>
        <w:spacing w:after="0"/>
        <w:ind w:firstLine="0"/>
      </w:pPr>
      <w:r>
        <w:rPr>
          <w:rFonts w:cs="Times New Roman"/>
        </w:rPr>
        <w:t>−</w:t>
      </w:r>
      <w:r>
        <w:t> </w:t>
      </w:r>
      <w:r w:rsidR="00096F1D" w:rsidRPr="00096F1D">
        <w:t>4 kg</w:t>
      </w:r>
      <w:r w:rsidR="007653D6">
        <w:tab/>
      </w:r>
      <w:r w:rsidR="00AB5499">
        <w:t>T</w:t>
      </w:r>
      <w:r w:rsidR="007653D6">
        <w:t>are Weight (WSR1 d = 2 kg)</w:t>
      </w:r>
      <w:r w:rsidR="007653D6">
        <w:tab/>
      </w:r>
      <w:r w:rsidR="001643B4">
        <w:rPr>
          <w:rFonts w:cs="Times New Roman"/>
        </w:rPr>
        <w:t>−</w:t>
      </w:r>
      <w:r w:rsidR="001643B4">
        <w:t> </w:t>
      </w:r>
      <w:r w:rsidR="00096F1D" w:rsidRPr="00096F1D">
        <w:t>0.06</w:t>
      </w:r>
      <w:r w:rsidR="001643B4">
        <w:t> </w:t>
      </w:r>
      <w:r w:rsidR="00096F1D" w:rsidRPr="00C83B0B">
        <w:rPr>
          <w:u w:color="82C42A"/>
        </w:rPr>
        <w:t>lb</w:t>
      </w:r>
      <w:r w:rsidR="007653D6" w:rsidRPr="00C83B0B">
        <w:tab/>
      </w:r>
      <w:r w:rsidR="00AB5499">
        <w:t xml:space="preserve">Tare Weight (WS1 d = 0.02 </w:t>
      </w:r>
      <w:r w:rsidR="00AB5499" w:rsidRPr="00C83B0B">
        <w:rPr>
          <w:u w:color="82C42A"/>
        </w:rPr>
        <w:t>lb</w:t>
      </w:r>
      <w:r w:rsidR="00AB5499" w:rsidRPr="00C83B0B">
        <w:t>)</w:t>
      </w:r>
    </w:p>
    <w:p w:rsidR="00096F1D" w:rsidRPr="00096F1D" w:rsidRDefault="00AB5499" w:rsidP="00CC58E8">
      <w:pPr>
        <w:pStyle w:val="I-LetterAreg"/>
        <w:spacing w:after="120"/>
        <w:ind w:firstLine="0"/>
      </w:pPr>
      <w:r>
        <w:t>_____</w:t>
      </w:r>
      <w:r w:rsidR="00096F1D" w:rsidRPr="00096F1D">
        <w:tab/>
      </w:r>
      <w:r w:rsidR="00096F1D" w:rsidRPr="00096F1D">
        <w:tab/>
      </w:r>
      <w:r w:rsidR="00096F1D" w:rsidRPr="00096F1D">
        <w:tab/>
      </w:r>
      <w:r w:rsidR="00096F1D" w:rsidRPr="00096F1D">
        <w:tab/>
      </w:r>
      <w:r w:rsidR="00096F1D" w:rsidRPr="00096F1D">
        <w:tab/>
      </w:r>
      <w:r w:rsidR="00096F1D" w:rsidRPr="00096F1D">
        <w:tab/>
      </w:r>
      <w:r>
        <w:t>_______</w:t>
      </w:r>
    </w:p>
    <w:p w:rsidR="00096F1D" w:rsidRPr="00096F1D" w:rsidRDefault="00096F1D" w:rsidP="00CC58E8">
      <w:pPr>
        <w:pStyle w:val="I-LetterAreg"/>
        <w:tabs>
          <w:tab w:val="decimal" w:pos="5220"/>
        </w:tabs>
        <w:ind w:firstLine="0"/>
      </w:pPr>
      <w:r w:rsidRPr="00096F1D">
        <w:t>=</w:t>
      </w:r>
      <w:r w:rsidR="001643B4">
        <w:t> </w:t>
      </w:r>
      <w:r w:rsidRPr="00096F1D">
        <w:t>51 kg  The Mathematicall</w:t>
      </w:r>
      <w:r w:rsidR="00CC58E8">
        <w:t>y Correct Net Weight</w:t>
      </w:r>
      <w:r w:rsidR="00CC58E8">
        <w:tab/>
        <w:t>= </w:t>
      </w:r>
      <w:r w:rsidRPr="00096F1D">
        <w:t>9.99</w:t>
      </w:r>
      <w:r w:rsidR="001643B4">
        <w:t> </w:t>
      </w:r>
      <w:r w:rsidRPr="00C83B0B">
        <w:rPr>
          <w:u w:color="82C42A"/>
        </w:rPr>
        <w:t>lb</w:t>
      </w:r>
      <w:r w:rsidRPr="00C83B0B">
        <w:t xml:space="preserve"> </w:t>
      </w:r>
      <w:r w:rsidRPr="00096F1D">
        <w:t xml:space="preserve"> The Mathematically Correct Net Weight</w:t>
      </w:r>
    </w:p>
    <w:p w:rsidR="003361CE" w:rsidRDefault="003361CE" w:rsidP="003361CE">
      <w:pPr>
        <w:pStyle w:val="I-Normalreg"/>
      </w:pPr>
      <w:r>
        <w:t xml:space="preserve">In every case, it is required to maintain the </w:t>
      </w:r>
      <w:r w:rsidRPr="00C83B0B">
        <w:rPr>
          <w:u w:color="82C42A"/>
        </w:rPr>
        <w:t>mathematically</w:t>
      </w:r>
      <w:r w:rsidRPr="00C83B0B">
        <w:t xml:space="preserve"> </w:t>
      </w:r>
      <w:r>
        <w:t>correct equation:</w:t>
      </w:r>
      <w:r w:rsidR="001643B4">
        <w:t xml:space="preserve"> </w:t>
      </w:r>
      <w:r>
        <w:t xml:space="preserve"> net = gross – tare</w:t>
      </w:r>
    </w:p>
    <w:p w:rsidR="003361CE" w:rsidRDefault="003361CE" w:rsidP="003361CE">
      <w:pPr>
        <w:pStyle w:val="I-Normalreg"/>
        <w:rPr>
          <w:b/>
          <w:strike/>
        </w:rPr>
      </w:pPr>
      <w:r w:rsidRPr="003361CE">
        <w:rPr>
          <w:b/>
          <w:strike/>
        </w:rPr>
        <w:t xml:space="preserve">For multi-interval instruments, all tares, except for semi-automatic tare, must be taken in the minimum increment.  Therefore, the maximum </w:t>
      </w:r>
      <w:r w:rsidRPr="00C83B0B">
        <w:rPr>
          <w:b/>
          <w:strike/>
          <w:u w:color="82C42A"/>
        </w:rPr>
        <w:t>tare</w:t>
      </w:r>
      <w:r w:rsidRPr="00C83B0B">
        <w:rPr>
          <w:b/>
          <w:strike/>
        </w:rPr>
        <w:t xml:space="preserve"> </w:t>
      </w:r>
      <w:r w:rsidRPr="003361CE">
        <w:rPr>
          <w:b/>
          <w:strike/>
        </w:rPr>
        <w:t>allowed is the maximum capacity of the smallest weighing range.</w:t>
      </w:r>
    </w:p>
    <w:p w:rsidR="00AB5499" w:rsidRDefault="00AB5499" w:rsidP="00AB5499">
      <w:pPr>
        <w:pStyle w:val="I-Normalreg"/>
      </w:pPr>
      <w:r>
        <w:t xml:space="preserve">Semi-automatic </w:t>
      </w:r>
      <w:r w:rsidRPr="00C83B0B">
        <w:rPr>
          <w:u w:color="82C42A"/>
        </w:rPr>
        <w:t>tare</w:t>
      </w:r>
      <w:r w:rsidRPr="00C83B0B">
        <w:t xml:space="preserve"> </w:t>
      </w:r>
      <w:r>
        <w:t xml:space="preserve">may be taken </w:t>
      </w:r>
      <w:r w:rsidRPr="00C83B0B">
        <w:rPr>
          <w:u w:color="82C42A"/>
        </w:rPr>
        <w:t>to</w:t>
      </w:r>
      <w:r w:rsidRPr="00C83B0B">
        <w:t xml:space="preserve"> </w:t>
      </w:r>
      <w:r>
        <w:t>the internal resolution of the scale and any indications or recorded representations of tare shall be rounded to the nearest verification scale division.</w:t>
      </w:r>
    </w:p>
    <w:p w:rsidR="00206264" w:rsidRDefault="00206264" w:rsidP="00FC3603">
      <w:pPr>
        <w:pStyle w:val="ItemHeading"/>
      </w:pPr>
      <w:bookmarkStart w:id="42" w:name="_Toc310427967"/>
      <w:bookmarkStart w:id="43" w:name="_Toc311539249"/>
      <w:bookmarkStart w:id="44" w:name="DESSection70"/>
      <w:r>
        <w:lastRenderedPageBreak/>
        <w:t>DES Section 70</w:t>
      </w:r>
      <w:r w:rsidR="00AB5499">
        <w:t>.</w:t>
      </w:r>
      <w:r>
        <w:t xml:space="preserve"> - Performance and Permanence Tests for Railway Track Scales Used to Weigh In-Motion</w:t>
      </w:r>
      <w:bookmarkEnd w:id="42"/>
      <w:bookmarkEnd w:id="43"/>
      <w:r>
        <w:tab/>
      </w:r>
    </w:p>
    <w:bookmarkEnd w:id="44"/>
    <w:p w:rsidR="00206264" w:rsidRDefault="00206264" w:rsidP="00206264">
      <w:pPr>
        <w:pStyle w:val="BoldHeading"/>
      </w:pPr>
      <w:r>
        <w:t>Source:</w:t>
      </w:r>
      <w:r>
        <w:tab/>
      </w:r>
    </w:p>
    <w:p w:rsidR="00206264" w:rsidRDefault="00206264" w:rsidP="00206264">
      <w:r>
        <w:t>Mr. Luthy, Stock Equipment Company, Inc.</w:t>
      </w:r>
      <w:r>
        <w:tab/>
      </w:r>
    </w:p>
    <w:p w:rsidR="00206264" w:rsidRDefault="00206264" w:rsidP="00206264">
      <w:pPr>
        <w:pStyle w:val="BoldHeading"/>
      </w:pPr>
      <w:r>
        <w:t xml:space="preserve">Background/Discussion:  </w:t>
      </w:r>
    </w:p>
    <w:p w:rsidR="00206264" w:rsidRPr="00BE611A" w:rsidRDefault="00206264" w:rsidP="00206264">
      <w:r>
        <w:t xml:space="preserve">Mr. Luthy, Stock Equipment Company, Inc., reports that they intend to offer for sale in the </w:t>
      </w:r>
      <w:r w:rsidR="00E64949">
        <w:t>United States</w:t>
      </w:r>
      <w:r>
        <w:t xml:space="preserve"> a commercial application weigh-in-motion railway track scale designed to accurately weigh railway track cars (i.e., within </w:t>
      </w:r>
      <w:r w:rsidRPr="00F07D63">
        <w:t xml:space="preserve">NIST </w:t>
      </w:r>
      <w:r w:rsidRPr="001643B4">
        <w:t>Handbook 44</w:t>
      </w:r>
      <w:r>
        <w:t xml:space="preserve"> tolerances)  using new technology that utilizes continuous rails (no “rail gaps”) on the approaches and weighing areas of the scale.  They are currently unable to offer this device for sale in the U.S. in commercial applications because current NTEP type evaluation criteria and </w:t>
      </w:r>
      <w:r w:rsidRPr="001643B4">
        <w:t>NIST Handbook 44</w:t>
      </w:r>
      <w:r>
        <w:rPr>
          <w:i/>
        </w:rPr>
        <w:t xml:space="preserve"> </w:t>
      </w:r>
      <w:r>
        <w:t xml:space="preserve">requirements are written in such a way that makes it impossible for devices incorporating this new technology to comply.  For example, </w:t>
      </w:r>
      <w:r w:rsidRPr="00F07D63">
        <w:t xml:space="preserve">NIST </w:t>
      </w:r>
      <w:r w:rsidRPr="001643B4">
        <w:t>Handbook 44</w:t>
      </w:r>
      <w:r>
        <w:t xml:space="preserve"> Scales Code paragraph UR.2.4. Foundations, Supports, and Clearance </w:t>
      </w:r>
      <w:r w:rsidRPr="00C83B0B">
        <w:rPr>
          <w:u w:color="82C42A"/>
        </w:rPr>
        <w:t>requires</w:t>
      </w:r>
      <w:r w:rsidRPr="00C83B0B">
        <w:t xml:space="preserve"> </w:t>
      </w:r>
      <w:r>
        <w:t xml:space="preserve">clearance be provided around all live parts to the extent that no contacts may result.  </w:t>
      </w:r>
      <w:r w:rsidRPr="001643B4">
        <w:t>NCWM Publication 14</w:t>
      </w:r>
      <w:r>
        <w:t xml:space="preserve">, DES Section 70, Inspect the Scale, Item 4 Rail Gaps states that “the rail gaps should be set at </w:t>
      </w:r>
      <w:r w:rsidRPr="001643B4">
        <w:rPr>
          <w:sz w:val="18"/>
          <w:szCs w:val="18"/>
          <w:vertAlign w:val="superscript"/>
        </w:rPr>
        <w:t>3</w:t>
      </w:r>
      <w:r w:rsidRPr="001643B4">
        <w:rPr>
          <w:sz w:val="18"/>
          <w:szCs w:val="18"/>
        </w:rPr>
        <w:t>/</w:t>
      </w:r>
      <w:r w:rsidRPr="001643B4">
        <w:rPr>
          <w:sz w:val="18"/>
          <w:szCs w:val="18"/>
          <w:vertAlign w:val="subscript"/>
        </w:rPr>
        <w:t>8</w:t>
      </w:r>
      <w:r>
        <w:t xml:space="preserve"> inch.”  The </w:t>
      </w:r>
      <w:r w:rsidRPr="00206264">
        <w:rPr>
          <w:i/>
        </w:rPr>
        <w:t>AAR Scale Handbook</w:t>
      </w:r>
      <w:r>
        <w:t xml:space="preserve"> includes </w:t>
      </w:r>
      <w:r w:rsidRPr="00BE611A">
        <w:t xml:space="preserve">language that allows </w:t>
      </w:r>
      <w:r w:rsidRPr="00BE611A">
        <w:rPr>
          <w:sz w:val="18"/>
          <w:szCs w:val="18"/>
          <w:vertAlign w:val="superscript"/>
        </w:rPr>
        <w:t>1</w:t>
      </w:r>
      <w:r w:rsidRPr="00BE611A">
        <w:rPr>
          <w:sz w:val="18"/>
          <w:szCs w:val="18"/>
        </w:rPr>
        <w:t>/</w:t>
      </w:r>
      <w:r w:rsidRPr="00BE611A">
        <w:rPr>
          <w:sz w:val="18"/>
          <w:szCs w:val="18"/>
          <w:vertAlign w:val="subscript"/>
        </w:rPr>
        <w:t>8</w:t>
      </w:r>
      <w:r w:rsidRPr="00BE611A">
        <w:t xml:space="preserve"> inch to </w:t>
      </w:r>
      <w:r w:rsidRPr="00BE611A">
        <w:rPr>
          <w:sz w:val="18"/>
          <w:szCs w:val="18"/>
          <w:vertAlign w:val="superscript"/>
        </w:rPr>
        <w:t>5</w:t>
      </w:r>
      <w:r w:rsidRPr="00BE611A">
        <w:rPr>
          <w:sz w:val="18"/>
          <w:szCs w:val="18"/>
        </w:rPr>
        <w:t>/</w:t>
      </w:r>
      <w:r w:rsidRPr="00BE611A">
        <w:rPr>
          <w:sz w:val="18"/>
          <w:szCs w:val="18"/>
          <w:vertAlign w:val="subscript"/>
        </w:rPr>
        <w:t>8</w:t>
      </w:r>
      <w:r w:rsidRPr="00BE611A">
        <w:t xml:space="preserve"> inch rail gaps.  Mr. Luthy notes that there is no clearance, nor are there any rail gaps in a continuous rail.  Thus, existing requirements are preventing the marketing and sale of equipment utilizing new technology in commercial applications despite the fact that the equipment complies with current accuracy requirements when installed and used in accordance with the manufacturer’s instructions.  </w:t>
      </w:r>
    </w:p>
    <w:p w:rsidR="00206264" w:rsidRDefault="00206264" w:rsidP="00206264">
      <w:r w:rsidRPr="00BE611A">
        <w:t xml:space="preserve">Mr. Luthy, Stock Equipment Company, Inc., asked the </w:t>
      </w:r>
      <w:r w:rsidR="00BE611A" w:rsidRPr="00BE611A">
        <w:t>S</w:t>
      </w:r>
      <w:r w:rsidRPr="00BE611A">
        <w:t xml:space="preserve">ector to review NIST Handbook 44 requirements and NCWM Publication 14 type evaluation criteria that apply to rail gap clearance relative to WIM railway track scale installations and consider amending those requirements to eliminate existing barriers that are hindering the use of new technology.  Mr. Harshman, NIST Technical Advisor, noted that other requirements may need to be addressed by the manufacturer of this equipment to enable this equipment to be submitted to NTEP and ultimately be installed and used in commercial applications.  The </w:t>
      </w:r>
      <w:r w:rsidR="00BE611A" w:rsidRPr="00BE611A">
        <w:t>S</w:t>
      </w:r>
      <w:r w:rsidRPr="00BE611A">
        <w:t>ector may want to consider reviewing other existing type evaluation criteria applicable to WIM Railway Track Scales and provide guidance to the submitter in other areas of concern.</w:t>
      </w:r>
      <w:r>
        <w:t xml:space="preserve">  </w:t>
      </w:r>
    </w:p>
    <w:p w:rsidR="00206264" w:rsidRDefault="00206264" w:rsidP="00206264">
      <w:r>
        <w:t xml:space="preserve">To address the issue of clearance, Mr. Harshman, NIST Technical Advisor, offered the following proposed amendments/additions to </w:t>
      </w:r>
      <w:r w:rsidRPr="00BE611A">
        <w:t>NIST Handbook 44</w:t>
      </w:r>
      <w:r>
        <w:t xml:space="preserve"> Scales Code paragraph UR.2.4. and </w:t>
      </w:r>
      <w:r w:rsidRPr="00BE611A">
        <w:t xml:space="preserve">NCWM </w:t>
      </w:r>
      <w:r w:rsidR="007E32E8" w:rsidRPr="00C83B0B">
        <w:rPr>
          <w:u w:color="82C42A"/>
        </w:rPr>
        <w:t>Publication</w:t>
      </w:r>
      <w:r w:rsidRPr="00C83B0B">
        <w:t xml:space="preserve"> </w:t>
      </w:r>
      <w:r w:rsidRPr="00BE611A">
        <w:t>14</w:t>
      </w:r>
      <w:r>
        <w:t xml:space="preserve"> Section 70 for NTETC Weighing Sector consideration, comments, and recommendations:   </w:t>
      </w:r>
    </w:p>
    <w:p w:rsidR="00AB5499" w:rsidRDefault="00206264" w:rsidP="00206264">
      <w:pPr>
        <w:pStyle w:val="BoldHeading"/>
        <w:rPr>
          <w:b w:val="0"/>
        </w:rPr>
      </w:pPr>
      <w:r w:rsidRPr="009375EF">
        <w:rPr>
          <w:b w:val="0"/>
          <w:i/>
        </w:rPr>
        <w:t>NIST Handbook 44</w:t>
      </w:r>
      <w:r w:rsidRPr="009375EF">
        <w:rPr>
          <w:b w:val="0"/>
        </w:rPr>
        <w:t xml:space="preserve"> Scales Code:</w:t>
      </w:r>
    </w:p>
    <w:p w:rsidR="00206264" w:rsidRPr="009375EF" w:rsidRDefault="00206264" w:rsidP="00206264">
      <w:pPr>
        <w:pStyle w:val="BoldHeading"/>
        <w:rPr>
          <w:b w:val="0"/>
        </w:rPr>
      </w:pPr>
      <w:r w:rsidRPr="009375EF">
        <w:rPr>
          <w:b w:val="0"/>
        </w:rPr>
        <w:t xml:space="preserve"> </w:t>
      </w:r>
    </w:p>
    <w:p w:rsidR="00206264" w:rsidRPr="002A7852" w:rsidRDefault="00206264" w:rsidP="00BE611A">
      <w:pPr>
        <w:pStyle w:val="I-Normalreg"/>
        <w:spacing w:after="0"/>
        <w:rPr>
          <w:b/>
          <w:strike/>
        </w:rPr>
      </w:pPr>
      <w:r w:rsidRPr="002A7852">
        <w:rPr>
          <w:b/>
        </w:rPr>
        <w:t>UR.2.4. Foun</w:t>
      </w:r>
      <w:r w:rsidR="002A7852" w:rsidRPr="002A7852">
        <w:rPr>
          <w:b/>
        </w:rPr>
        <w:t>dation, Supports, and Clearance.</w:t>
      </w:r>
      <w:r w:rsidR="002A7852">
        <w:t xml:space="preserve"> – </w:t>
      </w:r>
      <w:r w:rsidRPr="002A7852">
        <w:rPr>
          <w:b/>
          <w:strike/>
        </w:rPr>
        <w:t xml:space="preserve">The foundation and supports of any scale installed in a fixed location shall be such as to provide strength, rigidity, and </w:t>
      </w:r>
      <w:r w:rsidRPr="00C83B0B">
        <w:rPr>
          <w:b/>
          <w:strike/>
          <w:u w:color="82C42A"/>
        </w:rPr>
        <w:t>permanence</w:t>
      </w:r>
      <w:r w:rsidRPr="00C83B0B">
        <w:rPr>
          <w:b/>
          <w:strike/>
        </w:rPr>
        <w:t xml:space="preserve"> </w:t>
      </w:r>
      <w:r w:rsidRPr="002A7852">
        <w:rPr>
          <w:b/>
          <w:strike/>
        </w:rPr>
        <w:t>of all components, and clearance shall be provided around all live parts to the extent that no contacts may result when the load receiving element is empty, nor throughout the weighing range of the scale.  *</w:t>
      </w:r>
      <w:r w:rsidRPr="002A7852">
        <w:rPr>
          <w:b/>
          <w:i/>
          <w:strike/>
        </w:rPr>
        <w:t xml:space="preserve">On vehicle and livestock scales, the clearance between the load receiving elements and the coping at the bottom edge of </w:t>
      </w:r>
      <w:r w:rsidR="007E32E8" w:rsidRPr="00C83B0B">
        <w:rPr>
          <w:b/>
          <w:i/>
          <w:strike/>
          <w:u w:color="82C42A"/>
        </w:rPr>
        <w:t>the platform</w:t>
      </w:r>
      <w:r w:rsidRPr="00C83B0B">
        <w:rPr>
          <w:b/>
          <w:i/>
          <w:strike/>
        </w:rPr>
        <w:t xml:space="preserve"> </w:t>
      </w:r>
      <w:r w:rsidRPr="002A7852">
        <w:rPr>
          <w:b/>
          <w:i/>
          <w:strike/>
        </w:rPr>
        <w:t>shall be greater than at the top edge of the platform.</w:t>
      </w:r>
    </w:p>
    <w:p w:rsidR="00206264" w:rsidRPr="002A7852" w:rsidRDefault="00206264" w:rsidP="00206264">
      <w:pPr>
        <w:pStyle w:val="I-Normalreg"/>
        <w:rPr>
          <w:b/>
          <w:i/>
          <w:strike/>
        </w:rPr>
      </w:pPr>
      <w:r w:rsidRPr="002A7852">
        <w:rPr>
          <w:b/>
          <w:i/>
          <w:strike/>
        </w:rPr>
        <w:t>[*Nonretroactive as of January 1, 1973]</w:t>
      </w:r>
    </w:p>
    <w:p w:rsidR="00206264" w:rsidRPr="002A7852" w:rsidRDefault="002A7852" w:rsidP="008B70D0">
      <w:pPr>
        <w:pStyle w:val="I-Normalreg"/>
        <w:spacing w:after="0"/>
        <w:ind w:left="720"/>
        <w:rPr>
          <w:b/>
          <w:i/>
          <w:u w:val="single"/>
        </w:rPr>
      </w:pPr>
      <w:r w:rsidRPr="002A7852">
        <w:rPr>
          <w:b/>
          <w:u w:val="single"/>
        </w:rPr>
        <w:t xml:space="preserve">UR.2.4.1. General. – </w:t>
      </w:r>
      <w:r w:rsidR="00206264" w:rsidRPr="002A7852">
        <w:rPr>
          <w:b/>
          <w:u w:val="single"/>
        </w:rPr>
        <w:t xml:space="preserve">Except for railway track scales that incorporate a continuous rail design (no rail gaps), the foundation and supports of any scale installed in a fixed location shall be such as to provide strength, rigidity, and </w:t>
      </w:r>
      <w:r w:rsidR="00206264" w:rsidRPr="00C83B0B">
        <w:rPr>
          <w:b/>
          <w:u w:val="single"/>
        </w:rPr>
        <w:t>permanence</w:t>
      </w:r>
      <w:r w:rsidR="00206264" w:rsidRPr="002A7852">
        <w:rPr>
          <w:b/>
          <w:u w:val="single"/>
        </w:rPr>
        <w:t xml:space="preserve"> of all components, and clearance shall be provided around all live parts to the extent that no contacts may result when the load receiving element is empty, nor throughout the weighing range of the scale.  </w:t>
      </w:r>
      <w:r w:rsidR="00206264" w:rsidRPr="002A7852">
        <w:rPr>
          <w:b/>
          <w:i/>
          <w:u w:val="single"/>
        </w:rPr>
        <w:t xml:space="preserve">*On vehicle and livestock scales, the clearance between the load receiving elements and the coping at the bottom edge of </w:t>
      </w:r>
      <w:r w:rsidR="007E32E8" w:rsidRPr="00C83B0B">
        <w:rPr>
          <w:b/>
          <w:i/>
          <w:u w:val="single"/>
        </w:rPr>
        <w:t>the platform</w:t>
      </w:r>
      <w:r w:rsidR="00206264" w:rsidRPr="002A7852">
        <w:rPr>
          <w:b/>
          <w:i/>
          <w:u w:val="single"/>
        </w:rPr>
        <w:t xml:space="preserve"> shall be greater than at the top edge of the platform.</w:t>
      </w:r>
    </w:p>
    <w:p w:rsidR="00206264" w:rsidRPr="002A7852" w:rsidRDefault="00206264" w:rsidP="008B70D0">
      <w:pPr>
        <w:pStyle w:val="I-Normalreg"/>
        <w:ind w:left="720"/>
        <w:rPr>
          <w:b/>
          <w:i/>
          <w:u w:val="single"/>
        </w:rPr>
      </w:pPr>
      <w:r w:rsidRPr="002A7852">
        <w:rPr>
          <w:b/>
          <w:i/>
          <w:u w:val="single"/>
        </w:rPr>
        <w:t>[*Nonretroactive as of January 1, 1973]</w:t>
      </w:r>
    </w:p>
    <w:p w:rsidR="00206264" w:rsidRPr="002A7852" w:rsidRDefault="00206264" w:rsidP="008B70D0">
      <w:pPr>
        <w:pStyle w:val="I-Normalreg"/>
        <w:ind w:left="720"/>
        <w:rPr>
          <w:b/>
          <w:u w:val="single"/>
        </w:rPr>
      </w:pPr>
      <w:r w:rsidRPr="002A7852">
        <w:rPr>
          <w:b/>
          <w:u w:val="single"/>
        </w:rPr>
        <w:t>UR.2.4.2. Railway Track Scales That Incorporate a Continuous Rail Design.</w:t>
      </w:r>
      <w:r w:rsidR="002A7852" w:rsidRPr="002A7852">
        <w:rPr>
          <w:b/>
          <w:u w:val="single"/>
        </w:rPr>
        <w:t xml:space="preserve"> – R</w:t>
      </w:r>
      <w:r w:rsidRPr="002A7852">
        <w:rPr>
          <w:b/>
          <w:u w:val="single"/>
        </w:rPr>
        <w:t>ailway track scales that incorporate a continuous rail design (no rail gaps) shall be installed such that:</w:t>
      </w:r>
    </w:p>
    <w:p w:rsidR="00206264" w:rsidRPr="002A7852" w:rsidRDefault="00206264" w:rsidP="002A7852">
      <w:pPr>
        <w:pStyle w:val="I-LetterAIndent1"/>
        <w:rPr>
          <w:b/>
          <w:u w:val="single"/>
        </w:rPr>
      </w:pPr>
      <w:r w:rsidRPr="002A7852">
        <w:rPr>
          <w:b/>
          <w:u w:val="single"/>
        </w:rPr>
        <w:lastRenderedPageBreak/>
        <w:t>(a)</w:t>
      </w:r>
      <w:r w:rsidRPr="002A7852">
        <w:rPr>
          <w:b/>
        </w:rPr>
        <w:tab/>
      </w:r>
      <w:r w:rsidRPr="002A7852">
        <w:rPr>
          <w:b/>
          <w:u w:val="single"/>
        </w:rPr>
        <w:t xml:space="preserve">Clearance shall be provided around all live parts to the extent that no other contacts with the live part of the scale may result when the weighing area element is empty, nor throughout the weighing range of the scale, </w:t>
      </w:r>
    </w:p>
    <w:p w:rsidR="00206264" w:rsidRPr="002A7852" w:rsidRDefault="00206264" w:rsidP="002A7852">
      <w:pPr>
        <w:pStyle w:val="I-LetterAIndent1"/>
        <w:rPr>
          <w:b/>
          <w:u w:val="single"/>
        </w:rPr>
      </w:pPr>
      <w:r w:rsidRPr="002A7852">
        <w:rPr>
          <w:b/>
          <w:u w:val="single"/>
        </w:rPr>
        <w:t>(b)</w:t>
      </w:r>
      <w:r w:rsidRPr="002A7852">
        <w:rPr>
          <w:b/>
        </w:rPr>
        <w:tab/>
      </w:r>
      <w:r w:rsidRPr="002A7852">
        <w:rPr>
          <w:b/>
          <w:u w:val="single"/>
        </w:rPr>
        <w:t xml:space="preserve">The </w:t>
      </w:r>
      <w:r w:rsidRPr="00C83B0B">
        <w:rPr>
          <w:b/>
          <w:u w:val="single"/>
        </w:rPr>
        <w:t>rail</w:t>
      </w:r>
      <w:r w:rsidRPr="002A7852">
        <w:rPr>
          <w:b/>
          <w:u w:val="single"/>
        </w:rPr>
        <w:t xml:space="preserve"> that introduces the rail cars to the weighing area and that carries away the rail cars away from the weighing area shall be maintained according to the manufacturer’s recommendations, and</w:t>
      </w:r>
    </w:p>
    <w:p w:rsidR="00206264" w:rsidRPr="002A7852" w:rsidRDefault="00206264" w:rsidP="00BE611A">
      <w:pPr>
        <w:pStyle w:val="I-LetterAIndent1"/>
        <w:spacing w:after="60"/>
        <w:ind w:left="1354"/>
        <w:rPr>
          <w:b/>
          <w:u w:val="single"/>
        </w:rPr>
      </w:pPr>
      <w:r w:rsidRPr="002A7852">
        <w:rPr>
          <w:b/>
          <w:u w:val="single"/>
        </w:rPr>
        <w:t>(c)</w:t>
      </w:r>
      <w:r w:rsidRPr="002A7852">
        <w:rPr>
          <w:b/>
        </w:rPr>
        <w:tab/>
      </w:r>
      <w:r w:rsidRPr="002A7852">
        <w:rPr>
          <w:b/>
          <w:u w:val="single"/>
        </w:rPr>
        <w:t>The scale area shall be marked or identified with contrasting colors, or other suitable means shall be used to distinguish the weighing area from the area that carries rail cars away from the weighing area.</w:t>
      </w:r>
    </w:p>
    <w:p w:rsidR="00206264" w:rsidRPr="002A7852" w:rsidRDefault="00206264" w:rsidP="00206264">
      <w:pPr>
        <w:pStyle w:val="I-Normalreg"/>
        <w:rPr>
          <w:b/>
          <w:u w:val="single"/>
        </w:rPr>
      </w:pPr>
      <w:r w:rsidRPr="002A7852">
        <w:rPr>
          <w:b/>
          <w:u w:val="single"/>
        </w:rPr>
        <w:t>(Added 20XX)</w:t>
      </w:r>
    </w:p>
    <w:p w:rsidR="00206264" w:rsidRPr="009375EF" w:rsidRDefault="002A7852" w:rsidP="008B70D0">
      <w:pPr>
        <w:pStyle w:val="BoldHeading"/>
        <w:spacing w:after="240"/>
        <w:rPr>
          <w:b w:val="0"/>
        </w:rPr>
      </w:pPr>
      <w:r w:rsidRPr="00651AE6">
        <w:rPr>
          <w:b w:val="0"/>
        </w:rPr>
        <w:t xml:space="preserve">NCWM </w:t>
      </w:r>
      <w:r w:rsidR="00206264" w:rsidRPr="00651AE6">
        <w:rPr>
          <w:b w:val="0"/>
        </w:rPr>
        <w:t>Pub</w:t>
      </w:r>
      <w:r w:rsidRPr="00651AE6">
        <w:rPr>
          <w:b w:val="0"/>
        </w:rPr>
        <w:t>lication</w:t>
      </w:r>
      <w:r w:rsidR="00206264" w:rsidRPr="00651AE6">
        <w:rPr>
          <w:b w:val="0"/>
        </w:rPr>
        <w:t xml:space="preserve"> 14</w:t>
      </w:r>
      <w:r w:rsidR="00206264" w:rsidRPr="009375EF">
        <w:rPr>
          <w:b w:val="0"/>
        </w:rPr>
        <w:t xml:space="preserve"> DES Section 70</w:t>
      </w:r>
      <w:r w:rsidR="00AB5499">
        <w:rPr>
          <w:b w:val="0"/>
        </w:rPr>
        <w:t>.</w:t>
      </w:r>
      <w:r w:rsidR="00206264" w:rsidRPr="009375EF">
        <w:rPr>
          <w:b w:val="0"/>
        </w:rPr>
        <w:t xml:space="preserve"> </w:t>
      </w:r>
    </w:p>
    <w:p w:rsidR="002A7852" w:rsidRPr="002A7852" w:rsidRDefault="002A7852" w:rsidP="002A7852">
      <w:pPr>
        <w:pStyle w:val="I-Normalreg"/>
        <w:rPr>
          <w:b/>
        </w:rPr>
      </w:pPr>
      <w:r w:rsidRPr="002A7852">
        <w:rPr>
          <w:b/>
        </w:rPr>
        <w:t>Inspect the Scale</w:t>
      </w:r>
    </w:p>
    <w:p w:rsidR="00206264" w:rsidRPr="002A7852" w:rsidRDefault="00206264" w:rsidP="002A7852">
      <w:pPr>
        <w:pStyle w:val="I-Normalreg"/>
        <w:spacing w:after="0"/>
        <w:rPr>
          <w:b/>
        </w:rPr>
      </w:pPr>
      <w:r w:rsidRPr="002A7852">
        <w:rPr>
          <w:b/>
        </w:rPr>
        <w:t>4.</w:t>
      </w:r>
      <w:r w:rsidRPr="002A7852">
        <w:rPr>
          <w:b/>
        </w:rPr>
        <w:tab/>
        <w:t>Rail Gaps:</w:t>
      </w:r>
    </w:p>
    <w:p w:rsidR="00206264" w:rsidRDefault="00206264" w:rsidP="002A7852">
      <w:pPr>
        <w:pStyle w:val="I-Normalreg"/>
        <w:ind w:left="720"/>
      </w:pPr>
      <w:r w:rsidRPr="002A7852">
        <w:rPr>
          <w:b/>
          <w:u w:val="single"/>
        </w:rPr>
        <w:t>Except for railway track scales that incorporate a continuous rail design (no rail gaps),</w:t>
      </w:r>
      <w:r>
        <w:t xml:space="preserve"> the rail gaps should be set at </w:t>
      </w:r>
      <w:r w:rsidRPr="00BE611A">
        <w:rPr>
          <w:sz w:val="18"/>
          <w:szCs w:val="18"/>
          <w:vertAlign w:val="superscript"/>
        </w:rPr>
        <w:t>3</w:t>
      </w:r>
      <w:r w:rsidRPr="00BE611A">
        <w:rPr>
          <w:sz w:val="18"/>
          <w:szCs w:val="18"/>
        </w:rPr>
        <w:t>/</w:t>
      </w:r>
      <w:r w:rsidRPr="00BE611A">
        <w:rPr>
          <w:sz w:val="18"/>
          <w:szCs w:val="18"/>
          <w:vertAlign w:val="subscript"/>
        </w:rPr>
        <w:t>8</w:t>
      </w:r>
      <w:r>
        <w:t xml:space="preserve"> inch. AAR Scale Handbook says from </w:t>
      </w:r>
      <w:r w:rsidRPr="00BE611A">
        <w:rPr>
          <w:sz w:val="18"/>
          <w:szCs w:val="18"/>
          <w:vertAlign w:val="superscript"/>
        </w:rPr>
        <w:t>1</w:t>
      </w:r>
      <w:r w:rsidRPr="00BE611A">
        <w:rPr>
          <w:sz w:val="18"/>
          <w:szCs w:val="18"/>
        </w:rPr>
        <w:t>/</w:t>
      </w:r>
      <w:r w:rsidRPr="00BE611A">
        <w:rPr>
          <w:sz w:val="18"/>
          <w:szCs w:val="18"/>
          <w:vertAlign w:val="subscript"/>
        </w:rPr>
        <w:t>8</w:t>
      </w:r>
      <w:r>
        <w:t xml:space="preserve"> inch to </w:t>
      </w:r>
      <w:r w:rsidRPr="00BE611A">
        <w:rPr>
          <w:sz w:val="18"/>
          <w:szCs w:val="18"/>
          <w:vertAlign w:val="superscript"/>
        </w:rPr>
        <w:t>5</w:t>
      </w:r>
      <w:r w:rsidRPr="00BE611A">
        <w:rPr>
          <w:sz w:val="18"/>
          <w:szCs w:val="18"/>
        </w:rPr>
        <w:t>/</w:t>
      </w:r>
      <w:r w:rsidRPr="00BE611A">
        <w:rPr>
          <w:sz w:val="18"/>
          <w:szCs w:val="18"/>
          <w:vertAlign w:val="subscript"/>
        </w:rPr>
        <w:t>8</w:t>
      </w:r>
      <w:r>
        <w:t xml:space="preserve"> inch is allowable. </w:t>
      </w:r>
      <w:r w:rsidR="00BE611A">
        <w:t xml:space="preserve"> </w:t>
      </w:r>
      <w:r>
        <w:t>A closed rail gap will have a significant effect on the weight while a large rail gap will take its toll on the rail, load cells, and grout.</w:t>
      </w:r>
    </w:p>
    <w:p w:rsidR="00206264" w:rsidRDefault="002A7852" w:rsidP="00206264">
      <w:r>
        <w:t xml:space="preserve">Mr. Harshman, </w:t>
      </w:r>
      <w:r w:rsidR="00206264">
        <w:t>NIST Technical Advisor</w:t>
      </w:r>
      <w:r>
        <w:t>,</w:t>
      </w:r>
      <w:r w:rsidR="00206264">
        <w:t xml:space="preserve"> summarized background information during which time </w:t>
      </w:r>
      <w:r>
        <w:t xml:space="preserve">Mr. Luthy, Stock Equipment Company, Inc., </w:t>
      </w:r>
      <w:r w:rsidR="00206264">
        <w:t xml:space="preserve">provided greater detail in explaining to the </w:t>
      </w:r>
      <w:r>
        <w:t>s</w:t>
      </w:r>
      <w:r w:rsidR="00206264">
        <w:t xml:space="preserve">ector how the equipment is designed, many of the capabilities of the equipment, and some of the challenges that have been encountered trying to gain acceptance of the equipment into the U.S. marketplace.  </w:t>
      </w:r>
      <w:r>
        <w:t>Mr. Luthy</w:t>
      </w:r>
      <w:r w:rsidR="00206264">
        <w:t xml:space="preserve"> indicated that the system would pass current </w:t>
      </w:r>
      <w:r w:rsidR="00206264" w:rsidRPr="00BE611A">
        <w:t>NIST Handbook 44</w:t>
      </w:r>
      <w:r w:rsidR="00206264">
        <w:t xml:space="preserve"> tolerances applicable to static railway track scales and uncoupled-in-motion railway track scales, but could not currently offer the </w:t>
      </w:r>
      <w:r w:rsidR="00BE611A">
        <w:t>S</w:t>
      </w:r>
      <w:r w:rsidR="00206264">
        <w:t xml:space="preserve">ector any test data to support this claim.  </w:t>
      </w:r>
      <w:r>
        <w:t>Mr. Luthy</w:t>
      </w:r>
      <w:r w:rsidR="00206264">
        <w:t xml:space="preserve"> acknowledged that a system had been installed at a railroad test facility operated by the Transportation Tec</w:t>
      </w:r>
      <w:r w:rsidR="00BE611A">
        <w:t>hnology Center Inc., Pueblo, Colorado</w:t>
      </w:r>
      <w:r w:rsidR="00206264">
        <w:t xml:space="preserve">, but testing to verify (or confirm) accuracy had not yet been performed and would be conducted at some later date (yet to be determined).  </w:t>
      </w:r>
      <w:r>
        <w:t>Mr. Luthy</w:t>
      </w:r>
      <w:r w:rsidR="00206264">
        <w:t xml:space="preserve"> also indicated that some U.S. </w:t>
      </w:r>
      <w:r w:rsidR="008B70D0">
        <w:t>r</w:t>
      </w:r>
      <w:r w:rsidR="00206264">
        <w:t>ailroads have expressed great interest in purchasing and using this new technology.  The most obvious</w:t>
      </w:r>
      <w:r>
        <w:t xml:space="preserve"> </w:t>
      </w:r>
      <w:r w:rsidR="00206264">
        <w:t>hurdle preventing U.S. acceptance is that there are no rail gaps</w:t>
      </w:r>
      <w:r>
        <w:t xml:space="preserve"> </w:t>
      </w:r>
      <w:r w:rsidR="00206264">
        <w:t xml:space="preserve">present in a typical installation of the system.  </w:t>
      </w:r>
      <w:r w:rsidRPr="00BE611A">
        <w:t xml:space="preserve">NCWM </w:t>
      </w:r>
      <w:r w:rsidR="00206264" w:rsidRPr="00BE611A">
        <w:t xml:space="preserve">Publication 14 </w:t>
      </w:r>
      <w:r w:rsidR="00206264">
        <w:t xml:space="preserve">specifically requires rail gaps and </w:t>
      </w:r>
      <w:r w:rsidRPr="00BE611A">
        <w:t xml:space="preserve">NIST Handbook </w:t>
      </w:r>
      <w:r w:rsidR="00206264" w:rsidRPr="00BE611A">
        <w:t xml:space="preserve">44 </w:t>
      </w:r>
      <w:r w:rsidR="00206264">
        <w:t xml:space="preserve">contains a provision which specifies clearance shall be maintained around all live parts to the extent that contacts do not occur.  Since no rail gaps are present, it is not possible that clearance can be maintained around all live parts.  Some additional concerns raised and discussed by the </w:t>
      </w:r>
      <w:r w:rsidR="003F0565">
        <w:t>s</w:t>
      </w:r>
      <w:r w:rsidR="00206264">
        <w:t>ector were</w:t>
      </w:r>
      <w:r w:rsidR="003F0565">
        <w:t xml:space="preserve"> </w:t>
      </w:r>
      <w:r w:rsidR="00206264">
        <w:t xml:space="preserve">as follows: </w:t>
      </w:r>
    </w:p>
    <w:p w:rsidR="00206264" w:rsidRDefault="003F0565" w:rsidP="003F0565">
      <w:pPr>
        <w:pStyle w:val="bulletedlist"/>
      </w:pPr>
      <w:r>
        <w:t xml:space="preserve">Mr. </w:t>
      </w:r>
      <w:r w:rsidR="00206264">
        <w:t>Beitzel, Systems Associates, Inc.</w:t>
      </w:r>
      <w:r>
        <w:t xml:space="preserve">, </w:t>
      </w:r>
      <w:r w:rsidR="00206264">
        <w:t xml:space="preserve">questioned how a static section test could be performed on a </w:t>
      </w:r>
      <w:r w:rsidR="00206264" w:rsidRPr="00C83B0B">
        <w:rPr>
          <w:u w:color="82C42A"/>
        </w:rPr>
        <w:t>weighbridge</w:t>
      </w:r>
      <w:r w:rsidR="00206264" w:rsidRPr="00C83B0B">
        <w:t xml:space="preserve"> </w:t>
      </w:r>
      <w:r w:rsidR="00206264">
        <w:t xml:space="preserve">that incorporates </w:t>
      </w:r>
      <w:r>
        <w:t>six</w:t>
      </w:r>
      <w:r w:rsidR="00206264">
        <w:t xml:space="preserve"> scale sections in only 12 feet of rail.  He indicated that the device could not pass current design requirements of the American Railway Engineering Maintenance-of-Way Association</w:t>
      </w:r>
      <w:r>
        <w:t xml:space="preserve"> </w:t>
      </w:r>
      <w:r w:rsidR="00206264">
        <w:t>(AREMA) and to do so, those requirements would have to be changed.  He also questioned whether more stringent permanence testing should be developed</w:t>
      </w:r>
      <w:r>
        <w:t xml:space="preserve"> </w:t>
      </w:r>
      <w:r w:rsidR="00206264">
        <w:t xml:space="preserve">and applied to this particular system.  </w:t>
      </w:r>
      <w:r>
        <w:t>Mr. Beitzel</w:t>
      </w:r>
      <w:r w:rsidR="00206264">
        <w:t xml:space="preserve"> agreed that railroad companies would like to see this equipment be made available, noting that they are less concerned about tolerances, which, he indicated, is contrary to the concerns of members of AREMA Committee 34.  </w:t>
      </w:r>
    </w:p>
    <w:p w:rsidR="00206264" w:rsidRDefault="003F0565" w:rsidP="003F0565">
      <w:pPr>
        <w:pStyle w:val="bulletedlist"/>
      </w:pPr>
      <w:r>
        <w:t xml:space="preserve">Mr. </w:t>
      </w:r>
      <w:r w:rsidR="00206264">
        <w:t>Truex, NTEP Administrator</w:t>
      </w:r>
      <w:r>
        <w:t>,</w:t>
      </w:r>
      <w:r w:rsidR="00206264">
        <w:t xml:space="preserve"> pointed out that a plan was being developed to address section testing.  He stated that the NTEP Committee is willing to issue a provisional CC upon successful completion of the current evaluation procedures, providing the </w:t>
      </w:r>
      <w:r w:rsidR="00687C1B">
        <w:t>S</w:t>
      </w:r>
      <w:r w:rsidR="00206264">
        <w:t xml:space="preserve">ector can recommend the removal of the “rail gap” requirement (assuming testing would be completed before the </w:t>
      </w:r>
      <w:r>
        <w:t xml:space="preserve">NTETC </w:t>
      </w:r>
      <w:r w:rsidR="00206264">
        <w:t>W</w:t>
      </w:r>
      <w:r>
        <w:t xml:space="preserve">eighing </w:t>
      </w:r>
      <w:r w:rsidR="00206264">
        <w:t>S</w:t>
      </w:r>
      <w:r>
        <w:t>ector</w:t>
      </w:r>
      <w:r w:rsidR="00206264">
        <w:t xml:space="preserve"> meeting).  He then asked whether the </w:t>
      </w:r>
      <w:r w:rsidR="00687C1B">
        <w:t>S</w:t>
      </w:r>
      <w:r w:rsidR="00206264">
        <w:t xml:space="preserve">ector would be willing to make such a recommendation.  </w:t>
      </w:r>
      <w:r>
        <w:t xml:space="preserve">Mr. Truex </w:t>
      </w:r>
      <w:r w:rsidR="00206264">
        <w:t xml:space="preserve">also agreed with </w:t>
      </w:r>
      <w:r>
        <w:t>Mr. Harshman,</w:t>
      </w:r>
      <w:r w:rsidR="00206264">
        <w:t xml:space="preserve"> NIST Technical Advisor</w:t>
      </w:r>
      <w:r>
        <w:t>,</w:t>
      </w:r>
      <w:r w:rsidR="00206264">
        <w:t xml:space="preserve"> that the equipment could not comply with </w:t>
      </w:r>
      <w:r w:rsidRPr="00687C1B">
        <w:t xml:space="preserve">NIST Handbook </w:t>
      </w:r>
      <w:r w:rsidR="00206264" w:rsidRPr="00687C1B">
        <w:t>44</w:t>
      </w:r>
      <w:r w:rsidR="00206264">
        <w:t xml:space="preserve"> Scales Code paragraph UR.2.4. Foundation, Supports, and Clearance because clearance is not provided </w:t>
      </w:r>
      <w:r w:rsidR="00206264">
        <w:lastRenderedPageBreak/>
        <w:t xml:space="preserve">around all live parts of a railway track scale that </w:t>
      </w:r>
      <w:r w:rsidR="00206264" w:rsidRPr="00C83B0B">
        <w:rPr>
          <w:u w:color="82C42A"/>
        </w:rPr>
        <w:t>has</w:t>
      </w:r>
      <w:r w:rsidR="00206264" w:rsidRPr="00C83B0B">
        <w:t xml:space="preserve"> </w:t>
      </w:r>
      <w:r w:rsidR="00206264">
        <w:t xml:space="preserve">no rail gaps between the approach rails and the weighing/load-receiving element.  </w:t>
      </w:r>
    </w:p>
    <w:p w:rsidR="00206264" w:rsidRDefault="00206264" w:rsidP="003F0565">
      <w:pPr>
        <w:pStyle w:val="bulletedlist"/>
      </w:pPr>
      <w:r>
        <w:t xml:space="preserve">Noting that the NTEP process considers all components of an evaluation, </w:t>
      </w:r>
      <w:r w:rsidR="003F0565">
        <w:t xml:space="preserve">Mr. </w:t>
      </w:r>
      <w:r>
        <w:t>Flocken</w:t>
      </w:r>
      <w:r w:rsidR="003F0565">
        <w:t>, Mettler-Toledo, Inc.,</w:t>
      </w:r>
      <w:r>
        <w:t xml:space="preserve"> questioned whether the </w:t>
      </w:r>
      <w:r w:rsidR="003F0565">
        <w:t>s</w:t>
      </w:r>
      <w:r>
        <w:t>ector would want to develop an ad</w:t>
      </w:r>
      <w:r w:rsidR="003F0565">
        <w:t xml:space="preserve"> </w:t>
      </w:r>
      <w:r>
        <w:t xml:space="preserve">hoc discussion group to develop a list of concerns and a means of addressing them, including the concerns raised by </w:t>
      </w:r>
      <w:r w:rsidR="003F0565">
        <w:t>Mr. Beitzel, Systems Associates, Inc.</w:t>
      </w:r>
      <w:r>
        <w:t xml:space="preserve">.   </w:t>
      </w:r>
    </w:p>
    <w:p w:rsidR="003F0565" w:rsidRDefault="00206264" w:rsidP="003F0565">
      <w:pPr>
        <w:pStyle w:val="BoldHeading"/>
      </w:pPr>
      <w:r>
        <w:t>Conclusion:</w:t>
      </w:r>
    </w:p>
    <w:p w:rsidR="00206264" w:rsidRDefault="00206264" w:rsidP="00206264">
      <w:r w:rsidRPr="00755545">
        <w:t xml:space="preserve">The </w:t>
      </w:r>
      <w:r w:rsidR="003F0565" w:rsidRPr="00755545">
        <w:t xml:space="preserve">NTETC </w:t>
      </w:r>
      <w:r w:rsidRPr="00755545">
        <w:t>W</w:t>
      </w:r>
      <w:r w:rsidR="003F0565" w:rsidRPr="00755545">
        <w:t xml:space="preserve">eighing </w:t>
      </w:r>
      <w:r w:rsidRPr="00755545">
        <w:t>S</w:t>
      </w:r>
      <w:r w:rsidR="003F0565" w:rsidRPr="00755545">
        <w:t>ector</w:t>
      </w:r>
      <w:r w:rsidRPr="00755545">
        <w:t xml:space="preserve"> was not willing to delete references to the required gaps in the rail until it is proven that the new technology complies with the tolerances in </w:t>
      </w:r>
      <w:r w:rsidR="003F0565" w:rsidRPr="00755545">
        <w:t xml:space="preserve">NIST </w:t>
      </w:r>
      <w:r w:rsidRPr="00755545">
        <w:t>H</w:t>
      </w:r>
      <w:r w:rsidR="003F0565" w:rsidRPr="00755545">
        <w:t xml:space="preserve">andbook </w:t>
      </w:r>
      <w:r w:rsidRPr="00755545">
        <w:t>44</w:t>
      </w:r>
      <w:r w:rsidR="003F0565" w:rsidRPr="00755545">
        <w:t xml:space="preserve">.  </w:t>
      </w:r>
      <w:r w:rsidRPr="00755545">
        <w:t xml:space="preserve">Thus, the </w:t>
      </w:r>
      <w:r w:rsidR="00755545" w:rsidRPr="00755545">
        <w:t>S</w:t>
      </w:r>
      <w:r w:rsidR="003F0565" w:rsidRPr="00755545">
        <w:t>ector</w:t>
      </w:r>
      <w:r w:rsidRPr="00755545">
        <w:t xml:space="preserve"> recommended that the applicant move forward with performance testing to confirm that the new technology complies with the tolerances in </w:t>
      </w:r>
      <w:r w:rsidR="003F0565" w:rsidRPr="00755545">
        <w:t>NIST Handbook 44</w:t>
      </w:r>
      <w:r w:rsidRPr="00755545">
        <w:t xml:space="preserve">.  The </w:t>
      </w:r>
      <w:r w:rsidR="00755545" w:rsidRPr="00755545">
        <w:t>S</w:t>
      </w:r>
      <w:r w:rsidR="003F0565" w:rsidRPr="00755545">
        <w:t>ector</w:t>
      </w:r>
      <w:r w:rsidRPr="00755545">
        <w:t xml:space="preserve"> agreed with a recommendation made by </w:t>
      </w:r>
      <w:r w:rsidR="003F0565" w:rsidRPr="00755545">
        <w:t xml:space="preserve">Mr. Cook, NIST, </w:t>
      </w:r>
      <w:r w:rsidRPr="00755545">
        <w:t>OWM</w:t>
      </w:r>
      <w:r w:rsidR="003F0565" w:rsidRPr="00755545">
        <w:t>,</w:t>
      </w:r>
      <w:r w:rsidRPr="00755545">
        <w:t xml:space="preserve"> that data resulting from the performance testing needs to be submitted to the </w:t>
      </w:r>
      <w:r w:rsidR="00755545" w:rsidRPr="00755545">
        <w:t>S</w:t>
      </w:r>
      <w:r w:rsidRPr="00755545">
        <w:t>ector prior to the time that the 2012</w:t>
      </w:r>
      <w:r w:rsidR="00755545" w:rsidRPr="00755545">
        <w:t> </w:t>
      </w:r>
      <w:r w:rsidR="003F0565" w:rsidRPr="00755545">
        <w:t xml:space="preserve">NTETC </w:t>
      </w:r>
      <w:r w:rsidRPr="00755545">
        <w:t xml:space="preserve">Weighing Sector Agenda is developed or the item should not be included as a </w:t>
      </w:r>
      <w:r w:rsidR="003F0565" w:rsidRPr="00755545">
        <w:t>c</w:t>
      </w:r>
      <w:r w:rsidRPr="00755545">
        <w:t>arry</w:t>
      </w:r>
      <w:r w:rsidR="00B67C78" w:rsidRPr="00755545">
        <w:t>-</w:t>
      </w:r>
      <w:r w:rsidRPr="00755545">
        <w:t>over item on that</w:t>
      </w:r>
      <w:r>
        <w:t xml:space="preserve"> </w:t>
      </w:r>
      <w:r w:rsidR="003F0565">
        <w:t>a</w:t>
      </w:r>
      <w:r>
        <w:t xml:space="preserve">genda.  </w:t>
      </w:r>
    </w:p>
    <w:p w:rsidR="004E152A" w:rsidRDefault="009375EF" w:rsidP="00FC3603">
      <w:pPr>
        <w:pStyle w:val="ItemHeading"/>
      </w:pPr>
      <w:bookmarkStart w:id="45" w:name="_Toc310427968"/>
      <w:bookmarkStart w:id="46" w:name="_Toc311539250"/>
      <w:bookmarkStart w:id="47" w:name="DESSection57"/>
      <w:r>
        <w:t xml:space="preserve">DES Section 57. </w:t>
      </w:r>
      <w:r w:rsidR="004E152A">
        <w:t>Device Tolerances</w:t>
      </w:r>
      <w:bookmarkEnd w:id="45"/>
      <w:bookmarkEnd w:id="46"/>
      <w:r w:rsidR="004E152A">
        <w:tab/>
      </w:r>
    </w:p>
    <w:bookmarkEnd w:id="47"/>
    <w:p w:rsidR="004E152A" w:rsidRDefault="004E152A" w:rsidP="004E152A">
      <w:pPr>
        <w:pStyle w:val="BoldHeading"/>
      </w:pPr>
      <w:r>
        <w:t>Source:</w:t>
      </w:r>
      <w:r>
        <w:tab/>
      </w:r>
    </w:p>
    <w:p w:rsidR="004E152A" w:rsidRDefault="004E152A" w:rsidP="004E152A">
      <w:r>
        <w:t>Mr. Lewis, Rice Lake Weighing Systems, Inc.</w:t>
      </w:r>
    </w:p>
    <w:p w:rsidR="004E152A" w:rsidRDefault="004E152A" w:rsidP="004E152A">
      <w:pPr>
        <w:pStyle w:val="BoldHeading"/>
      </w:pPr>
      <w:r>
        <w:t xml:space="preserve">Background/Discussion:  </w:t>
      </w:r>
    </w:p>
    <w:p w:rsidR="004E152A" w:rsidRDefault="004E152A" w:rsidP="004E152A">
      <w:r>
        <w:t>Mr. Lewis, Rice Lake Weighing Systems, Inc., has identified a possible error in the acceptance tolerance example of tolerance for separable elements in DES Section 57. Device Tolerances.  Mr. Lewis states that the tolerance for separable indicators and weighing element for devices with more than 4000 graduations is currently listed as 1</w:t>
      </w:r>
      <w:r w:rsidR="00744E4E">
        <w:t> </w:t>
      </w:r>
      <w:r>
        <w:t>e.  In the example for Class III elements with more than 4000 divisions, the tolerance listed is 2.5 divisions; the truncated division should for “2</w:t>
      </w:r>
      <w:r w:rsidR="00744E4E">
        <w:t> </w:t>
      </w:r>
      <w:r>
        <w:t>e” when error weights are not being used and the scale cannot be put into an expanded mode. If the tolerance is rounded down the allowable error would be 2 not 1 as shown highlighted in the following table.</w:t>
      </w:r>
    </w:p>
    <w:p w:rsidR="004E152A" w:rsidRDefault="004E152A" w:rsidP="00BC23D3">
      <w:pPr>
        <w:pStyle w:val="I-Normal-bold"/>
        <w:keepNext/>
        <w:spacing w:after="120"/>
      </w:pPr>
      <w:r>
        <w:t>Example:</w:t>
      </w:r>
    </w:p>
    <w:tbl>
      <w:tblPr>
        <w:tblStyle w:val="TableGrid"/>
        <w:tblW w:w="0" w:type="auto"/>
        <w:tblInd w:w="3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09"/>
        <w:gridCol w:w="4607"/>
      </w:tblGrid>
      <w:tr w:rsidR="004E152A" w:rsidTr="004E152A">
        <w:tc>
          <w:tcPr>
            <w:tcW w:w="4788" w:type="dxa"/>
            <w:tcBorders>
              <w:top w:val="single" w:sz="12" w:space="0" w:color="auto"/>
              <w:bottom w:val="single" w:sz="12" w:space="0" w:color="auto"/>
            </w:tcBorders>
          </w:tcPr>
          <w:p w:rsidR="004E152A" w:rsidRPr="004E152A" w:rsidRDefault="004E152A" w:rsidP="00744E4E">
            <w:pPr>
              <w:pStyle w:val="I-Normalreg"/>
              <w:keepNext/>
              <w:spacing w:after="0"/>
              <w:ind w:left="0"/>
              <w:jc w:val="center"/>
              <w:rPr>
                <w:b/>
              </w:rPr>
            </w:pPr>
            <w:r w:rsidRPr="004E152A">
              <w:rPr>
                <w:b/>
              </w:rPr>
              <w:t>Test Indication In Divisions</w:t>
            </w:r>
          </w:p>
        </w:tc>
        <w:tc>
          <w:tcPr>
            <w:tcW w:w="4788" w:type="dxa"/>
            <w:tcBorders>
              <w:top w:val="single" w:sz="12" w:space="0" w:color="auto"/>
              <w:bottom w:val="single" w:sz="12" w:space="0" w:color="auto"/>
            </w:tcBorders>
          </w:tcPr>
          <w:p w:rsidR="004E152A" w:rsidRPr="004E152A" w:rsidRDefault="004E152A" w:rsidP="00744E4E">
            <w:pPr>
              <w:pStyle w:val="I-Normalreg"/>
              <w:keepNext/>
              <w:spacing w:after="0"/>
              <w:ind w:left="0"/>
              <w:jc w:val="center"/>
              <w:rPr>
                <w:b/>
              </w:rPr>
            </w:pPr>
            <w:r w:rsidRPr="004E152A">
              <w:rPr>
                <w:b/>
              </w:rPr>
              <w:t>Tolerance</w:t>
            </w:r>
          </w:p>
        </w:tc>
      </w:tr>
      <w:tr w:rsidR="004E152A" w:rsidTr="004E152A">
        <w:tc>
          <w:tcPr>
            <w:tcW w:w="4788" w:type="dxa"/>
            <w:tcBorders>
              <w:top w:val="single" w:sz="12" w:space="0" w:color="auto"/>
            </w:tcBorders>
          </w:tcPr>
          <w:p w:rsidR="004E152A" w:rsidRDefault="004E152A" w:rsidP="00744E4E">
            <w:pPr>
              <w:pStyle w:val="I-Normalreg"/>
              <w:keepNext/>
              <w:spacing w:after="0"/>
              <w:ind w:left="0"/>
            </w:pPr>
            <w:r>
              <w:t>0 – 500</w:t>
            </w:r>
          </w:p>
        </w:tc>
        <w:tc>
          <w:tcPr>
            <w:tcW w:w="4788" w:type="dxa"/>
            <w:tcBorders>
              <w:top w:val="single" w:sz="12" w:space="0" w:color="auto"/>
            </w:tcBorders>
          </w:tcPr>
          <w:p w:rsidR="004E152A" w:rsidRDefault="004E152A" w:rsidP="00744E4E">
            <w:pPr>
              <w:pStyle w:val="I-Normalreg"/>
              <w:keepNext/>
              <w:spacing w:after="0"/>
              <w:ind w:left="0"/>
            </w:pPr>
            <w:r>
              <w:t>0</w:t>
            </w:r>
          </w:p>
        </w:tc>
      </w:tr>
      <w:tr w:rsidR="004E152A" w:rsidTr="004E152A">
        <w:tc>
          <w:tcPr>
            <w:tcW w:w="4788" w:type="dxa"/>
          </w:tcPr>
          <w:p w:rsidR="004E152A" w:rsidRDefault="004E152A" w:rsidP="00744E4E">
            <w:pPr>
              <w:pStyle w:val="I-Normalreg"/>
              <w:keepNext/>
              <w:spacing w:after="0"/>
              <w:ind w:left="0"/>
            </w:pPr>
            <w:r>
              <w:t>501 – 2 000</w:t>
            </w:r>
          </w:p>
        </w:tc>
        <w:tc>
          <w:tcPr>
            <w:tcW w:w="4788" w:type="dxa"/>
          </w:tcPr>
          <w:p w:rsidR="004E152A" w:rsidRDefault="004E152A" w:rsidP="00744E4E">
            <w:pPr>
              <w:pStyle w:val="I-Normalreg"/>
              <w:keepNext/>
              <w:spacing w:after="0"/>
              <w:ind w:left="0"/>
            </w:pPr>
            <w:r>
              <w:t>0</w:t>
            </w:r>
          </w:p>
        </w:tc>
      </w:tr>
      <w:tr w:rsidR="004E152A" w:rsidTr="004E152A">
        <w:tc>
          <w:tcPr>
            <w:tcW w:w="4788" w:type="dxa"/>
          </w:tcPr>
          <w:p w:rsidR="004E152A" w:rsidRDefault="004E152A" w:rsidP="00744E4E">
            <w:pPr>
              <w:pStyle w:val="I-Normalreg"/>
              <w:keepNext/>
              <w:spacing w:after="0"/>
              <w:ind w:left="0"/>
            </w:pPr>
            <w:r>
              <w:t>2 001 – 4 000</w:t>
            </w:r>
          </w:p>
        </w:tc>
        <w:tc>
          <w:tcPr>
            <w:tcW w:w="4788" w:type="dxa"/>
          </w:tcPr>
          <w:p w:rsidR="004E152A" w:rsidRDefault="004E152A" w:rsidP="00744E4E">
            <w:pPr>
              <w:pStyle w:val="I-Normalreg"/>
              <w:keepNext/>
              <w:spacing w:after="0"/>
              <w:ind w:left="0"/>
            </w:pPr>
            <w:r>
              <w:t>1</w:t>
            </w:r>
          </w:p>
        </w:tc>
      </w:tr>
      <w:tr w:rsidR="004E152A" w:rsidTr="004E152A">
        <w:tc>
          <w:tcPr>
            <w:tcW w:w="4788" w:type="dxa"/>
          </w:tcPr>
          <w:p w:rsidR="004E152A" w:rsidRDefault="004E152A" w:rsidP="004E152A">
            <w:pPr>
              <w:pStyle w:val="I-Normalreg"/>
              <w:spacing w:after="0"/>
              <w:ind w:left="0"/>
            </w:pPr>
            <w:r>
              <w:t>4 001 – 10 000</w:t>
            </w:r>
          </w:p>
        </w:tc>
        <w:tc>
          <w:tcPr>
            <w:tcW w:w="4788" w:type="dxa"/>
          </w:tcPr>
          <w:p w:rsidR="004E152A" w:rsidRPr="00AC5921" w:rsidRDefault="004E152A" w:rsidP="004E152A">
            <w:pPr>
              <w:pStyle w:val="I-Normalreg"/>
              <w:spacing w:after="0"/>
              <w:ind w:left="0"/>
              <w:rPr>
                <w:strike/>
                <w:u w:val="single"/>
              </w:rPr>
            </w:pPr>
            <w:r w:rsidRPr="00AC5921">
              <w:rPr>
                <w:b/>
                <w:strike/>
              </w:rPr>
              <w:t>1</w:t>
            </w:r>
            <w:r w:rsidR="00AC5921" w:rsidRPr="00AC5921">
              <w:rPr>
                <w:b/>
                <w:u w:val="single"/>
              </w:rPr>
              <w:t>2</w:t>
            </w:r>
          </w:p>
        </w:tc>
      </w:tr>
    </w:tbl>
    <w:p w:rsidR="004E152A" w:rsidRDefault="004E152A" w:rsidP="004E152A">
      <w:pPr>
        <w:pStyle w:val="I-Normalreg"/>
      </w:pPr>
    </w:p>
    <w:p w:rsidR="00AC5921" w:rsidRPr="00744E4E" w:rsidRDefault="00AC5921" w:rsidP="00AC5921">
      <w:r>
        <w:t xml:space="preserve">Mr. Cook, NIST, OWM, noted that the referenced language and tables have been in </w:t>
      </w:r>
      <w:r w:rsidRPr="00744E4E">
        <w:t xml:space="preserve">NCWM Publication 14 </w:t>
      </w:r>
      <w:r>
        <w:t xml:space="preserve">since 1994.  Mr. Cook also noted that </w:t>
      </w:r>
      <w:r w:rsidRPr="00744E4E">
        <w:t xml:space="preserve">NIST Handbook 44 </w:t>
      </w:r>
      <w:r w:rsidRPr="00C83B0B">
        <w:rPr>
          <w:u w:color="82C42A"/>
        </w:rPr>
        <w:t>paragraph</w:t>
      </w:r>
      <w:r w:rsidRPr="00C83B0B">
        <w:t xml:space="preserve"> </w:t>
      </w:r>
      <w:r>
        <w:t xml:space="preserve">T.N.3.5. Separate Main Elements, Load Transmitting </w:t>
      </w:r>
      <w:r w:rsidRPr="00744E4E">
        <w:t>Elements, Indicating Elements, Etc. applies a 0.7 times the applicable tolerance for separable main elements and including elements.  Rice Lake Weighing Systems, Inc., may be misinterpreting the language in NCWM Publication</w:t>
      </w:r>
      <w:r w:rsidR="00744E4E" w:rsidRPr="00744E4E">
        <w:t> </w:t>
      </w:r>
      <w:r w:rsidRPr="00744E4E">
        <w:t xml:space="preserve">14 by applying the full acceptance tolerances (1.0 factor) before truncating instead of applying the 0.7 factor to the </w:t>
      </w:r>
      <w:r w:rsidRPr="00C83B0B">
        <w:rPr>
          <w:u w:color="82C42A"/>
        </w:rPr>
        <w:t>acceptance</w:t>
      </w:r>
      <w:r w:rsidRPr="00C83B0B">
        <w:t xml:space="preserve"> </w:t>
      </w:r>
      <w:r w:rsidRPr="00744E4E">
        <w:t xml:space="preserve">tolerance before truncating.  To reduce the possibility of future misinterpretations of the language, Mr. Cook asked the </w:t>
      </w:r>
      <w:r w:rsidR="00744E4E" w:rsidRPr="00744E4E">
        <w:t>S</w:t>
      </w:r>
      <w:r w:rsidRPr="00634337">
        <w:t>ector</w:t>
      </w:r>
      <w:r w:rsidRPr="00744E4E">
        <w:t xml:space="preserve"> to review a proposal that he developed to amend DES Section 57. by including applicable </w:t>
      </w:r>
      <w:r w:rsidRPr="00651AE6">
        <w:t>NIST Handbook 44</w:t>
      </w:r>
      <w:r w:rsidRPr="00744E4E">
        <w:t xml:space="preserve"> code references, amending the table titled “Acceptance Tolerances” to include tolerance for both complete devices and main elements, and deleting the “Example” table.</w:t>
      </w:r>
    </w:p>
    <w:p w:rsidR="00AC5921" w:rsidRPr="00744E4E" w:rsidRDefault="00AC5921" w:rsidP="00AC5921">
      <w:pPr>
        <w:pStyle w:val="BoldHeading"/>
      </w:pPr>
      <w:r w:rsidRPr="00744E4E">
        <w:t>Conclusion:</w:t>
      </w:r>
    </w:p>
    <w:p w:rsidR="00AC5921" w:rsidRDefault="00AC5921" w:rsidP="00AC5921">
      <w:r w:rsidRPr="00744E4E">
        <w:t>The NTETC Weighing Sector reviewed a proposal submitted by Mr. Cook, NIST, OWM, to replace the entire contents of DES Sectio</w:t>
      </w:r>
      <w:r w:rsidR="00AB5499" w:rsidRPr="00744E4E">
        <w:t>n 57</w:t>
      </w:r>
      <w:r w:rsidRPr="00744E4E">
        <w:t xml:space="preserve"> and replace it with amended language and a new table thought to be less confusing.  The </w:t>
      </w:r>
      <w:r w:rsidR="00744E4E" w:rsidRPr="00744E4E">
        <w:t>S</w:t>
      </w:r>
      <w:r w:rsidRPr="00634337">
        <w:t>ector</w:t>
      </w:r>
      <w:r w:rsidRPr="00744E4E">
        <w:t xml:space="preserve"> agreed to recommend replacing the entire contents of </w:t>
      </w:r>
      <w:r w:rsidRPr="008B70D0">
        <w:t>NCWM Publication 14</w:t>
      </w:r>
      <w:r w:rsidR="00AB5499" w:rsidRPr="00744E4E">
        <w:t xml:space="preserve"> Section 57</w:t>
      </w:r>
      <w:r w:rsidRPr="00744E4E">
        <w:t xml:space="preserve"> with that which was proposed by Mr. Cook.  The recommended </w:t>
      </w:r>
      <w:r w:rsidRPr="00C83B0B">
        <w:rPr>
          <w:u w:color="82C42A"/>
        </w:rPr>
        <w:t>amended</w:t>
      </w:r>
      <w:r w:rsidRPr="00C83B0B">
        <w:t xml:space="preserve"> </w:t>
      </w:r>
      <w:r w:rsidRPr="00744E4E">
        <w:t xml:space="preserve">language and new table agreed upon by the </w:t>
      </w:r>
      <w:r w:rsidR="00744E4E" w:rsidRPr="00744E4E">
        <w:t>S</w:t>
      </w:r>
      <w:r w:rsidRPr="00634337">
        <w:t>ector</w:t>
      </w:r>
      <w:r w:rsidRPr="00744E4E">
        <w:t xml:space="preserve"> are</w:t>
      </w:r>
      <w:r w:rsidR="009375EF" w:rsidRPr="00744E4E">
        <w:t xml:space="preserve"> the</w:t>
      </w:r>
      <w:r w:rsidR="009375EF">
        <w:t xml:space="preserve"> following:</w:t>
      </w:r>
    </w:p>
    <w:p w:rsidR="00C43EDA" w:rsidRPr="009375EF" w:rsidRDefault="00C43EDA" w:rsidP="00C43EDA">
      <w:pPr>
        <w:pStyle w:val="BoldHeading"/>
        <w:rPr>
          <w:b w:val="0"/>
        </w:rPr>
      </w:pPr>
      <w:r w:rsidRPr="00651AE6">
        <w:rPr>
          <w:b w:val="0"/>
        </w:rPr>
        <w:lastRenderedPageBreak/>
        <w:t>NCWM Publication 14</w:t>
      </w:r>
      <w:r w:rsidRPr="009375EF">
        <w:rPr>
          <w:b w:val="0"/>
        </w:rPr>
        <w:t xml:space="preserve"> DES Section </w:t>
      </w:r>
      <w:r>
        <w:rPr>
          <w:b w:val="0"/>
        </w:rPr>
        <w:t>57</w:t>
      </w:r>
      <w:r w:rsidR="00AB5499">
        <w:rPr>
          <w:b w:val="0"/>
        </w:rPr>
        <w:t>.</w:t>
      </w:r>
    </w:p>
    <w:p w:rsidR="00C43EDA" w:rsidRDefault="00C43EDA" w:rsidP="009375EF">
      <w:pPr>
        <w:pStyle w:val="I-Normalreg"/>
        <w:spacing w:after="0"/>
        <w:rPr>
          <w:b/>
          <w:u w:val="single"/>
        </w:rPr>
      </w:pPr>
    </w:p>
    <w:p w:rsidR="009375EF" w:rsidRPr="009375EF" w:rsidRDefault="009375EF" w:rsidP="009375EF">
      <w:pPr>
        <w:pStyle w:val="I-Normalreg"/>
        <w:spacing w:after="0"/>
        <w:rPr>
          <w:b/>
          <w:u w:val="single"/>
        </w:rPr>
      </w:pPr>
      <w:r w:rsidRPr="009375EF">
        <w:rPr>
          <w:b/>
          <w:u w:val="single"/>
        </w:rPr>
        <w:t>Code References:</w:t>
      </w:r>
      <w:r>
        <w:rPr>
          <w:b/>
          <w:u w:val="single"/>
        </w:rPr>
        <w:t xml:space="preserve"> </w:t>
      </w:r>
      <w:r w:rsidRPr="009375EF">
        <w:rPr>
          <w:b/>
          <w:u w:val="single"/>
        </w:rPr>
        <w:t>G-T. 1. (e), T.N.3.2., T.N.3.5., and Table 6.</w:t>
      </w:r>
    </w:p>
    <w:p w:rsidR="009375EF" w:rsidRDefault="009375EF" w:rsidP="009375EF">
      <w:pPr>
        <w:pStyle w:val="I-Normalreg"/>
      </w:pPr>
      <w:r>
        <w:t xml:space="preserve">The acceptance tolerances for complete scales are shown below and apply to complete devices </w:t>
      </w:r>
      <w:r w:rsidRPr="009375EF">
        <w:rPr>
          <w:b/>
          <w:u w:val="single"/>
        </w:rPr>
        <w:t>and separable main elements</w:t>
      </w:r>
      <w:r>
        <w:t xml:space="preserve"> during type evaluation.</w:t>
      </w:r>
    </w:p>
    <w:tbl>
      <w:tblPr>
        <w:tblpPr w:leftFromText="187" w:rightFromText="187" w:vertAnchor="text" w:horzAnchor="margin" w:tblpX="101" w:tblpY="73"/>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545"/>
        <w:gridCol w:w="1800"/>
        <w:gridCol w:w="1890"/>
        <w:gridCol w:w="1800"/>
        <w:gridCol w:w="1515"/>
      </w:tblGrid>
      <w:tr w:rsidR="009375EF" w:rsidRPr="00696C24" w:rsidTr="00423ABA">
        <w:tc>
          <w:tcPr>
            <w:tcW w:w="9550" w:type="dxa"/>
            <w:gridSpan w:val="5"/>
            <w:tcBorders>
              <w:top w:val="single" w:sz="6" w:space="0" w:color="auto"/>
              <w:left w:val="single" w:sz="6" w:space="0" w:color="auto"/>
              <w:bottom w:val="single" w:sz="6" w:space="0" w:color="auto"/>
              <w:right w:val="single" w:sz="6" w:space="0" w:color="auto"/>
            </w:tcBorders>
          </w:tcPr>
          <w:p w:rsidR="009375EF" w:rsidRPr="00696C24" w:rsidRDefault="009375EF" w:rsidP="00423ABA">
            <w:pPr>
              <w:pStyle w:val="CodeCopy"/>
              <w:spacing w:after="0"/>
              <w:ind w:left="0"/>
              <w:jc w:val="center"/>
              <w:rPr>
                <w:b/>
              </w:rPr>
            </w:pPr>
            <w:r w:rsidRPr="00696C24">
              <w:rPr>
                <w:b/>
              </w:rPr>
              <w:t>Acceptance Tolerances</w:t>
            </w:r>
          </w:p>
          <w:p w:rsidR="009375EF" w:rsidRPr="00696C24" w:rsidRDefault="009375EF" w:rsidP="00423ABA">
            <w:pPr>
              <w:pStyle w:val="CodeCopy"/>
              <w:spacing w:after="0"/>
              <w:ind w:left="0"/>
              <w:jc w:val="center"/>
              <w:rPr>
                <w:b/>
              </w:rPr>
            </w:pPr>
            <w:r w:rsidRPr="00696C24">
              <w:rPr>
                <w:b/>
              </w:rPr>
              <w:t>(All values in this table are in scale divisions)</w:t>
            </w:r>
          </w:p>
        </w:tc>
      </w:tr>
      <w:tr w:rsidR="009375EF" w:rsidRPr="00696C24" w:rsidTr="00423ABA">
        <w:tc>
          <w:tcPr>
            <w:tcW w:w="9550" w:type="dxa"/>
            <w:gridSpan w:val="5"/>
            <w:tcBorders>
              <w:top w:val="single" w:sz="6" w:space="0" w:color="auto"/>
              <w:left w:val="single" w:sz="6" w:space="0" w:color="auto"/>
              <w:right w:val="single" w:sz="6" w:space="0" w:color="auto"/>
            </w:tcBorders>
          </w:tcPr>
          <w:p w:rsidR="009375EF" w:rsidRPr="00696C24" w:rsidRDefault="009375EF" w:rsidP="00423ABA">
            <w:pPr>
              <w:pStyle w:val="CodeCopy"/>
              <w:spacing w:after="0"/>
              <w:ind w:left="0"/>
              <w:jc w:val="center"/>
            </w:pPr>
            <w:r w:rsidRPr="00696C24">
              <w:t>Tolerance in scale divisions</w:t>
            </w:r>
          </w:p>
        </w:tc>
      </w:tr>
      <w:tr w:rsidR="009375EF" w:rsidRPr="00696C24" w:rsidTr="008B70D0">
        <w:tc>
          <w:tcPr>
            <w:tcW w:w="2545" w:type="dxa"/>
            <w:tcBorders>
              <w:left w:val="single" w:sz="6" w:space="0" w:color="auto"/>
            </w:tcBorders>
            <w:vAlign w:val="bottom"/>
          </w:tcPr>
          <w:p w:rsidR="009375EF" w:rsidRPr="009375EF" w:rsidRDefault="009375EF" w:rsidP="008B70D0">
            <w:pPr>
              <w:pStyle w:val="CodeCopy"/>
              <w:spacing w:after="0"/>
              <w:ind w:left="0"/>
              <w:jc w:val="center"/>
              <w:rPr>
                <w:b/>
                <w:u w:val="single"/>
              </w:rPr>
            </w:pPr>
            <w:r w:rsidRPr="009375EF">
              <w:rPr>
                <w:b/>
                <w:u w:val="single"/>
              </w:rPr>
              <w:t>Complete Devices</w:t>
            </w:r>
          </w:p>
        </w:tc>
        <w:tc>
          <w:tcPr>
            <w:tcW w:w="1800" w:type="dxa"/>
            <w:vAlign w:val="bottom"/>
          </w:tcPr>
          <w:p w:rsidR="009375EF" w:rsidRPr="00696C24" w:rsidRDefault="009375EF" w:rsidP="008B70D0">
            <w:pPr>
              <w:pStyle w:val="CodeCopy"/>
              <w:spacing w:after="0"/>
              <w:ind w:left="0"/>
              <w:jc w:val="center"/>
            </w:pPr>
            <w:r w:rsidRPr="00696C24">
              <w:t>0.5</w:t>
            </w:r>
          </w:p>
        </w:tc>
        <w:tc>
          <w:tcPr>
            <w:tcW w:w="1890" w:type="dxa"/>
            <w:vAlign w:val="bottom"/>
          </w:tcPr>
          <w:p w:rsidR="009375EF" w:rsidRPr="00696C24" w:rsidRDefault="009375EF" w:rsidP="008B70D0">
            <w:pPr>
              <w:pStyle w:val="CodeCopy"/>
              <w:spacing w:after="0"/>
              <w:ind w:left="0"/>
              <w:jc w:val="center"/>
            </w:pPr>
            <w:r w:rsidRPr="00696C24">
              <w:t>1.0</w:t>
            </w:r>
          </w:p>
        </w:tc>
        <w:tc>
          <w:tcPr>
            <w:tcW w:w="1800" w:type="dxa"/>
            <w:vAlign w:val="bottom"/>
          </w:tcPr>
          <w:p w:rsidR="009375EF" w:rsidRPr="00696C24" w:rsidRDefault="009375EF" w:rsidP="008B70D0">
            <w:pPr>
              <w:pStyle w:val="CodeCopy"/>
              <w:spacing w:after="0"/>
              <w:ind w:left="0"/>
              <w:jc w:val="center"/>
            </w:pPr>
            <w:r w:rsidRPr="00696C24">
              <w:t>1.5</w:t>
            </w:r>
          </w:p>
        </w:tc>
        <w:tc>
          <w:tcPr>
            <w:tcW w:w="1515" w:type="dxa"/>
            <w:tcBorders>
              <w:right w:val="single" w:sz="6" w:space="0" w:color="auto"/>
            </w:tcBorders>
            <w:vAlign w:val="bottom"/>
          </w:tcPr>
          <w:p w:rsidR="009375EF" w:rsidRPr="00696C24" w:rsidRDefault="009375EF" w:rsidP="008B70D0">
            <w:pPr>
              <w:pStyle w:val="CodeCopy"/>
              <w:spacing w:after="0"/>
              <w:ind w:left="0"/>
              <w:jc w:val="center"/>
            </w:pPr>
            <w:r w:rsidRPr="00696C24">
              <w:t>2.5</w:t>
            </w:r>
          </w:p>
        </w:tc>
      </w:tr>
      <w:tr w:rsidR="009375EF" w:rsidRPr="00696C24" w:rsidTr="008B70D0">
        <w:tc>
          <w:tcPr>
            <w:tcW w:w="2545" w:type="dxa"/>
            <w:tcBorders>
              <w:left w:val="single" w:sz="6" w:space="0" w:color="auto"/>
            </w:tcBorders>
            <w:vAlign w:val="bottom"/>
          </w:tcPr>
          <w:p w:rsidR="009375EF" w:rsidRPr="009375EF" w:rsidRDefault="009375EF" w:rsidP="008B70D0">
            <w:pPr>
              <w:pStyle w:val="CodeCopy"/>
              <w:spacing w:after="0"/>
              <w:ind w:left="0"/>
              <w:jc w:val="center"/>
              <w:rPr>
                <w:b/>
                <w:u w:val="single"/>
              </w:rPr>
            </w:pPr>
            <w:r>
              <w:rPr>
                <w:b/>
                <w:u w:val="single"/>
              </w:rPr>
              <w:t>Separable Main Elements</w:t>
            </w:r>
            <w:r w:rsidRPr="009375EF">
              <w:rPr>
                <w:b/>
                <w:u w:val="single"/>
                <w:vertAlign w:val="superscript"/>
              </w:rPr>
              <w:t>1</w:t>
            </w:r>
          </w:p>
        </w:tc>
        <w:tc>
          <w:tcPr>
            <w:tcW w:w="1800" w:type="dxa"/>
            <w:vAlign w:val="bottom"/>
          </w:tcPr>
          <w:p w:rsidR="009375EF" w:rsidRPr="009375EF" w:rsidRDefault="009375EF" w:rsidP="008B70D0">
            <w:pPr>
              <w:pStyle w:val="CodeCopy"/>
              <w:spacing w:after="0"/>
              <w:ind w:left="0"/>
              <w:jc w:val="center"/>
              <w:rPr>
                <w:b/>
                <w:u w:val="single"/>
              </w:rPr>
            </w:pPr>
            <w:r w:rsidRPr="009375EF">
              <w:rPr>
                <w:b/>
                <w:u w:val="single"/>
              </w:rPr>
              <w:t>0.35</w:t>
            </w:r>
          </w:p>
        </w:tc>
        <w:tc>
          <w:tcPr>
            <w:tcW w:w="1890" w:type="dxa"/>
            <w:vAlign w:val="bottom"/>
          </w:tcPr>
          <w:p w:rsidR="009375EF" w:rsidRPr="009375EF" w:rsidRDefault="009375EF" w:rsidP="008B70D0">
            <w:pPr>
              <w:pStyle w:val="CodeCopy"/>
              <w:spacing w:after="0"/>
              <w:ind w:left="0"/>
              <w:jc w:val="center"/>
              <w:rPr>
                <w:b/>
                <w:u w:val="single"/>
              </w:rPr>
            </w:pPr>
            <w:r w:rsidRPr="009375EF">
              <w:rPr>
                <w:b/>
                <w:u w:val="single"/>
              </w:rPr>
              <w:t>0.7</w:t>
            </w:r>
          </w:p>
        </w:tc>
        <w:tc>
          <w:tcPr>
            <w:tcW w:w="1800" w:type="dxa"/>
            <w:vAlign w:val="bottom"/>
          </w:tcPr>
          <w:p w:rsidR="009375EF" w:rsidRPr="009375EF" w:rsidRDefault="009375EF" w:rsidP="008B70D0">
            <w:pPr>
              <w:pStyle w:val="CodeCopy"/>
              <w:spacing w:after="0"/>
              <w:ind w:left="0"/>
              <w:jc w:val="center"/>
              <w:rPr>
                <w:b/>
                <w:u w:val="single"/>
              </w:rPr>
            </w:pPr>
            <w:r w:rsidRPr="009375EF">
              <w:rPr>
                <w:b/>
                <w:u w:val="single"/>
              </w:rPr>
              <w:t>1.05</w:t>
            </w:r>
          </w:p>
        </w:tc>
        <w:tc>
          <w:tcPr>
            <w:tcW w:w="1515" w:type="dxa"/>
            <w:tcBorders>
              <w:right w:val="single" w:sz="6" w:space="0" w:color="auto"/>
            </w:tcBorders>
            <w:vAlign w:val="bottom"/>
          </w:tcPr>
          <w:p w:rsidR="009375EF" w:rsidRPr="009375EF" w:rsidRDefault="009375EF" w:rsidP="008B70D0">
            <w:pPr>
              <w:pStyle w:val="CodeCopy"/>
              <w:spacing w:after="0"/>
              <w:ind w:left="0"/>
              <w:jc w:val="center"/>
              <w:rPr>
                <w:b/>
                <w:u w:val="single"/>
              </w:rPr>
            </w:pPr>
            <w:r w:rsidRPr="009375EF">
              <w:rPr>
                <w:b/>
                <w:u w:val="single"/>
              </w:rPr>
              <w:t>1.75</w:t>
            </w:r>
          </w:p>
        </w:tc>
      </w:tr>
      <w:tr w:rsidR="009375EF" w:rsidRPr="00696C24" w:rsidTr="008B70D0">
        <w:tc>
          <w:tcPr>
            <w:tcW w:w="2545" w:type="dxa"/>
            <w:tcBorders>
              <w:left w:val="single" w:sz="6" w:space="0" w:color="auto"/>
            </w:tcBorders>
            <w:vAlign w:val="bottom"/>
          </w:tcPr>
          <w:p w:rsidR="009375EF" w:rsidRPr="009375EF" w:rsidRDefault="009375EF" w:rsidP="008B70D0">
            <w:pPr>
              <w:pStyle w:val="CodeCopy"/>
              <w:spacing w:after="0"/>
              <w:ind w:left="0"/>
              <w:jc w:val="center"/>
              <w:rPr>
                <w:b/>
                <w:u w:val="single"/>
              </w:rPr>
            </w:pPr>
            <w:r>
              <w:rPr>
                <w:b/>
                <w:u w:val="single"/>
              </w:rPr>
              <w:t>Separable Indications w/o Expanded Resolution</w:t>
            </w:r>
          </w:p>
        </w:tc>
        <w:tc>
          <w:tcPr>
            <w:tcW w:w="1800" w:type="dxa"/>
            <w:vAlign w:val="bottom"/>
          </w:tcPr>
          <w:p w:rsidR="009375EF" w:rsidRPr="009375EF" w:rsidRDefault="009375EF" w:rsidP="008B70D0">
            <w:pPr>
              <w:pStyle w:val="CodeCopy"/>
              <w:spacing w:after="0"/>
              <w:ind w:left="0"/>
              <w:jc w:val="center"/>
              <w:rPr>
                <w:b/>
                <w:u w:val="single"/>
              </w:rPr>
            </w:pPr>
            <w:r w:rsidRPr="009375EF">
              <w:rPr>
                <w:b/>
                <w:u w:val="single"/>
              </w:rPr>
              <w:t>0</w:t>
            </w:r>
          </w:p>
        </w:tc>
        <w:tc>
          <w:tcPr>
            <w:tcW w:w="1890" w:type="dxa"/>
            <w:vAlign w:val="bottom"/>
          </w:tcPr>
          <w:p w:rsidR="009375EF" w:rsidRPr="009375EF" w:rsidRDefault="009375EF" w:rsidP="008B70D0">
            <w:pPr>
              <w:pStyle w:val="CodeCopy"/>
              <w:spacing w:after="0"/>
              <w:ind w:left="0"/>
              <w:jc w:val="center"/>
              <w:rPr>
                <w:b/>
                <w:u w:val="single"/>
              </w:rPr>
            </w:pPr>
            <w:r w:rsidRPr="009375EF">
              <w:rPr>
                <w:b/>
                <w:u w:val="single"/>
              </w:rPr>
              <w:t>0</w:t>
            </w:r>
          </w:p>
        </w:tc>
        <w:tc>
          <w:tcPr>
            <w:tcW w:w="1800" w:type="dxa"/>
            <w:vAlign w:val="bottom"/>
          </w:tcPr>
          <w:p w:rsidR="009375EF" w:rsidRPr="009375EF" w:rsidRDefault="009375EF" w:rsidP="008B70D0">
            <w:pPr>
              <w:pStyle w:val="CodeCopy"/>
              <w:spacing w:after="0"/>
              <w:ind w:left="0"/>
              <w:jc w:val="center"/>
              <w:rPr>
                <w:b/>
                <w:u w:val="single"/>
              </w:rPr>
            </w:pPr>
            <w:r w:rsidRPr="009375EF">
              <w:rPr>
                <w:b/>
                <w:u w:val="single"/>
              </w:rPr>
              <w:t>1</w:t>
            </w:r>
          </w:p>
        </w:tc>
        <w:tc>
          <w:tcPr>
            <w:tcW w:w="1515" w:type="dxa"/>
            <w:tcBorders>
              <w:right w:val="single" w:sz="6" w:space="0" w:color="auto"/>
            </w:tcBorders>
            <w:vAlign w:val="bottom"/>
          </w:tcPr>
          <w:p w:rsidR="009375EF" w:rsidRPr="009375EF" w:rsidRDefault="009375EF" w:rsidP="008B70D0">
            <w:pPr>
              <w:pStyle w:val="CodeCopy"/>
              <w:spacing w:after="0"/>
              <w:ind w:left="0"/>
              <w:jc w:val="center"/>
              <w:rPr>
                <w:b/>
                <w:u w:val="single"/>
              </w:rPr>
            </w:pPr>
            <w:r w:rsidRPr="009375EF">
              <w:rPr>
                <w:b/>
                <w:u w:val="single"/>
              </w:rPr>
              <w:t>1</w:t>
            </w:r>
          </w:p>
        </w:tc>
      </w:tr>
      <w:tr w:rsidR="009375EF" w:rsidRPr="00696C24" w:rsidTr="00423ABA">
        <w:tc>
          <w:tcPr>
            <w:tcW w:w="2545" w:type="dxa"/>
            <w:tcBorders>
              <w:left w:val="single" w:sz="6" w:space="0" w:color="auto"/>
            </w:tcBorders>
          </w:tcPr>
          <w:p w:rsidR="009375EF" w:rsidRPr="008B70D0" w:rsidRDefault="009375EF" w:rsidP="00423ABA">
            <w:pPr>
              <w:pStyle w:val="CodeCopy"/>
              <w:spacing w:after="0"/>
              <w:ind w:left="0"/>
              <w:jc w:val="center"/>
              <w:rPr>
                <w:b/>
              </w:rPr>
            </w:pPr>
            <w:r w:rsidRPr="008B70D0">
              <w:rPr>
                <w:b/>
              </w:rPr>
              <w:t>Class</w:t>
            </w:r>
          </w:p>
        </w:tc>
        <w:tc>
          <w:tcPr>
            <w:tcW w:w="7005" w:type="dxa"/>
            <w:gridSpan w:val="4"/>
            <w:tcBorders>
              <w:right w:val="single" w:sz="6" w:space="0" w:color="auto"/>
            </w:tcBorders>
          </w:tcPr>
          <w:p w:rsidR="009375EF" w:rsidRPr="008B70D0" w:rsidRDefault="009375EF" w:rsidP="00423ABA">
            <w:pPr>
              <w:pStyle w:val="CodeCopy"/>
              <w:spacing w:after="0"/>
              <w:ind w:left="0"/>
              <w:jc w:val="center"/>
              <w:rPr>
                <w:b/>
              </w:rPr>
            </w:pPr>
            <w:r w:rsidRPr="008B70D0">
              <w:rPr>
                <w:b/>
              </w:rPr>
              <w:t>Test Load</w:t>
            </w:r>
          </w:p>
        </w:tc>
      </w:tr>
      <w:tr w:rsidR="009375EF" w:rsidRPr="00696C24" w:rsidTr="008B70D0">
        <w:trPr>
          <w:trHeight w:val="269"/>
        </w:trPr>
        <w:tc>
          <w:tcPr>
            <w:tcW w:w="2545" w:type="dxa"/>
            <w:tcBorders>
              <w:left w:val="single" w:sz="6" w:space="0" w:color="auto"/>
            </w:tcBorders>
            <w:vAlign w:val="bottom"/>
          </w:tcPr>
          <w:p w:rsidR="009375EF" w:rsidRPr="00696C24" w:rsidRDefault="009375EF" w:rsidP="008B70D0">
            <w:pPr>
              <w:pStyle w:val="CodeCopy"/>
              <w:tabs>
                <w:tab w:val="right" w:pos="1350"/>
              </w:tabs>
              <w:spacing w:after="0"/>
              <w:ind w:left="0"/>
              <w:jc w:val="center"/>
            </w:pPr>
            <w:r w:rsidRPr="00696C24">
              <w:t>I</w:t>
            </w:r>
          </w:p>
        </w:tc>
        <w:tc>
          <w:tcPr>
            <w:tcW w:w="1800" w:type="dxa"/>
            <w:vAlign w:val="bottom"/>
          </w:tcPr>
          <w:p w:rsidR="009375EF" w:rsidRPr="00696C24" w:rsidRDefault="009375EF" w:rsidP="008B70D0">
            <w:pPr>
              <w:pStyle w:val="CodeCopy"/>
              <w:spacing w:after="0"/>
              <w:ind w:left="-18"/>
              <w:jc w:val="center"/>
            </w:pPr>
            <w:r w:rsidRPr="00696C24">
              <w:t>0 - 50 000</w:t>
            </w:r>
          </w:p>
        </w:tc>
        <w:tc>
          <w:tcPr>
            <w:tcW w:w="1890" w:type="dxa"/>
            <w:vAlign w:val="bottom"/>
          </w:tcPr>
          <w:p w:rsidR="009375EF" w:rsidRPr="00696C24" w:rsidRDefault="009375EF" w:rsidP="008B70D0">
            <w:pPr>
              <w:pStyle w:val="CodeCopy"/>
              <w:spacing w:after="0"/>
              <w:ind w:left="-18"/>
              <w:jc w:val="center"/>
            </w:pPr>
            <w:r w:rsidRPr="00696C24">
              <w:t>50 001 - 200 000</w:t>
            </w:r>
          </w:p>
        </w:tc>
        <w:tc>
          <w:tcPr>
            <w:tcW w:w="1800" w:type="dxa"/>
            <w:vAlign w:val="bottom"/>
          </w:tcPr>
          <w:p w:rsidR="009375EF" w:rsidRPr="00696C24" w:rsidRDefault="009375EF" w:rsidP="008B70D0">
            <w:pPr>
              <w:pStyle w:val="CodeCopy"/>
              <w:spacing w:after="0"/>
              <w:ind w:left="-18"/>
              <w:jc w:val="center"/>
            </w:pPr>
            <w:r w:rsidRPr="00696C24">
              <w:t>200 0001 +</w:t>
            </w:r>
          </w:p>
        </w:tc>
        <w:tc>
          <w:tcPr>
            <w:tcW w:w="1515" w:type="dxa"/>
            <w:tcBorders>
              <w:right w:val="single" w:sz="6" w:space="0" w:color="auto"/>
            </w:tcBorders>
            <w:vAlign w:val="bottom"/>
          </w:tcPr>
          <w:p w:rsidR="009375EF" w:rsidRPr="00696C24" w:rsidRDefault="009375EF" w:rsidP="008B70D0">
            <w:pPr>
              <w:pStyle w:val="CodeCopy"/>
              <w:spacing w:after="0"/>
              <w:ind w:left="-18"/>
              <w:jc w:val="center"/>
            </w:pPr>
          </w:p>
        </w:tc>
      </w:tr>
      <w:tr w:rsidR="009375EF" w:rsidRPr="00696C24" w:rsidTr="008B70D0">
        <w:tc>
          <w:tcPr>
            <w:tcW w:w="2545" w:type="dxa"/>
            <w:tcBorders>
              <w:left w:val="single" w:sz="6" w:space="0" w:color="auto"/>
            </w:tcBorders>
            <w:vAlign w:val="bottom"/>
          </w:tcPr>
          <w:p w:rsidR="009375EF" w:rsidRPr="00696C24" w:rsidRDefault="009375EF" w:rsidP="008B70D0">
            <w:pPr>
              <w:pStyle w:val="CodeCopy"/>
              <w:tabs>
                <w:tab w:val="right" w:pos="1350"/>
              </w:tabs>
              <w:spacing w:after="0"/>
              <w:ind w:left="0"/>
              <w:jc w:val="center"/>
            </w:pPr>
            <w:r w:rsidRPr="00696C24">
              <w:t>II</w:t>
            </w:r>
          </w:p>
        </w:tc>
        <w:tc>
          <w:tcPr>
            <w:tcW w:w="1800" w:type="dxa"/>
            <w:vAlign w:val="bottom"/>
          </w:tcPr>
          <w:p w:rsidR="009375EF" w:rsidRPr="00696C24" w:rsidRDefault="009375EF" w:rsidP="008B70D0">
            <w:pPr>
              <w:pStyle w:val="CodeCopy"/>
              <w:spacing w:after="0"/>
              <w:ind w:left="-18"/>
              <w:jc w:val="center"/>
            </w:pPr>
            <w:r w:rsidRPr="00696C24">
              <w:t>0 - 5 000</w:t>
            </w:r>
          </w:p>
        </w:tc>
        <w:tc>
          <w:tcPr>
            <w:tcW w:w="1890" w:type="dxa"/>
            <w:vAlign w:val="bottom"/>
          </w:tcPr>
          <w:p w:rsidR="009375EF" w:rsidRPr="00696C24" w:rsidRDefault="009375EF" w:rsidP="008B70D0">
            <w:pPr>
              <w:pStyle w:val="CodeCopy"/>
              <w:spacing w:after="0"/>
              <w:ind w:left="-18"/>
              <w:jc w:val="center"/>
            </w:pPr>
            <w:r w:rsidRPr="00696C24">
              <w:t>5 001 - 20 000</w:t>
            </w:r>
          </w:p>
        </w:tc>
        <w:tc>
          <w:tcPr>
            <w:tcW w:w="1800" w:type="dxa"/>
            <w:vAlign w:val="bottom"/>
          </w:tcPr>
          <w:p w:rsidR="009375EF" w:rsidRPr="00696C24" w:rsidRDefault="009375EF" w:rsidP="008B70D0">
            <w:pPr>
              <w:pStyle w:val="CodeCopy"/>
              <w:spacing w:after="0"/>
              <w:ind w:left="-18"/>
              <w:jc w:val="center"/>
            </w:pPr>
            <w:r w:rsidRPr="00696C24">
              <w:t>20 0001 +</w:t>
            </w:r>
          </w:p>
        </w:tc>
        <w:tc>
          <w:tcPr>
            <w:tcW w:w="1515" w:type="dxa"/>
            <w:tcBorders>
              <w:right w:val="single" w:sz="6" w:space="0" w:color="auto"/>
            </w:tcBorders>
            <w:vAlign w:val="bottom"/>
          </w:tcPr>
          <w:p w:rsidR="009375EF" w:rsidRPr="00696C24" w:rsidRDefault="009375EF" w:rsidP="008B70D0">
            <w:pPr>
              <w:pStyle w:val="CodeCopy"/>
              <w:spacing w:after="0"/>
              <w:ind w:left="-18"/>
              <w:jc w:val="center"/>
            </w:pPr>
          </w:p>
        </w:tc>
      </w:tr>
      <w:tr w:rsidR="009375EF" w:rsidRPr="00696C24" w:rsidTr="008B70D0">
        <w:tc>
          <w:tcPr>
            <w:tcW w:w="2545" w:type="dxa"/>
            <w:tcBorders>
              <w:left w:val="single" w:sz="6" w:space="0" w:color="auto"/>
            </w:tcBorders>
            <w:vAlign w:val="bottom"/>
          </w:tcPr>
          <w:p w:rsidR="009375EF" w:rsidRPr="00696C24" w:rsidRDefault="009375EF" w:rsidP="008B70D0">
            <w:pPr>
              <w:pStyle w:val="CodeCopy"/>
              <w:tabs>
                <w:tab w:val="right" w:pos="1350"/>
              </w:tabs>
              <w:spacing w:after="0"/>
              <w:ind w:left="0"/>
              <w:jc w:val="center"/>
            </w:pPr>
            <w:r w:rsidRPr="00696C24">
              <w:t>III</w:t>
            </w:r>
          </w:p>
        </w:tc>
        <w:tc>
          <w:tcPr>
            <w:tcW w:w="1800" w:type="dxa"/>
            <w:vAlign w:val="bottom"/>
          </w:tcPr>
          <w:p w:rsidR="009375EF" w:rsidRPr="00696C24" w:rsidRDefault="009375EF" w:rsidP="008B70D0">
            <w:pPr>
              <w:pStyle w:val="CodeCopy"/>
              <w:spacing w:after="0"/>
              <w:ind w:left="-18"/>
              <w:jc w:val="center"/>
            </w:pPr>
            <w:r w:rsidRPr="00696C24">
              <w:t>0 - 500</w:t>
            </w:r>
          </w:p>
        </w:tc>
        <w:tc>
          <w:tcPr>
            <w:tcW w:w="1890" w:type="dxa"/>
            <w:vAlign w:val="bottom"/>
          </w:tcPr>
          <w:p w:rsidR="009375EF" w:rsidRPr="00696C24" w:rsidRDefault="009375EF" w:rsidP="008B70D0">
            <w:pPr>
              <w:pStyle w:val="CodeCopy"/>
              <w:spacing w:after="0"/>
              <w:ind w:left="-18"/>
              <w:jc w:val="center"/>
            </w:pPr>
            <w:r w:rsidRPr="00696C24">
              <w:t>501 - 2 000</w:t>
            </w:r>
          </w:p>
        </w:tc>
        <w:tc>
          <w:tcPr>
            <w:tcW w:w="1800" w:type="dxa"/>
            <w:vAlign w:val="bottom"/>
          </w:tcPr>
          <w:p w:rsidR="009375EF" w:rsidRPr="00696C24" w:rsidRDefault="009375EF" w:rsidP="008B70D0">
            <w:pPr>
              <w:pStyle w:val="CodeCopy"/>
              <w:spacing w:after="0"/>
              <w:ind w:left="-18"/>
              <w:jc w:val="center"/>
            </w:pPr>
            <w:r w:rsidRPr="00696C24">
              <w:t>2 001 - 4 000</w:t>
            </w:r>
          </w:p>
        </w:tc>
        <w:tc>
          <w:tcPr>
            <w:tcW w:w="1515" w:type="dxa"/>
            <w:tcBorders>
              <w:right w:val="single" w:sz="6" w:space="0" w:color="auto"/>
            </w:tcBorders>
            <w:vAlign w:val="bottom"/>
          </w:tcPr>
          <w:p w:rsidR="009375EF" w:rsidRPr="00696C24" w:rsidRDefault="009375EF" w:rsidP="008B70D0">
            <w:pPr>
              <w:pStyle w:val="CodeCopy"/>
              <w:spacing w:after="0"/>
              <w:ind w:left="-18"/>
              <w:jc w:val="center"/>
            </w:pPr>
            <w:r w:rsidRPr="00696C24">
              <w:t>4 001 +</w:t>
            </w:r>
          </w:p>
        </w:tc>
      </w:tr>
      <w:tr w:rsidR="009375EF" w:rsidRPr="00696C24" w:rsidTr="008B70D0">
        <w:tc>
          <w:tcPr>
            <w:tcW w:w="2545" w:type="dxa"/>
            <w:tcBorders>
              <w:left w:val="single" w:sz="6" w:space="0" w:color="auto"/>
              <w:bottom w:val="single" w:sz="4" w:space="0" w:color="auto"/>
            </w:tcBorders>
            <w:vAlign w:val="bottom"/>
          </w:tcPr>
          <w:p w:rsidR="009375EF" w:rsidRPr="00696C24" w:rsidRDefault="009375EF" w:rsidP="008B70D0">
            <w:pPr>
              <w:pStyle w:val="CodeCopy"/>
              <w:tabs>
                <w:tab w:val="right" w:pos="1350"/>
              </w:tabs>
              <w:spacing w:after="0"/>
              <w:ind w:left="0"/>
              <w:jc w:val="center"/>
            </w:pPr>
            <w:r w:rsidRPr="00696C24">
              <w:t>IIII</w:t>
            </w:r>
          </w:p>
        </w:tc>
        <w:tc>
          <w:tcPr>
            <w:tcW w:w="1800" w:type="dxa"/>
            <w:tcBorders>
              <w:bottom w:val="single" w:sz="4" w:space="0" w:color="auto"/>
            </w:tcBorders>
            <w:vAlign w:val="bottom"/>
          </w:tcPr>
          <w:p w:rsidR="009375EF" w:rsidRPr="00696C24" w:rsidRDefault="009375EF" w:rsidP="008B70D0">
            <w:pPr>
              <w:pStyle w:val="CodeCopy"/>
              <w:spacing w:after="0"/>
              <w:ind w:left="-18"/>
              <w:jc w:val="center"/>
            </w:pPr>
            <w:r w:rsidRPr="00696C24">
              <w:t>0 - 50</w:t>
            </w:r>
          </w:p>
        </w:tc>
        <w:tc>
          <w:tcPr>
            <w:tcW w:w="1890" w:type="dxa"/>
            <w:tcBorders>
              <w:bottom w:val="single" w:sz="4" w:space="0" w:color="auto"/>
            </w:tcBorders>
            <w:vAlign w:val="bottom"/>
          </w:tcPr>
          <w:p w:rsidR="009375EF" w:rsidRPr="00696C24" w:rsidRDefault="009375EF" w:rsidP="008B70D0">
            <w:pPr>
              <w:pStyle w:val="CodeCopy"/>
              <w:spacing w:after="0"/>
              <w:ind w:left="-18"/>
              <w:jc w:val="center"/>
            </w:pPr>
            <w:r w:rsidRPr="00696C24">
              <w:t>51 - 200</w:t>
            </w:r>
          </w:p>
        </w:tc>
        <w:tc>
          <w:tcPr>
            <w:tcW w:w="1800" w:type="dxa"/>
            <w:vAlign w:val="bottom"/>
          </w:tcPr>
          <w:p w:rsidR="009375EF" w:rsidRPr="00696C24" w:rsidRDefault="009375EF" w:rsidP="008B70D0">
            <w:pPr>
              <w:pStyle w:val="CodeCopy"/>
              <w:spacing w:after="0"/>
              <w:ind w:left="-18"/>
              <w:jc w:val="center"/>
            </w:pPr>
            <w:r w:rsidRPr="00696C24">
              <w:t>201 - 400</w:t>
            </w:r>
          </w:p>
        </w:tc>
        <w:tc>
          <w:tcPr>
            <w:tcW w:w="1515" w:type="dxa"/>
            <w:tcBorders>
              <w:right w:val="single" w:sz="6" w:space="0" w:color="auto"/>
            </w:tcBorders>
            <w:vAlign w:val="bottom"/>
          </w:tcPr>
          <w:p w:rsidR="009375EF" w:rsidRPr="00696C24" w:rsidRDefault="009375EF" w:rsidP="008B70D0">
            <w:pPr>
              <w:pStyle w:val="CodeCopy"/>
              <w:spacing w:after="0"/>
              <w:ind w:left="-18"/>
              <w:jc w:val="center"/>
            </w:pPr>
            <w:r w:rsidRPr="00696C24">
              <w:t>401 +</w:t>
            </w:r>
          </w:p>
        </w:tc>
      </w:tr>
      <w:tr w:rsidR="009375EF" w:rsidRPr="00696C24" w:rsidTr="008B70D0">
        <w:trPr>
          <w:trHeight w:val="466"/>
        </w:trPr>
        <w:tc>
          <w:tcPr>
            <w:tcW w:w="2545" w:type="dxa"/>
            <w:tcBorders>
              <w:left w:val="single" w:sz="6" w:space="0" w:color="auto"/>
            </w:tcBorders>
            <w:vAlign w:val="bottom"/>
          </w:tcPr>
          <w:p w:rsidR="009375EF" w:rsidRPr="00C83B0B" w:rsidRDefault="009375EF" w:rsidP="008B70D0">
            <w:pPr>
              <w:pStyle w:val="CodeCopy"/>
              <w:tabs>
                <w:tab w:val="right" w:pos="1350"/>
              </w:tabs>
              <w:spacing w:after="0"/>
              <w:ind w:left="0"/>
              <w:jc w:val="center"/>
            </w:pPr>
            <w:r w:rsidRPr="00C83B0B">
              <w:rPr>
                <w:u w:color="82C42A"/>
              </w:rPr>
              <w:t>III L</w:t>
            </w:r>
          </w:p>
        </w:tc>
        <w:tc>
          <w:tcPr>
            <w:tcW w:w="1800" w:type="dxa"/>
            <w:vAlign w:val="bottom"/>
          </w:tcPr>
          <w:p w:rsidR="009375EF" w:rsidRPr="00696C24" w:rsidRDefault="009375EF" w:rsidP="008B70D0">
            <w:pPr>
              <w:pStyle w:val="CodeCopy"/>
              <w:spacing w:after="0"/>
              <w:ind w:left="-18"/>
              <w:jc w:val="center"/>
            </w:pPr>
            <w:r w:rsidRPr="00696C24">
              <w:t>0 - 500</w:t>
            </w:r>
          </w:p>
        </w:tc>
        <w:tc>
          <w:tcPr>
            <w:tcW w:w="1890" w:type="dxa"/>
            <w:vAlign w:val="bottom"/>
          </w:tcPr>
          <w:p w:rsidR="009375EF" w:rsidRPr="00696C24" w:rsidRDefault="009375EF" w:rsidP="008B70D0">
            <w:pPr>
              <w:pStyle w:val="CodeCopy"/>
              <w:spacing w:after="0"/>
              <w:ind w:left="-18"/>
              <w:jc w:val="center"/>
            </w:pPr>
            <w:r w:rsidRPr="00696C24">
              <w:t>501 - 1 000</w:t>
            </w:r>
          </w:p>
        </w:tc>
        <w:tc>
          <w:tcPr>
            <w:tcW w:w="3315" w:type="dxa"/>
            <w:gridSpan w:val="2"/>
            <w:tcBorders>
              <w:right w:val="single" w:sz="6" w:space="0" w:color="auto"/>
            </w:tcBorders>
            <w:vAlign w:val="bottom"/>
          </w:tcPr>
          <w:p w:rsidR="006E34C2" w:rsidRDefault="006E34C2" w:rsidP="008B70D0">
            <w:pPr>
              <w:pStyle w:val="CodeCopy"/>
              <w:spacing w:after="0"/>
              <w:ind w:left="-18"/>
              <w:jc w:val="center"/>
            </w:pPr>
            <w:r>
              <w:t xml:space="preserve">(Add </w:t>
            </w:r>
            <w:r w:rsidR="00423ABA">
              <w:t>1/2 </w:t>
            </w:r>
            <w:r>
              <w:t>d for each additional 500</w:t>
            </w:r>
            <w:r w:rsidR="00423ABA">
              <w:t> </w:t>
            </w:r>
            <w:r>
              <w:t>d</w:t>
            </w:r>
          </w:p>
          <w:p w:rsidR="009375EF" w:rsidRPr="00696C24" w:rsidRDefault="009375EF" w:rsidP="008B70D0">
            <w:pPr>
              <w:pStyle w:val="CodeCopy"/>
              <w:spacing w:after="0"/>
              <w:ind w:left="-18"/>
              <w:jc w:val="center"/>
            </w:pPr>
            <w:r w:rsidRPr="006E34C2">
              <w:t>or fraction thereof)</w:t>
            </w:r>
          </w:p>
        </w:tc>
      </w:tr>
      <w:tr w:rsidR="00423ABA" w:rsidRPr="00696C24" w:rsidTr="00423ABA">
        <w:trPr>
          <w:trHeight w:val="466"/>
        </w:trPr>
        <w:tc>
          <w:tcPr>
            <w:tcW w:w="9550" w:type="dxa"/>
            <w:gridSpan w:val="5"/>
            <w:tcBorders>
              <w:left w:val="single" w:sz="6" w:space="0" w:color="auto"/>
              <w:bottom w:val="single" w:sz="6" w:space="0" w:color="auto"/>
              <w:right w:val="single" w:sz="6" w:space="0" w:color="auto"/>
            </w:tcBorders>
          </w:tcPr>
          <w:p w:rsidR="00423ABA" w:rsidRDefault="00423ABA" w:rsidP="00423ABA">
            <w:pPr>
              <w:pStyle w:val="I-Normalreg"/>
              <w:spacing w:after="0"/>
              <w:ind w:left="274" w:hanging="274"/>
            </w:pPr>
            <w:r w:rsidRPr="009375EF">
              <w:rPr>
                <w:vertAlign w:val="superscript"/>
              </w:rPr>
              <w:t>1</w:t>
            </w:r>
            <w:r>
              <w:tab/>
              <w:t xml:space="preserve">When main elements (indicating elements and weighing/load-receiving elements) are tested separately, the tolerance applied to all laboratory tests (influence factors and permanence tests) are 0.7 times the </w:t>
            </w:r>
            <w:r w:rsidRPr="00C83B0B">
              <w:rPr>
                <w:u w:color="82C42A"/>
              </w:rPr>
              <w:t>acceptance</w:t>
            </w:r>
            <w:r w:rsidRPr="00C83B0B">
              <w:t xml:space="preserve"> </w:t>
            </w:r>
            <w:r>
              <w:t>tolerance for complete scales.</w:t>
            </w:r>
          </w:p>
        </w:tc>
      </w:tr>
    </w:tbl>
    <w:p w:rsidR="006E34C2" w:rsidRDefault="006E34C2" w:rsidP="006E34C2">
      <w:pPr>
        <w:pStyle w:val="I-Normalreg"/>
        <w:spacing w:after="0"/>
        <w:ind w:left="720" w:hanging="270"/>
        <w:rPr>
          <w:vertAlign w:val="superscript"/>
        </w:rPr>
      </w:pPr>
    </w:p>
    <w:p w:rsidR="006E34C2" w:rsidRDefault="009375EF" w:rsidP="006E34C2">
      <w:pPr>
        <w:pStyle w:val="I-Normalreg"/>
        <w:ind w:left="720"/>
      </w:pPr>
      <w:r>
        <w:t>It is strongly recommended that indicating elements submitted separately for evaluation have a test mode providing reading indications to 0.1</w:t>
      </w:r>
      <w:r w:rsidR="00423ABA">
        <w:t> </w:t>
      </w:r>
      <w:r>
        <w:t xml:space="preserve">e to provide adequate resolution to apply the tolerance </w:t>
      </w:r>
      <w:r w:rsidRPr="006E34C2">
        <w:rPr>
          <w:b/>
          <w:u w:val="single"/>
        </w:rPr>
        <w:t>(expanded resolution)</w:t>
      </w:r>
      <w:r>
        <w:t xml:space="preserve">.  If the indicator provides indications to only the maximum number of divisions requested for the Certificate of Conformance, the tolerance will be truncated to the number of divisions that can be indicated. </w:t>
      </w:r>
      <w:r w:rsidRPr="006E34C2">
        <w:rPr>
          <w:b/>
          <w:strike/>
        </w:rPr>
        <w:t>The following tolerances will be applied to class III (and III/III L) indicators.</w:t>
      </w:r>
      <w:r w:rsidR="006E34C2">
        <w:t xml:space="preserve"> </w:t>
      </w:r>
    </w:p>
    <w:p w:rsidR="006E34C2" w:rsidRPr="006E34C2" w:rsidRDefault="006E34C2" w:rsidP="00BC23D3">
      <w:pPr>
        <w:pStyle w:val="I-Normal-bold"/>
        <w:spacing w:after="120"/>
        <w:rPr>
          <w:strike/>
        </w:rPr>
      </w:pPr>
      <w:r w:rsidRPr="006E34C2">
        <w:rPr>
          <w:strike/>
        </w:rPr>
        <w:t>Example:</w:t>
      </w:r>
    </w:p>
    <w:tbl>
      <w:tblPr>
        <w:tblStyle w:val="TableGrid"/>
        <w:tblW w:w="0" w:type="auto"/>
        <w:tblInd w:w="3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09"/>
        <w:gridCol w:w="4607"/>
      </w:tblGrid>
      <w:tr w:rsidR="006E34C2" w:rsidRPr="006E34C2" w:rsidTr="00C43EDA">
        <w:tc>
          <w:tcPr>
            <w:tcW w:w="4788" w:type="dxa"/>
            <w:tcBorders>
              <w:top w:val="single" w:sz="12" w:space="0" w:color="auto"/>
              <w:bottom w:val="single" w:sz="12" w:space="0" w:color="auto"/>
            </w:tcBorders>
          </w:tcPr>
          <w:p w:rsidR="006E34C2" w:rsidRPr="006E34C2" w:rsidRDefault="006E34C2" w:rsidP="00C43EDA">
            <w:pPr>
              <w:pStyle w:val="I-Normalreg"/>
              <w:spacing w:after="0"/>
              <w:ind w:left="0"/>
              <w:jc w:val="center"/>
              <w:rPr>
                <w:b/>
                <w:strike/>
              </w:rPr>
            </w:pPr>
            <w:r w:rsidRPr="006E34C2">
              <w:rPr>
                <w:b/>
                <w:strike/>
              </w:rPr>
              <w:t>Test Indication In Divisions</w:t>
            </w:r>
          </w:p>
        </w:tc>
        <w:tc>
          <w:tcPr>
            <w:tcW w:w="4788" w:type="dxa"/>
            <w:tcBorders>
              <w:top w:val="single" w:sz="12" w:space="0" w:color="auto"/>
              <w:bottom w:val="single" w:sz="12" w:space="0" w:color="auto"/>
            </w:tcBorders>
          </w:tcPr>
          <w:p w:rsidR="006E34C2" w:rsidRPr="006E34C2" w:rsidRDefault="006E34C2" w:rsidP="00C43EDA">
            <w:pPr>
              <w:pStyle w:val="I-Normalreg"/>
              <w:spacing w:after="0"/>
              <w:ind w:left="0"/>
              <w:jc w:val="center"/>
              <w:rPr>
                <w:b/>
                <w:strike/>
              </w:rPr>
            </w:pPr>
            <w:r w:rsidRPr="006E34C2">
              <w:rPr>
                <w:b/>
                <w:strike/>
              </w:rPr>
              <w:t>Tolerance</w:t>
            </w:r>
          </w:p>
        </w:tc>
      </w:tr>
      <w:tr w:rsidR="006E34C2" w:rsidRPr="006E34C2" w:rsidTr="00C43EDA">
        <w:tc>
          <w:tcPr>
            <w:tcW w:w="4788" w:type="dxa"/>
            <w:tcBorders>
              <w:top w:val="single" w:sz="12" w:space="0" w:color="auto"/>
            </w:tcBorders>
          </w:tcPr>
          <w:p w:rsidR="006E34C2" w:rsidRPr="006E34C2" w:rsidRDefault="006E34C2" w:rsidP="00C43EDA">
            <w:pPr>
              <w:pStyle w:val="I-Normalreg"/>
              <w:spacing w:after="0"/>
              <w:ind w:left="0"/>
              <w:rPr>
                <w:b/>
                <w:strike/>
              </w:rPr>
            </w:pPr>
            <w:r w:rsidRPr="006E34C2">
              <w:rPr>
                <w:b/>
                <w:strike/>
              </w:rPr>
              <w:t>0 – 500</w:t>
            </w:r>
          </w:p>
        </w:tc>
        <w:tc>
          <w:tcPr>
            <w:tcW w:w="4788" w:type="dxa"/>
            <w:tcBorders>
              <w:top w:val="single" w:sz="12" w:space="0" w:color="auto"/>
            </w:tcBorders>
          </w:tcPr>
          <w:p w:rsidR="006E34C2" w:rsidRPr="006E34C2" w:rsidRDefault="006E34C2" w:rsidP="00C43EDA">
            <w:pPr>
              <w:pStyle w:val="I-Normalreg"/>
              <w:spacing w:after="0"/>
              <w:ind w:left="0"/>
              <w:rPr>
                <w:b/>
                <w:strike/>
              </w:rPr>
            </w:pPr>
            <w:r w:rsidRPr="006E34C2">
              <w:rPr>
                <w:b/>
                <w:strike/>
              </w:rPr>
              <w:t>0</w:t>
            </w:r>
          </w:p>
        </w:tc>
      </w:tr>
      <w:tr w:rsidR="006E34C2" w:rsidRPr="006E34C2" w:rsidTr="00C43EDA">
        <w:tc>
          <w:tcPr>
            <w:tcW w:w="4788" w:type="dxa"/>
          </w:tcPr>
          <w:p w:rsidR="006E34C2" w:rsidRPr="006E34C2" w:rsidRDefault="006E34C2" w:rsidP="00C43EDA">
            <w:pPr>
              <w:pStyle w:val="I-Normalreg"/>
              <w:spacing w:after="0"/>
              <w:ind w:left="0"/>
              <w:rPr>
                <w:b/>
                <w:strike/>
              </w:rPr>
            </w:pPr>
            <w:r w:rsidRPr="006E34C2">
              <w:rPr>
                <w:b/>
                <w:strike/>
              </w:rPr>
              <w:t>501 – 2 000</w:t>
            </w:r>
          </w:p>
        </w:tc>
        <w:tc>
          <w:tcPr>
            <w:tcW w:w="4788" w:type="dxa"/>
          </w:tcPr>
          <w:p w:rsidR="006E34C2" w:rsidRPr="006E34C2" w:rsidRDefault="006E34C2" w:rsidP="00C43EDA">
            <w:pPr>
              <w:pStyle w:val="I-Normalreg"/>
              <w:spacing w:after="0"/>
              <w:ind w:left="0"/>
              <w:rPr>
                <w:b/>
                <w:strike/>
              </w:rPr>
            </w:pPr>
            <w:r w:rsidRPr="006E34C2">
              <w:rPr>
                <w:b/>
                <w:strike/>
              </w:rPr>
              <w:t>0</w:t>
            </w:r>
          </w:p>
        </w:tc>
      </w:tr>
      <w:tr w:rsidR="006E34C2" w:rsidRPr="006E34C2" w:rsidTr="00C43EDA">
        <w:tc>
          <w:tcPr>
            <w:tcW w:w="4788" w:type="dxa"/>
          </w:tcPr>
          <w:p w:rsidR="006E34C2" w:rsidRPr="006E34C2" w:rsidRDefault="006E34C2" w:rsidP="00C43EDA">
            <w:pPr>
              <w:pStyle w:val="I-Normalreg"/>
              <w:spacing w:after="0"/>
              <w:ind w:left="0"/>
              <w:rPr>
                <w:b/>
                <w:strike/>
              </w:rPr>
            </w:pPr>
            <w:r w:rsidRPr="006E34C2">
              <w:rPr>
                <w:b/>
                <w:strike/>
              </w:rPr>
              <w:t>2 001 – 4 000</w:t>
            </w:r>
          </w:p>
        </w:tc>
        <w:tc>
          <w:tcPr>
            <w:tcW w:w="4788" w:type="dxa"/>
          </w:tcPr>
          <w:p w:rsidR="006E34C2" w:rsidRPr="006E34C2" w:rsidRDefault="006E34C2" w:rsidP="00C43EDA">
            <w:pPr>
              <w:pStyle w:val="I-Normalreg"/>
              <w:spacing w:after="0"/>
              <w:ind w:left="0"/>
              <w:rPr>
                <w:b/>
                <w:strike/>
              </w:rPr>
            </w:pPr>
            <w:r w:rsidRPr="006E34C2">
              <w:rPr>
                <w:b/>
                <w:strike/>
              </w:rPr>
              <w:t>1</w:t>
            </w:r>
          </w:p>
        </w:tc>
      </w:tr>
      <w:tr w:rsidR="006E34C2" w:rsidRPr="006E34C2" w:rsidTr="00C43EDA">
        <w:tc>
          <w:tcPr>
            <w:tcW w:w="4788" w:type="dxa"/>
          </w:tcPr>
          <w:p w:rsidR="006E34C2" w:rsidRPr="006E34C2" w:rsidRDefault="006E34C2" w:rsidP="00C43EDA">
            <w:pPr>
              <w:pStyle w:val="I-Normalreg"/>
              <w:spacing w:after="0"/>
              <w:ind w:left="0"/>
              <w:rPr>
                <w:b/>
                <w:strike/>
              </w:rPr>
            </w:pPr>
            <w:r w:rsidRPr="006E34C2">
              <w:rPr>
                <w:b/>
                <w:strike/>
              </w:rPr>
              <w:t>4 001 – 10 000</w:t>
            </w:r>
          </w:p>
        </w:tc>
        <w:tc>
          <w:tcPr>
            <w:tcW w:w="4788" w:type="dxa"/>
          </w:tcPr>
          <w:p w:rsidR="006E34C2" w:rsidRPr="006E34C2" w:rsidRDefault="006E34C2" w:rsidP="00C43EDA">
            <w:pPr>
              <w:pStyle w:val="I-Normalreg"/>
              <w:spacing w:after="0"/>
              <w:ind w:left="0"/>
              <w:rPr>
                <w:b/>
                <w:strike/>
                <w:u w:val="single"/>
              </w:rPr>
            </w:pPr>
            <w:r w:rsidRPr="006E34C2">
              <w:rPr>
                <w:b/>
                <w:strike/>
              </w:rPr>
              <w:t>1</w:t>
            </w:r>
            <w:r w:rsidRPr="006E34C2">
              <w:rPr>
                <w:b/>
                <w:strike/>
                <w:u w:val="single"/>
              </w:rPr>
              <w:t>2</w:t>
            </w:r>
          </w:p>
        </w:tc>
      </w:tr>
    </w:tbl>
    <w:p w:rsidR="00AC5921" w:rsidRDefault="00AC5921" w:rsidP="00FC3603">
      <w:pPr>
        <w:pStyle w:val="ItemHeading"/>
      </w:pPr>
      <w:bookmarkStart w:id="48" w:name="_Toc310427969"/>
      <w:bookmarkStart w:id="49" w:name="_Toc311539251"/>
      <w:bookmarkStart w:id="50" w:name="DESAppC"/>
      <w:r>
        <w:t xml:space="preserve">DES </w:t>
      </w:r>
      <w:r w:rsidR="00AB5499">
        <w:t>Appendix C</w:t>
      </w:r>
      <w:r>
        <w:t xml:space="preserve">- Acceptable Abbreviations for Short Ton </w:t>
      </w:r>
      <w:r w:rsidR="00AB5499">
        <w:t>and</w:t>
      </w:r>
      <w:r>
        <w:t xml:space="preserve"> Long Ton</w:t>
      </w:r>
      <w:bookmarkEnd w:id="48"/>
      <w:bookmarkEnd w:id="49"/>
    </w:p>
    <w:bookmarkEnd w:id="50"/>
    <w:p w:rsidR="00AC5921" w:rsidRDefault="00AC5921" w:rsidP="00AC5921">
      <w:pPr>
        <w:pStyle w:val="BoldHeading"/>
      </w:pPr>
      <w:r>
        <w:t>Source:</w:t>
      </w:r>
      <w:r>
        <w:tab/>
      </w:r>
    </w:p>
    <w:p w:rsidR="00AC5921" w:rsidRDefault="00AC5921" w:rsidP="00AC5921">
      <w:r>
        <w:t>Mr. Lewis, Rice Lake Weighing Systems, Inc.</w:t>
      </w:r>
    </w:p>
    <w:p w:rsidR="00AC5921" w:rsidRDefault="00AC5921" w:rsidP="00AC5921">
      <w:pPr>
        <w:pStyle w:val="BoldHeading"/>
      </w:pPr>
      <w:r>
        <w:t xml:space="preserve">Background/Discussion:  </w:t>
      </w:r>
    </w:p>
    <w:p w:rsidR="00AC5921" w:rsidRDefault="00AC5921" w:rsidP="00AC5921">
      <w:r>
        <w:t>Mr. Lewis, Rice Lake Weighing Systems, Inc., is recommending adding “</w:t>
      </w:r>
      <w:r w:rsidRPr="00C83B0B">
        <w:rPr>
          <w:u w:color="82C42A"/>
        </w:rPr>
        <w:t>tn</w:t>
      </w:r>
      <w:r w:rsidRPr="00C83B0B">
        <w:t>”</w:t>
      </w:r>
      <w:r>
        <w:t xml:space="preserve"> as an acceptable abbreviation for a U.S. short ton to the current list of acceptable abbreviation of “Ton” or “TN.”  Mr. Lewis is also recommending that “</w:t>
      </w:r>
      <w:r w:rsidRPr="00C83B0B">
        <w:rPr>
          <w:u w:color="82C42A"/>
        </w:rPr>
        <w:t>lt</w:t>
      </w:r>
      <w:r w:rsidRPr="00C83B0B">
        <w:t>”</w:t>
      </w:r>
      <w:r>
        <w:t xml:space="preserve"> be added to the list of acceptable abbreviations for a long ton.  He added that the </w:t>
      </w:r>
      <w:r w:rsidRPr="00AC5921">
        <w:rPr>
          <w:i/>
        </w:rPr>
        <w:t>Canadian Lab Manual</w:t>
      </w:r>
      <w:r>
        <w:t xml:space="preserve">, Part 2, Section Appendix-2A in the table for abbreviations and symbols accepted in Canada, metric ton is abbreviated by “t” and </w:t>
      </w:r>
      <w:r w:rsidRPr="00C83B0B">
        <w:rPr>
          <w:u w:color="82C42A"/>
        </w:rPr>
        <w:t>ton</w:t>
      </w:r>
      <w:r w:rsidRPr="00C83B0B">
        <w:t xml:space="preserve"> </w:t>
      </w:r>
      <w:r>
        <w:t>(short ton) is abbreviated by “</w:t>
      </w:r>
      <w:r w:rsidRPr="00C83B0B">
        <w:rPr>
          <w:u w:color="82C42A"/>
        </w:rPr>
        <w:t>tn</w:t>
      </w:r>
      <w:r w:rsidRPr="00C83B0B">
        <w:t>.</w:t>
      </w:r>
      <w:r>
        <w:t>”</w:t>
      </w:r>
    </w:p>
    <w:p w:rsidR="00AC5921" w:rsidRDefault="00AC5921" w:rsidP="00AC5921">
      <w:pPr>
        <w:pStyle w:val="BoldHeading"/>
      </w:pPr>
      <w:r>
        <w:lastRenderedPageBreak/>
        <w:t>Conclusion:</w:t>
      </w:r>
    </w:p>
    <w:p w:rsidR="00AC5921" w:rsidRDefault="00AC5921" w:rsidP="00AC5921">
      <w:r>
        <w:t xml:space="preserve">Mr. Harshman, NIST Technical Advisor, reviewed </w:t>
      </w:r>
      <w:r w:rsidRPr="00C83B0B">
        <w:rPr>
          <w:u w:color="82C42A"/>
        </w:rPr>
        <w:t>background information</w:t>
      </w:r>
      <w:r w:rsidRPr="00C83B0B">
        <w:t xml:space="preserve"> </w:t>
      </w:r>
      <w:r>
        <w:t xml:space="preserve">and reminded the </w:t>
      </w:r>
      <w:r w:rsidR="00423ABA" w:rsidRPr="00423ABA">
        <w:t>S</w:t>
      </w:r>
      <w:r w:rsidRPr="00634337">
        <w:t>ector</w:t>
      </w:r>
      <w:r>
        <w:t xml:space="preserve"> that to be considered an acceptable abbreviation (i.e., for use with equipment manufactured as of January 1, 2008), the abbreviation must be included in either </w:t>
      </w:r>
      <w:r w:rsidRPr="00970936">
        <w:t>NIST Handbook 44</w:t>
      </w:r>
      <w:r>
        <w:t xml:space="preserve"> Appendix C or </w:t>
      </w:r>
      <w:r w:rsidRPr="00970936">
        <w:t>NIST SP</w:t>
      </w:r>
      <w:r w:rsidR="00970936">
        <w:t> </w:t>
      </w:r>
      <w:r w:rsidRPr="00970936">
        <w:t>811</w:t>
      </w:r>
      <w:r>
        <w:t xml:space="preserve"> in accordance with </w:t>
      </w:r>
      <w:r w:rsidRPr="00970936">
        <w:t>NIST Handbook 44</w:t>
      </w:r>
      <w:r>
        <w:t xml:space="preserve"> paragraph G S.5.6.1. Indicated and Recorded Representations of Units.</w:t>
      </w:r>
      <w:r w:rsidR="00970936">
        <w:t xml:space="preserve">  </w:t>
      </w:r>
      <w:r>
        <w:t xml:space="preserve">Appropriate abbreviations.  The NTETC Weighing Sector reviewed acceptable abbreviations for short ton, long ton, and metric ton included in Appendix C of </w:t>
      </w:r>
      <w:r w:rsidRPr="00970936">
        <w:t>NIST Handbook 44.</w:t>
      </w:r>
      <w:r>
        <w:t xml:space="preserve">  Mr. Cook, NIST, OWM</w:t>
      </w:r>
      <w:r w:rsidR="00B67C78">
        <w:t>,</w:t>
      </w:r>
      <w:r>
        <w:t xml:space="preserve"> pointed out that both short ton and metric ton are abbreviated the same in Appendix C of </w:t>
      </w:r>
      <w:r w:rsidRPr="00970936">
        <w:t xml:space="preserve">NIST Handbook 44 </w:t>
      </w:r>
      <w:r>
        <w:t xml:space="preserve">(i.e., the short ton is abbreviated on page C-6 as “t” and the metric ton is also abbreviated as “t” on page C-19).  </w:t>
      </w:r>
    </w:p>
    <w:p w:rsidR="00AC5921" w:rsidRDefault="00AC5921" w:rsidP="00AC5921">
      <w:r w:rsidRPr="007B3EE8">
        <w:t xml:space="preserve">The </w:t>
      </w:r>
      <w:r w:rsidR="00970936" w:rsidRPr="007B3EE8">
        <w:t>S</w:t>
      </w:r>
      <w:r w:rsidRPr="00634337">
        <w:t>ector</w:t>
      </w:r>
      <w:r w:rsidRPr="007B3EE8">
        <w:t xml:space="preserve"> agreed to add “</w:t>
      </w:r>
      <w:r w:rsidRPr="00C83B0B">
        <w:rPr>
          <w:u w:color="82C42A"/>
        </w:rPr>
        <w:t>tn</w:t>
      </w:r>
      <w:r w:rsidRPr="00C83B0B">
        <w:t>”</w:t>
      </w:r>
      <w:r w:rsidRPr="007B3EE8">
        <w:t xml:space="preserve"> to the table of Acceptable Abbreviations in Appendix C of NCWM Publication 14 as an acceptable abbreviation for short ton.  </w:t>
      </w:r>
      <w:r w:rsidR="001C3D9E" w:rsidRPr="007B3EE8">
        <w:t>Mr. Harshman, NIST Technical Advisor, noted that t</w:t>
      </w:r>
      <w:r w:rsidRPr="007B3EE8">
        <w:t>he abbreviation “</w:t>
      </w:r>
      <w:r w:rsidRPr="00C83B0B">
        <w:rPr>
          <w:u w:color="82C42A"/>
        </w:rPr>
        <w:t>tn</w:t>
      </w:r>
      <w:r w:rsidRPr="00C83B0B">
        <w:t>”</w:t>
      </w:r>
      <w:r w:rsidRPr="007B3EE8">
        <w:t xml:space="preserve"> does not exist in Appendix C of NIST Handbook 44 nor in NIST SP 811 and this change recommended by the </w:t>
      </w:r>
      <w:r w:rsidRPr="00634337">
        <w:t>sector</w:t>
      </w:r>
      <w:r w:rsidRPr="007B3EE8">
        <w:t xml:space="preserve">, if approved, would add the abbreviation to only 1 portion of NCWM </w:t>
      </w:r>
      <w:r w:rsidR="001C3D9E" w:rsidRPr="007B3EE8">
        <w:t>Publication</w:t>
      </w:r>
      <w:r w:rsidRPr="007B3EE8">
        <w:t xml:space="preserve"> 14 </w:t>
      </w:r>
      <w:r w:rsidRPr="00C83B0B">
        <w:rPr>
          <w:u w:color="82C42A"/>
        </w:rPr>
        <w:t>table</w:t>
      </w:r>
      <w:r w:rsidRPr="00C83B0B">
        <w:t>,</w:t>
      </w:r>
      <w:r w:rsidRPr="007B3EE8">
        <w:t xml:space="preserve"> t</w:t>
      </w:r>
      <w:r w:rsidR="00AB5499" w:rsidRPr="007B3EE8">
        <w:t xml:space="preserve">hat is, to the portion titled </w:t>
      </w:r>
      <w:r w:rsidRPr="007B3EE8">
        <w:rPr>
          <w:i/>
        </w:rPr>
        <w:t xml:space="preserve">Exceptions to General Tables of </w:t>
      </w:r>
      <w:r w:rsidRPr="007B3EE8">
        <w:t>NIST Handbook 44</w:t>
      </w:r>
      <w:r w:rsidR="00AB5499" w:rsidRPr="007B3EE8">
        <w:t xml:space="preserve">.  </w:t>
      </w:r>
      <w:r w:rsidRPr="007B3EE8">
        <w:t xml:space="preserve">The </w:t>
      </w:r>
      <w:r w:rsidR="007B3EE8" w:rsidRPr="007B3EE8">
        <w:t>S</w:t>
      </w:r>
      <w:r w:rsidRPr="00634337">
        <w:t>ector</w:t>
      </w:r>
      <w:r w:rsidRPr="007B3EE8">
        <w:t xml:space="preserve"> also agreed to delay taking any action on adding the abbreviation “</w:t>
      </w:r>
      <w:r w:rsidRPr="00C83B0B">
        <w:rPr>
          <w:u w:color="82C42A"/>
        </w:rPr>
        <w:t>lt</w:t>
      </w:r>
      <w:r w:rsidRPr="00C83B0B">
        <w:t>”</w:t>
      </w:r>
      <w:r w:rsidRPr="007B3EE8">
        <w:t xml:space="preserve"> for long ton until the S&amp;T</w:t>
      </w:r>
      <w:r w:rsidR="001C3D9E" w:rsidRPr="007B3EE8">
        <w:t xml:space="preserve"> Committee</w:t>
      </w:r>
      <w:r w:rsidRPr="007B3EE8">
        <w:t xml:space="preserve"> has had an opportunity to consider </w:t>
      </w:r>
      <w:r w:rsidR="001C3D9E" w:rsidRPr="007B3EE8">
        <w:t>the</w:t>
      </w:r>
      <w:r w:rsidRPr="007B3EE8">
        <w:t xml:space="preserve"> proposal</w:t>
      </w:r>
      <w:r w:rsidR="001C3D9E" w:rsidRPr="007B3EE8">
        <w:t xml:space="preserve"> from Mr. Lewis, Rice Lake Weighing Systems, Inc.,</w:t>
      </w:r>
      <w:r w:rsidRPr="007B3EE8">
        <w:t xml:space="preserve"> to amend </w:t>
      </w:r>
      <w:r w:rsidR="001C3D9E" w:rsidRPr="007B3EE8">
        <w:t>NIST Handbook 44</w:t>
      </w:r>
      <w:r w:rsidRPr="007B3EE8">
        <w:t xml:space="preserve"> by adding the abbreviations “</w:t>
      </w:r>
      <w:r w:rsidRPr="00C83B0B">
        <w:rPr>
          <w:u w:color="82C42A"/>
        </w:rPr>
        <w:t>tn</w:t>
      </w:r>
      <w:r w:rsidRPr="00C83B0B">
        <w:t>”</w:t>
      </w:r>
      <w:r w:rsidRPr="007B3EE8">
        <w:t xml:space="preserve"> for short ton and “</w:t>
      </w:r>
      <w:r w:rsidRPr="00C83B0B">
        <w:rPr>
          <w:u w:color="82C42A"/>
        </w:rPr>
        <w:t>lt</w:t>
      </w:r>
      <w:r w:rsidRPr="00C83B0B">
        <w:t>”</w:t>
      </w:r>
      <w:r w:rsidRPr="007B3EE8">
        <w:t xml:space="preserve"> for long ton.</w:t>
      </w:r>
      <w:r w:rsidR="001C3D9E" w:rsidRPr="007B3EE8">
        <w:t xml:space="preserve"> </w:t>
      </w:r>
      <w:r w:rsidRPr="007B3EE8">
        <w:t xml:space="preserve"> </w:t>
      </w:r>
      <w:r w:rsidR="001C3D9E" w:rsidRPr="007B3EE8">
        <w:t xml:space="preserve">NCWM </w:t>
      </w:r>
      <w:r w:rsidR="004D58CF" w:rsidRPr="007B3EE8">
        <w:t>Publication</w:t>
      </w:r>
      <w:r w:rsidRPr="007B3EE8">
        <w:t xml:space="preserve"> 14 Table of Acceptable Abbreviations incorporating the new abbreviation being recommended by the </w:t>
      </w:r>
      <w:r w:rsidR="007B3EE8" w:rsidRPr="007B3EE8">
        <w:t>S</w:t>
      </w:r>
      <w:r w:rsidR="001323BC" w:rsidRPr="00634337">
        <w:t>ector</w:t>
      </w:r>
      <w:r w:rsidR="001323BC" w:rsidRPr="007B3EE8">
        <w:t xml:space="preserve"> is:</w:t>
      </w:r>
    </w:p>
    <w:p w:rsidR="001323BC" w:rsidRDefault="001323BC" w:rsidP="00C95A63">
      <w:pPr>
        <w:pStyle w:val="BoldHeading"/>
        <w:keepNext/>
        <w:spacing w:after="240"/>
        <w:rPr>
          <w:b w:val="0"/>
        </w:rPr>
      </w:pPr>
      <w:r w:rsidRPr="007B3EE8">
        <w:rPr>
          <w:b w:val="0"/>
        </w:rPr>
        <w:t>NCWM Publication 14</w:t>
      </w:r>
      <w:r w:rsidRPr="009375EF">
        <w:rPr>
          <w:b w:val="0"/>
        </w:rPr>
        <w:t xml:space="preserve"> DES </w:t>
      </w:r>
      <w:r w:rsidRPr="0095559E">
        <w:rPr>
          <w:b w:val="0"/>
        </w:rPr>
        <w:t>Appendix C</w:t>
      </w:r>
      <w:r>
        <w:rPr>
          <w:b w:val="0"/>
        </w:rPr>
        <w:t xml:space="preserve"> (entire table not shown)</w:t>
      </w:r>
    </w:p>
    <w:tbl>
      <w:tblPr>
        <w:tblStyle w:val="TableGrid"/>
        <w:tblW w:w="0" w:type="auto"/>
        <w:tblInd w:w="360" w:type="dxa"/>
        <w:tblLook w:val="04A0" w:firstRow="1" w:lastRow="0" w:firstColumn="1" w:lastColumn="0" w:noHBand="0" w:noVBand="1"/>
      </w:tblPr>
      <w:tblGrid>
        <w:gridCol w:w="2088"/>
        <w:gridCol w:w="2520"/>
        <w:gridCol w:w="2304"/>
        <w:gridCol w:w="2304"/>
      </w:tblGrid>
      <w:tr w:rsidR="001323BC" w:rsidTr="001323BC">
        <w:tc>
          <w:tcPr>
            <w:tcW w:w="2088" w:type="dxa"/>
          </w:tcPr>
          <w:p w:rsidR="001323BC" w:rsidRPr="009E5C06" w:rsidRDefault="001323BC" w:rsidP="007B3EE8">
            <w:pPr>
              <w:pStyle w:val="CodeCopy"/>
              <w:keepNext/>
              <w:spacing w:after="0"/>
              <w:ind w:left="0"/>
              <w:jc w:val="center"/>
              <w:rPr>
                <w:b/>
                <w:sz w:val="22"/>
              </w:rPr>
            </w:pPr>
            <w:r w:rsidRPr="009E5C06">
              <w:rPr>
                <w:b/>
                <w:sz w:val="22"/>
              </w:rPr>
              <w:t>Device Application</w:t>
            </w:r>
          </w:p>
        </w:tc>
        <w:tc>
          <w:tcPr>
            <w:tcW w:w="2520" w:type="dxa"/>
          </w:tcPr>
          <w:p w:rsidR="001323BC" w:rsidRPr="009E5C06" w:rsidRDefault="001323BC" w:rsidP="007B3EE8">
            <w:pPr>
              <w:pStyle w:val="CodeCopy"/>
              <w:keepNext/>
              <w:spacing w:after="0"/>
              <w:ind w:left="0"/>
              <w:jc w:val="center"/>
              <w:rPr>
                <w:b/>
                <w:sz w:val="22"/>
              </w:rPr>
            </w:pPr>
            <w:r w:rsidRPr="009E5C06">
              <w:rPr>
                <w:b/>
                <w:sz w:val="22"/>
              </w:rPr>
              <w:t>Term</w:t>
            </w:r>
          </w:p>
        </w:tc>
        <w:tc>
          <w:tcPr>
            <w:tcW w:w="2304" w:type="dxa"/>
          </w:tcPr>
          <w:p w:rsidR="001323BC" w:rsidRPr="009E5C06" w:rsidRDefault="001323BC" w:rsidP="007B3EE8">
            <w:pPr>
              <w:pStyle w:val="CodeCopy"/>
              <w:keepNext/>
              <w:spacing w:after="0"/>
              <w:ind w:left="0"/>
              <w:jc w:val="center"/>
              <w:rPr>
                <w:b/>
                <w:sz w:val="22"/>
              </w:rPr>
            </w:pPr>
            <w:r w:rsidRPr="009E5C06">
              <w:rPr>
                <w:b/>
                <w:sz w:val="22"/>
              </w:rPr>
              <w:t>Acceptable</w:t>
            </w:r>
          </w:p>
        </w:tc>
        <w:tc>
          <w:tcPr>
            <w:tcW w:w="2304" w:type="dxa"/>
          </w:tcPr>
          <w:p w:rsidR="001323BC" w:rsidRPr="009E5C06" w:rsidRDefault="001323BC" w:rsidP="007B3EE8">
            <w:pPr>
              <w:pStyle w:val="CodeCopy"/>
              <w:keepNext/>
              <w:spacing w:after="0"/>
              <w:ind w:left="0"/>
              <w:jc w:val="center"/>
              <w:rPr>
                <w:b/>
                <w:sz w:val="22"/>
              </w:rPr>
            </w:pPr>
            <w:r w:rsidRPr="009E5C06">
              <w:rPr>
                <w:b/>
                <w:sz w:val="22"/>
                <w:u w:val="single"/>
              </w:rPr>
              <w:t>NOT</w:t>
            </w:r>
            <w:r w:rsidRPr="009E5C06">
              <w:rPr>
                <w:b/>
                <w:sz w:val="22"/>
              </w:rPr>
              <w:t xml:space="preserve"> Acceptable</w:t>
            </w:r>
          </w:p>
        </w:tc>
      </w:tr>
      <w:tr w:rsidR="001323BC" w:rsidTr="001323BC">
        <w:tc>
          <w:tcPr>
            <w:tcW w:w="2088" w:type="dxa"/>
            <w:vMerge w:val="restart"/>
          </w:tcPr>
          <w:p w:rsidR="001323BC" w:rsidRPr="008E125A" w:rsidRDefault="001323BC" w:rsidP="007B3EE8">
            <w:pPr>
              <w:pStyle w:val="CodeCopy"/>
              <w:keepNext/>
              <w:spacing w:after="0"/>
              <w:ind w:left="0"/>
              <w:jc w:val="left"/>
            </w:pPr>
            <w:r w:rsidRPr="008E125A">
              <w:t xml:space="preserve">*Exceptions to </w:t>
            </w:r>
            <w:r w:rsidRPr="00294FB8">
              <w:t>General</w:t>
            </w:r>
            <w:r w:rsidRPr="008E125A">
              <w:t xml:space="preserve"> Tables of </w:t>
            </w:r>
            <w:r w:rsidRPr="008E125A">
              <w:rPr>
                <w:i/>
              </w:rPr>
              <w:t>NIST Handbook 44</w:t>
            </w:r>
          </w:p>
        </w:tc>
        <w:tc>
          <w:tcPr>
            <w:tcW w:w="2520" w:type="dxa"/>
          </w:tcPr>
          <w:p w:rsidR="001323BC" w:rsidRDefault="001323BC" w:rsidP="007B3EE8">
            <w:pPr>
              <w:pStyle w:val="CodeCopy"/>
              <w:keepNext/>
              <w:spacing w:after="0"/>
              <w:ind w:left="0"/>
              <w:jc w:val="left"/>
            </w:pPr>
            <w:r>
              <w:t>carat or carat troy – 200 mg</w:t>
            </w:r>
          </w:p>
        </w:tc>
        <w:tc>
          <w:tcPr>
            <w:tcW w:w="2304" w:type="dxa"/>
          </w:tcPr>
          <w:p w:rsidR="001323BC" w:rsidRDefault="001323BC" w:rsidP="007B3EE8">
            <w:pPr>
              <w:pStyle w:val="CodeCopy"/>
              <w:keepNext/>
              <w:spacing w:after="0"/>
              <w:ind w:left="0"/>
              <w:jc w:val="left"/>
            </w:pPr>
            <w:r>
              <w:t>ct</w:t>
            </w:r>
            <w:r>
              <w:br/>
            </w:r>
            <w:r w:rsidRPr="009D735D">
              <w:rPr>
                <w:i/>
              </w:rPr>
              <w:t>common jewelry industry abbreviation and is the only acceptable abbreviation in Canada</w:t>
            </w:r>
          </w:p>
        </w:tc>
        <w:tc>
          <w:tcPr>
            <w:tcW w:w="2304" w:type="dxa"/>
          </w:tcPr>
          <w:p w:rsidR="001323BC" w:rsidRDefault="001323BC" w:rsidP="007B3EE8">
            <w:pPr>
              <w:pStyle w:val="CodeCopy"/>
              <w:keepNext/>
              <w:spacing w:after="0"/>
              <w:ind w:left="0"/>
              <w:jc w:val="left"/>
            </w:pPr>
            <w:r>
              <w:t xml:space="preserve">ct </w:t>
            </w:r>
            <w:r>
              <w:br/>
            </w:r>
            <w:r w:rsidRPr="009D735D">
              <w:rPr>
                <w:i/>
              </w:rPr>
              <w:t>not permitted if used as the abbreviation for carat and count on a scale with an enable count feature</w:t>
            </w:r>
          </w:p>
        </w:tc>
      </w:tr>
      <w:tr w:rsidR="001323BC" w:rsidTr="001323BC">
        <w:tc>
          <w:tcPr>
            <w:tcW w:w="2088" w:type="dxa"/>
            <w:vMerge/>
          </w:tcPr>
          <w:p w:rsidR="001323BC" w:rsidRPr="008E125A" w:rsidRDefault="001323BC" w:rsidP="007B3EE8">
            <w:pPr>
              <w:pStyle w:val="CodeCopy"/>
              <w:keepNext/>
              <w:spacing w:after="0"/>
              <w:ind w:left="0"/>
              <w:jc w:val="left"/>
            </w:pPr>
          </w:p>
        </w:tc>
        <w:tc>
          <w:tcPr>
            <w:tcW w:w="2520" w:type="dxa"/>
          </w:tcPr>
          <w:p w:rsidR="001323BC" w:rsidRDefault="001323BC" w:rsidP="007B3EE8">
            <w:pPr>
              <w:pStyle w:val="CodeCopy"/>
              <w:keepNext/>
              <w:spacing w:after="0"/>
              <w:ind w:left="0"/>
              <w:jc w:val="left"/>
            </w:pPr>
            <w:r>
              <w:t>U.S. short ton</w:t>
            </w:r>
          </w:p>
        </w:tc>
        <w:tc>
          <w:tcPr>
            <w:tcW w:w="2304" w:type="dxa"/>
          </w:tcPr>
          <w:p w:rsidR="001323BC" w:rsidRDefault="001323BC" w:rsidP="007B3EE8">
            <w:pPr>
              <w:pStyle w:val="CodeCopy"/>
              <w:keepNext/>
              <w:spacing w:after="0"/>
              <w:ind w:left="0"/>
              <w:jc w:val="left"/>
            </w:pPr>
            <w:r>
              <w:t>Ton</w:t>
            </w:r>
            <w:r w:rsidRPr="001323BC">
              <w:rPr>
                <w:b/>
                <w:u w:val="single"/>
              </w:rPr>
              <w:t>,</w:t>
            </w:r>
            <w:r>
              <w:t xml:space="preserve"> </w:t>
            </w:r>
            <w:r w:rsidRPr="001323BC">
              <w:rPr>
                <w:b/>
                <w:strike/>
              </w:rPr>
              <w:t>or</w:t>
            </w:r>
            <w:r>
              <w:t xml:space="preserve"> TN </w:t>
            </w:r>
            <w:r w:rsidRPr="001323BC">
              <w:rPr>
                <w:b/>
                <w:u w:val="single"/>
              </w:rPr>
              <w:t>or tn</w:t>
            </w:r>
            <w:r>
              <w:br/>
            </w:r>
            <w:r w:rsidRPr="009D735D">
              <w:rPr>
                <w:i/>
              </w:rPr>
              <w:t>for belt-conveyor scales, the abbreviation "T" is acceptable</w:t>
            </w:r>
          </w:p>
        </w:tc>
        <w:tc>
          <w:tcPr>
            <w:tcW w:w="2304" w:type="dxa"/>
          </w:tcPr>
          <w:p w:rsidR="001323BC" w:rsidRDefault="001323BC" w:rsidP="007B3EE8">
            <w:pPr>
              <w:pStyle w:val="CodeCopy"/>
              <w:keepNext/>
              <w:spacing w:after="0"/>
              <w:ind w:left="0"/>
              <w:jc w:val="left"/>
            </w:pPr>
          </w:p>
        </w:tc>
      </w:tr>
      <w:tr w:rsidR="001323BC" w:rsidTr="001323BC">
        <w:tc>
          <w:tcPr>
            <w:tcW w:w="2088" w:type="dxa"/>
            <w:vMerge/>
          </w:tcPr>
          <w:p w:rsidR="001323BC" w:rsidRPr="008E125A" w:rsidRDefault="001323BC" w:rsidP="007B3EE8">
            <w:pPr>
              <w:pStyle w:val="CodeCopy"/>
              <w:keepNext/>
              <w:spacing w:after="0"/>
              <w:ind w:left="0"/>
              <w:jc w:val="left"/>
            </w:pPr>
          </w:p>
        </w:tc>
        <w:tc>
          <w:tcPr>
            <w:tcW w:w="2520" w:type="dxa"/>
          </w:tcPr>
          <w:p w:rsidR="001323BC" w:rsidRDefault="001323BC" w:rsidP="007B3EE8">
            <w:pPr>
              <w:pStyle w:val="CodeCopy"/>
              <w:keepNext/>
              <w:spacing w:after="0"/>
              <w:ind w:left="0"/>
              <w:jc w:val="left"/>
            </w:pPr>
            <w:r>
              <w:t>U.S. long ton</w:t>
            </w:r>
          </w:p>
        </w:tc>
        <w:tc>
          <w:tcPr>
            <w:tcW w:w="2304" w:type="dxa"/>
          </w:tcPr>
          <w:p w:rsidR="001323BC" w:rsidRDefault="001323BC" w:rsidP="007B3EE8">
            <w:pPr>
              <w:pStyle w:val="CodeCopy"/>
              <w:keepNext/>
              <w:spacing w:after="0"/>
              <w:ind w:left="0"/>
              <w:jc w:val="left"/>
            </w:pPr>
            <w:r>
              <w:t>LT</w:t>
            </w:r>
          </w:p>
        </w:tc>
        <w:tc>
          <w:tcPr>
            <w:tcW w:w="2304" w:type="dxa"/>
          </w:tcPr>
          <w:p w:rsidR="001323BC" w:rsidRDefault="001323BC" w:rsidP="007B3EE8">
            <w:pPr>
              <w:pStyle w:val="CodeCopy"/>
              <w:keepNext/>
              <w:spacing w:after="0"/>
              <w:ind w:left="0"/>
              <w:jc w:val="left"/>
            </w:pPr>
          </w:p>
        </w:tc>
      </w:tr>
      <w:tr w:rsidR="001323BC" w:rsidTr="001323BC">
        <w:tc>
          <w:tcPr>
            <w:tcW w:w="2088" w:type="dxa"/>
            <w:vMerge/>
          </w:tcPr>
          <w:p w:rsidR="001323BC" w:rsidRPr="008E125A" w:rsidRDefault="001323BC" w:rsidP="007B3EE8">
            <w:pPr>
              <w:pStyle w:val="CodeCopy"/>
              <w:keepNext/>
              <w:spacing w:after="0"/>
              <w:ind w:left="0"/>
              <w:jc w:val="left"/>
            </w:pPr>
          </w:p>
        </w:tc>
        <w:tc>
          <w:tcPr>
            <w:tcW w:w="2520" w:type="dxa"/>
          </w:tcPr>
          <w:p w:rsidR="001323BC" w:rsidRDefault="001323BC" w:rsidP="007B3EE8">
            <w:pPr>
              <w:pStyle w:val="CodeCopy"/>
              <w:keepNext/>
              <w:spacing w:after="0"/>
              <w:ind w:left="0"/>
              <w:jc w:val="left"/>
            </w:pPr>
            <w:r>
              <w:t>Grain</w:t>
            </w:r>
          </w:p>
        </w:tc>
        <w:tc>
          <w:tcPr>
            <w:tcW w:w="2304" w:type="dxa"/>
          </w:tcPr>
          <w:p w:rsidR="001323BC" w:rsidRDefault="001323BC" w:rsidP="007B3EE8">
            <w:pPr>
              <w:pStyle w:val="CodeCopy"/>
              <w:keepNext/>
              <w:spacing w:after="0"/>
              <w:ind w:left="0"/>
              <w:jc w:val="left"/>
            </w:pPr>
            <w:r>
              <w:t>grain, GRN, grn, GN</w:t>
            </w:r>
          </w:p>
        </w:tc>
        <w:tc>
          <w:tcPr>
            <w:tcW w:w="2304" w:type="dxa"/>
          </w:tcPr>
          <w:p w:rsidR="001323BC" w:rsidRDefault="001323BC" w:rsidP="007B3EE8">
            <w:pPr>
              <w:pStyle w:val="CodeCopy"/>
              <w:keepNext/>
              <w:spacing w:after="0"/>
              <w:ind w:left="0"/>
              <w:jc w:val="left"/>
            </w:pPr>
          </w:p>
        </w:tc>
      </w:tr>
    </w:tbl>
    <w:p w:rsidR="003D30BA" w:rsidRDefault="003D30BA" w:rsidP="00FC3603">
      <w:pPr>
        <w:pStyle w:val="ItemHeading"/>
      </w:pPr>
      <w:bookmarkStart w:id="51" w:name="_Toc310427970"/>
      <w:bookmarkStart w:id="52" w:name="_Toc311539252"/>
      <w:bookmarkStart w:id="53" w:name="DESTechPolicySectionD"/>
      <w:r>
        <w:t>DES</w:t>
      </w:r>
      <w:r w:rsidR="00A04BE4">
        <w:t xml:space="preserve"> </w:t>
      </w:r>
      <w:r w:rsidR="0095559E">
        <w:t>Technical Policy</w:t>
      </w:r>
      <w:r>
        <w:t xml:space="preserve"> Section D - Substitution of Load Cells</w:t>
      </w:r>
      <w:bookmarkEnd w:id="51"/>
      <w:r w:rsidR="001323BC">
        <w:t xml:space="preserve"> in Scales</w:t>
      </w:r>
      <w:bookmarkEnd w:id="52"/>
    </w:p>
    <w:bookmarkEnd w:id="53"/>
    <w:p w:rsidR="003D30BA" w:rsidRDefault="003D30BA" w:rsidP="003D30BA">
      <w:pPr>
        <w:pStyle w:val="BoldHeading"/>
      </w:pPr>
      <w:r>
        <w:t>Source:</w:t>
      </w:r>
      <w:r>
        <w:tab/>
      </w:r>
    </w:p>
    <w:p w:rsidR="003D30BA" w:rsidRDefault="003D30BA" w:rsidP="003D30BA">
      <w:r>
        <w:t>Mr. Lewis, Rice Lake Weighing Systems Inc.</w:t>
      </w:r>
    </w:p>
    <w:p w:rsidR="003D30BA" w:rsidRDefault="003D30BA" w:rsidP="003D30BA">
      <w:pPr>
        <w:pStyle w:val="BoldHeading"/>
      </w:pPr>
      <w:r>
        <w:t xml:space="preserve">Background/Discussion:  </w:t>
      </w:r>
    </w:p>
    <w:p w:rsidR="003D30BA" w:rsidRDefault="003D30BA" w:rsidP="003D30BA">
      <w:r w:rsidRPr="007B3EE8">
        <w:t>NCWM Publication</w:t>
      </w:r>
      <w:r w:rsidRPr="00473C43">
        <w:t xml:space="preserve"> 14</w:t>
      </w:r>
      <w:r>
        <w:t xml:space="preserve"> DES Section D – Substitution of Load Cells</w:t>
      </w:r>
      <w:r w:rsidR="001323BC">
        <w:t xml:space="preserve"> in Scales</w:t>
      </w:r>
      <w:r>
        <w:t xml:space="preserve"> paragraph states that metrologically equivalent load cells from the same or a different manufacturer may be substituted into a scale provided that the load cell to be substituted have a capacity that is not less than </w:t>
      </w:r>
      <w:r w:rsidR="00473C43">
        <w:t>85 %</w:t>
      </w:r>
      <w:r>
        <w:t xml:space="preserve"> of the capacity of the original cell.  The current policy may exclude load cells from different manufacturers where the available capacities are not within 85</w:t>
      </w:r>
      <w:r w:rsidR="007B3EE8">
        <w:t> </w:t>
      </w:r>
      <w:r>
        <w:t>% to 100</w:t>
      </w:r>
      <w:r w:rsidR="007B3EE8">
        <w:t> %</w:t>
      </w:r>
      <w:r>
        <w:t>” of the capacity of the original cell.  Mr. Lewis, Rice Lake Weighing Systems Inc., states that in most load cell families, the next lower capacity cell may be less than 85</w:t>
      </w:r>
      <w:r w:rsidR="007B3EE8">
        <w:t> </w:t>
      </w:r>
      <w:r>
        <w:t>% of the next larger load cell (assuming that the capacity of the original cell is not included in the load cell family of the different manufacturer).  In most cases</w:t>
      </w:r>
      <w:r w:rsidR="00B67C78">
        <w:t>,</w:t>
      </w:r>
      <w:r>
        <w:t xml:space="preserve"> the percentage will be 80</w:t>
      </w:r>
      <w:r w:rsidR="007B3EE8">
        <w:t> </w:t>
      </w:r>
      <w:r>
        <w:t>%, 75</w:t>
      </w:r>
      <w:r w:rsidR="007B3EE8">
        <w:t> </w:t>
      </w:r>
      <w:r>
        <w:t>% or even 50</w:t>
      </w:r>
      <w:r w:rsidR="007B3EE8">
        <w:t> </w:t>
      </w:r>
      <w:r>
        <w:t>%.  If you were to look at a family of load cell the next smaller load might be 83</w:t>
      </w:r>
      <w:r w:rsidR="007B3EE8">
        <w:t> </w:t>
      </w:r>
      <w:r>
        <w:t>% (300</w:t>
      </w:r>
      <w:r w:rsidR="007B3EE8">
        <w:t> </w:t>
      </w:r>
      <w:r>
        <w:t>lb to 250</w:t>
      </w:r>
      <w:r w:rsidR="007B3EE8">
        <w:t> </w:t>
      </w:r>
      <w:r>
        <w:t>lb), but in most cases the percentage is much less that the 85</w:t>
      </w:r>
      <w:r w:rsidR="007B3EE8">
        <w:t> </w:t>
      </w:r>
      <w:r>
        <w:t>% allowed.</w:t>
      </w:r>
    </w:p>
    <w:p w:rsidR="003D30BA" w:rsidRDefault="003D30BA" w:rsidP="003D30BA">
      <w:r>
        <w:t xml:space="preserve">Mr. Lewis, Rice Lake Weighing Systems Inc., recommended that the language in DES Section D paragraph </w:t>
      </w:r>
      <w:r w:rsidR="007B3EE8">
        <w:t>six</w:t>
      </w:r>
      <w:r>
        <w:t xml:space="preserve"> be amended to change the minimum capacity of the of load cell intended to be substituted in a scale from 85</w:t>
      </w:r>
      <w:r w:rsidR="007B3EE8">
        <w:t> </w:t>
      </w:r>
      <w:r>
        <w:t>% to the “next lowest load cell in that family.”  Mr. Cook, NIST, OWM, agreed that the differences between adjacent capacities in a manufacturer’s load cell family are frequently lower than 85</w:t>
      </w:r>
      <w:r w:rsidR="007B3EE8">
        <w:t> </w:t>
      </w:r>
      <w:r>
        <w:t xml:space="preserve">%.  The following example was copied </w:t>
      </w:r>
      <w:r>
        <w:lastRenderedPageBreak/>
        <w:t>from a Rice Lake Weighing Systems, Inc. load cell CC and demonstrates that the next lower capacity load cell is between 50</w:t>
      </w:r>
      <w:r w:rsidR="007B3EE8">
        <w:t> </w:t>
      </w:r>
      <w:r>
        <w:t>% and 75</w:t>
      </w:r>
      <w:r w:rsidR="007B3EE8">
        <w:t> </w:t>
      </w:r>
      <w:r>
        <w:t>% of the next higher capacity load cell.  Mr. Cook explained that the intent of the original language is to help ensure the suitability of the replacement load cell, including parameters such as v</w:t>
      </w:r>
      <w:r w:rsidRPr="003D30BA">
        <w:rPr>
          <w:vertAlign w:val="subscript"/>
        </w:rPr>
        <w:t>min</w:t>
      </w:r>
      <w:r>
        <w:t>.  Mr. Cook suggested that any change to the technical policy be supported by evaluating examples where a suitable capacity load cell is not available (e.g., original cell is in SI units and the potential replacement cell is in customary units).</w:t>
      </w:r>
    </w:p>
    <w:p w:rsidR="003D30BA" w:rsidRDefault="003D30BA" w:rsidP="003D30BA">
      <w:pPr>
        <w:pStyle w:val="BoldHeading"/>
      </w:pPr>
      <w:r>
        <w:t>Conclusion:</w:t>
      </w:r>
    </w:p>
    <w:p w:rsidR="003D30BA" w:rsidRDefault="003D30BA" w:rsidP="003D30BA">
      <w:r>
        <w:t>The NTETC Weighing Sector discussed the item, during which time, the question was raised whether or not anyone could explain the reason why NTEP had elected to select 85</w:t>
      </w:r>
      <w:r w:rsidR="007B3EE8">
        <w:t> </w:t>
      </w:r>
      <w:r>
        <w:t>% as the limiting factor to be used in determining whether or not a load cell of lesser capacity is suitable for use as a substitute for a load cell of greater capacity.  It was noted that the 85</w:t>
      </w:r>
      <w:r w:rsidR="007B3EE8">
        <w:t> </w:t>
      </w:r>
      <w:r>
        <w:t>% factor has existed in type evaluation criteria for a very long time.  No one in attendance could provide a technical justification of why 85</w:t>
      </w:r>
      <w:r w:rsidR="00C95A63">
        <w:t> </w:t>
      </w:r>
      <w:r>
        <w:t xml:space="preserve">% </w:t>
      </w:r>
      <w:r w:rsidRPr="00C83B0B">
        <w:rPr>
          <w:u w:color="82C42A"/>
        </w:rPr>
        <w:t>was selected</w:t>
      </w:r>
      <w:r w:rsidRPr="00C83B0B">
        <w:t xml:space="preserve"> </w:t>
      </w:r>
      <w:r>
        <w:t>opposed to some lesser value</w:t>
      </w:r>
      <w:r w:rsidR="00C95A63">
        <w:t xml:space="preserve"> (</w:t>
      </w:r>
      <w:r>
        <w:t xml:space="preserve"> e.g.</w:t>
      </w:r>
      <w:r w:rsidR="007B3EE8">
        <w:t>,</w:t>
      </w:r>
      <w:r>
        <w:t xml:space="preserve"> 75</w:t>
      </w:r>
      <w:r w:rsidR="007B3EE8">
        <w:t> </w:t>
      </w:r>
      <w:r>
        <w:t>%, 50</w:t>
      </w:r>
      <w:r w:rsidR="007B3EE8">
        <w:t> </w:t>
      </w:r>
      <w:r w:rsidR="00C95A63">
        <w:t>%)</w:t>
      </w:r>
      <w:r>
        <w:t>, although some possible reasons were identified and discussed as follows:</w:t>
      </w:r>
    </w:p>
    <w:p w:rsidR="003D30BA" w:rsidRDefault="003D30BA" w:rsidP="003D30BA">
      <w:pPr>
        <w:pStyle w:val="bulletedlist"/>
      </w:pPr>
      <w:r>
        <w:t>Use of the load cells in customary and SI applications</w:t>
      </w:r>
    </w:p>
    <w:p w:rsidR="003D30BA" w:rsidRDefault="003D30BA" w:rsidP="003D30BA">
      <w:pPr>
        <w:pStyle w:val="bulletedlist"/>
      </w:pPr>
      <w:r>
        <w:t>The effect of shock loading and other loading characteristics</w:t>
      </w:r>
    </w:p>
    <w:p w:rsidR="003D30BA" w:rsidRDefault="003D30BA" w:rsidP="003D30BA">
      <w:pPr>
        <w:pStyle w:val="bulletedlist"/>
      </w:pPr>
      <w:r>
        <w:t>Increased sensitivity due to influence factors and disturbances, etc.</w:t>
      </w:r>
    </w:p>
    <w:p w:rsidR="001C3D9E" w:rsidRPr="007B3EE8" w:rsidRDefault="003D30BA" w:rsidP="003D30BA">
      <w:r>
        <w:t>After considering and discussing these various possibilities, the sector agreed that it was highly probable that a technical justification existed for selecting 85</w:t>
      </w:r>
      <w:r w:rsidR="00C95A63">
        <w:t> </w:t>
      </w:r>
      <w:r>
        <w:t xml:space="preserve">%, opposed to some lesser value, and for this reason </w:t>
      </w:r>
      <w:r w:rsidRPr="007B3EE8">
        <w:t xml:space="preserve">NCWM Publication 14 should not be changed.  </w:t>
      </w:r>
    </w:p>
    <w:p w:rsidR="0055387E" w:rsidRDefault="0055387E" w:rsidP="0055387E">
      <w:pPr>
        <w:pStyle w:val="Heading1"/>
      </w:pPr>
      <w:bookmarkStart w:id="54" w:name="_Toc310427971"/>
      <w:bookmarkStart w:id="55" w:name="_Toc311539253"/>
      <w:bookmarkStart w:id="56" w:name="ADDITONALITEMS"/>
      <w:r>
        <w:t>Additional Items (Not Included on Draft Agenda)</w:t>
      </w:r>
      <w:bookmarkEnd w:id="54"/>
      <w:bookmarkEnd w:id="55"/>
    </w:p>
    <w:p w:rsidR="0055387E" w:rsidRDefault="0055387E" w:rsidP="00FC3603">
      <w:pPr>
        <w:pStyle w:val="ItemHeading"/>
      </w:pPr>
      <w:bookmarkStart w:id="57" w:name="_Toc310427972"/>
      <w:bookmarkStart w:id="58" w:name="_Toc311539254"/>
      <w:bookmarkStart w:id="59" w:name="IncorrectSectionReferences"/>
      <w:bookmarkEnd w:id="56"/>
      <w:r>
        <w:t>Incorrect Section References and Some Editorial Corrections Needed to NCWM Publication 14</w:t>
      </w:r>
      <w:bookmarkEnd w:id="57"/>
      <w:bookmarkEnd w:id="58"/>
    </w:p>
    <w:bookmarkEnd w:id="59"/>
    <w:p w:rsidR="0055387E" w:rsidRDefault="0055387E" w:rsidP="0055387E">
      <w:pPr>
        <w:pStyle w:val="BoldHeading"/>
      </w:pPr>
      <w:r>
        <w:t>Source:</w:t>
      </w:r>
    </w:p>
    <w:p w:rsidR="0055387E" w:rsidRDefault="0055387E" w:rsidP="0055387E">
      <w:r>
        <w:t>Mr. Davidson, Mettler-Toledo, Inc.</w:t>
      </w:r>
    </w:p>
    <w:p w:rsidR="0055387E" w:rsidRDefault="0055387E" w:rsidP="0055387E">
      <w:pPr>
        <w:pStyle w:val="BoldHeading"/>
      </w:pPr>
      <w:r>
        <w:t>Background/Discussion:</w:t>
      </w:r>
    </w:p>
    <w:p w:rsidR="0055387E" w:rsidRDefault="0055387E" w:rsidP="0055387E">
      <w:r>
        <w:t xml:space="preserve">Mr. Davidson, Mettler-Toledo, Inc., indicated that he had discovered what appeared to be some conflicting section references and other minor editorial errors in </w:t>
      </w:r>
      <w:r w:rsidRPr="007B3EE8">
        <w:t>NCWM Publication 14</w:t>
      </w:r>
      <w:r>
        <w:t xml:space="preserve"> that needed to be corrected as follows:  </w:t>
      </w:r>
    </w:p>
    <w:p w:rsidR="0055387E" w:rsidRDefault="0055387E" w:rsidP="0055387E">
      <w:pPr>
        <w:pStyle w:val="numberedlist"/>
        <w:numPr>
          <w:ilvl w:val="0"/>
          <w:numId w:val="39"/>
        </w:numPr>
      </w:pPr>
      <w:r>
        <w:t>The reference to DES Section 34.7.1. and both references to 34.7.4. are incorrect and should be changed to 34.3.1. and 34.3.4. respectively.</w:t>
      </w:r>
    </w:p>
    <w:p w:rsidR="0055387E" w:rsidRDefault="0055387E" w:rsidP="0055387E">
      <w:pPr>
        <w:pStyle w:val="numberedlist"/>
      </w:pPr>
      <w:r>
        <w:t>Delete “0.5e” in the first sentence of 58.2 and replace it with “the applicable tolerance.”  Also, replace the  symbol “</w:t>
      </w:r>
      <w:r w:rsidR="007B3EE8">
        <w:rPr>
          <w:rFonts w:cs="Times New Roman"/>
        </w:rPr>
        <w:t>≤</w:t>
      </w:r>
      <w:r>
        <w:t xml:space="preserve">” with the symbol “&gt;”in the formula “(n ≤ 4000)”  on the form on page 83 where that formula appears in the last sentence under the form heading titled “For Single Range Scales:”  </w:t>
      </w:r>
    </w:p>
    <w:p w:rsidR="0055387E" w:rsidRDefault="0055387E" w:rsidP="0055387E">
      <w:pPr>
        <w:pStyle w:val="BoldHeading"/>
      </w:pPr>
      <w:r>
        <w:t>Conclusion:</w:t>
      </w:r>
    </w:p>
    <w:p w:rsidR="0055387E" w:rsidRDefault="0055387E" w:rsidP="0055387E">
      <w:r w:rsidRPr="007B3EE8">
        <w:t xml:space="preserve">The </w:t>
      </w:r>
      <w:r w:rsidR="007B3EE8" w:rsidRPr="007B3EE8">
        <w:t>S</w:t>
      </w:r>
      <w:r w:rsidRPr="007B3EE8">
        <w:t xml:space="preserve">ector reviewed the language in each of the sections identified by Mr. Davidson, Mettler-Toledo, Inc., and agreed to recommend that each of the sections be corrected as suggested.  The changes recommended by the </w:t>
      </w:r>
      <w:r w:rsidR="007B3EE8" w:rsidRPr="007B3EE8">
        <w:t>S</w:t>
      </w:r>
      <w:r w:rsidRPr="007B3EE8">
        <w:t xml:space="preserve">ector </w:t>
      </w:r>
      <w:r w:rsidR="00985FB5" w:rsidRPr="007B3EE8">
        <w:t>are:</w:t>
      </w:r>
    </w:p>
    <w:p w:rsidR="00C43EDA" w:rsidRDefault="00C43EDA" w:rsidP="00C43EDA">
      <w:pPr>
        <w:pStyle w:val="BoldHeading"/>
        <w:rPr>
          <w:b w:val="0"/>
        </w:rPr>
      </w:pPr>
      <w:r w:rsidRPr="00651AE6">
        <w:rPr>
          <w:b w:val="0"/>
        </w:rPr>
        <w:t>NCWM Publication 14</w:t>
      </w:r>
      <w:r w:rsidRPr="009375EF">
        <w:rPr>
          <w:b w:val="0"/>
        </w:rPr>
        <w:t xml:space="preserve"> DES Section </w:t>
      </w:r>
      <w:r>
        <w:rPr>
          <w:b w:val="0"/>
        </w:rPr>
        <w:t>34.3.3.</w:t>
      </w:r>
    </w:p>
    <w:p w:rsidR="00C43EDA" w:rsidRDefault="00C43EDA" w:rsidP="00C43EDA">
      <w:pPr>
        <w:pStyle w:val="BoldHeading"/>
        <w:rPr>
          <w:b w:val="0"/>
        </w:rPr>
      </w:pPr>
    </w:p>
    <w:tbl>
      <w:tblPr>
        <w:tblW w:w="9450" w:type="dxa"/>
        <w:tblInd w:w="18" w:type="dxa"/>
        <w:tblLook w:val="04A0" w:firstRow="1" w:lastRow="0" w:firstColumn="1" w:lastColumn="0" w:noHBand="0" w:noVBand="1"/>
      </w:tblPr>
      <w:tblGrid>
        <w:gridCol w:w="7290"/>
        <w:gridCol w:w="2160"/>
      </w:tblGrid>
      <w:tr w:rsidR="00C43EDA" w:rsidTr="00C43EDA">
        <w:tc>
          <w:tcPr>
            <w:tcW w:w="7290" w:type="dxa"/>
          </w:tcPr>
          <w:p w:rsidR="00C43EDA" w:rsidRPr="00C43EDA" w:rsidRDefault="00C43EDA" w:rsidP="00C43EDA">
            <w:pPr>
              <w:pStyle w:val="I-Normalreg"/>
              <w:spacing w:after="0"/>
              <w:ind w:left="1062" w:hanging="702"/>
            </w:pPr>
            <w:r w:rsidRPr="00C43EDA">
              <w:t>34.3.3.</w:t>
            </w:r>
            <w:r>
              <w:tab/>
            </w:r>
            <w:r w:rsidRPr="00C43EDA">
              <w:t>Individual indications for each load-receiving element - with summed indication. Each individual load-receiving element display must operate within the guidelines defined in section 34.</w:t>
            </w:r>
            <w:r w:rsidRPr="00C43EDA">
              <w:rPr>
                <w:b/>
                <w:strike/>
              </w:rPr>
              <w:t>7</w:t>
            </w:r>
            <w:r w:rsidRPr="00C43EDA">
              <w:rPr>
                <w:u w:val="single"/>
              </w:rPr>
              <w:t>3</w:t>
            </w:r>
            <w:r w:rsidRPr="00C43EDA">
              <w:t>.1. or 34.</w:t>
            </w:r>
            <w:r w:rsidRPr="00C43EDA">
              <w:rPr>
                <w:b/>
                <w:strike/>
              </w:rPr>
              <w:t>7</w:t>
            </w:r>
            <w:r w:rsidRPr="00C43EDA">
              <w:rPr>
                <w:u w:val="single"/>
              </w:rPr>
              <w:t>3</w:t>
            </w:r>
            <w:r w:rsidRPr="00C43EDA">
              <w:t xml:space="preserve">.4. If the instrument has the ability to operate in a "Sum Only" mode, the summed </w:t>
            </w:r>
            <w:r w:rsidRPr="00C43EDA">
              <w:lastRenderedPageBreak/>
              <w:t>display must operate within the guidelines in section 34.</w:t>
            </w:r>
            <w:r w:rsidRPr="00C43EDA">
              <w:rPr>
                <w:b/>
                <w:strike/>
              </w:rPr>
              <w:t>7</w:t>
            </w:r>
            <w:r w:rsidRPr="00C43EDA">
              <w:rPr>
                <w:u w:val="single"/>
              </w:rPr>
              <w:t>3</w:t>
            </w:r>
            <w:r w:rsidR="00647C81">
              <w:rPr>
                <w:u w:val="single"/>
              </w:rPr>
              <w:t>.</w:t>
            </w:r>
            <w:r w:rsidRPr="00C43EDA">
              <w:t>4. In this case, when the system is zeroed:</w:t>
            </w:r>
          </w:p>
        </w:tc>
        <w:tc>
          <w:tcPr>
            <w:tcW w:w="2160" w:type="dxa"/>
          </w:tcPr>
          <w:p w:rsidR="00C43EDA" w:rsidRDefault="00C43EDA" w:rsidP="00C43EDA">
            <w:pPr>
              <w:pStyle w:val="CheckBoxes"/>
            </w:pPr>
          </w:p>
        </w:tc>
      </w:tr>
    </w:tbl>
    <w:p w:rsidR="00C43EDA" w:rsidRDefault="00C43EDA" w:rsidP="00C43EDA">
      <w:pPr>
        <w:pStyle w:val="BoldHeading"/>
        <w:rPr>
          <w:b w:val="0"/>
        </w:rPr>
      </w:pPr>
    </w:p>
    <w:p w:rsidR="00C43EDA" w:rsidRDefault="00C43EDA" w:rsidP="00C43EDA">
      <w:pPr>
        <w:pStyle w:val="BoldHeading"/>
        <w:rPr>
          <w:b w:val="0"/>
        </w:rPr>
      </w:pPr>
      <w:r w:rsidRPr="00651AE6">
        <w:rPr>
          <w:b w:val="0"/>
        </w:rPr>
        <w:t>NCWM Publication 14</w:t>
      </w:r>
      <w:r w:rsidRPr="009375EF">
        <w:rPr>
          <w:b w:val="0"/>
        </w:rPr>
        <w:t xml:space="preserve"> DES Section </w:t>
      </w:r>
      <w:r>
        <w:rPr>
          <w:b w:val="0"/>
        </w:rPr>
        <w:t>58.2.</w:t>
      </w:r>
    </w:p>
    <w:tbl>
      <w:tblPr>
        <w:tblW w:w="9450" w:type="dxa"/>
        <w:tblInd w:w="18" w:type="dxa"/>
        <w:tblLook w:val="04A0" w:firstRow="1" w:lastRow="0" w:firstColumn="1" w:lastColumn="0" w:noHBand="0" w:noVBand="1"/>
      </w:tblPr>
      <w:tblGrid>
        <w:gridCol w:w="7290"/>
        <w:gridCol w:w="2160"/>
      </w:tblGrid>
      <w:tr w:rsidR="00C43EDA" w:rsidTr="00C43EDA">
        <w:tc>
          <w:tcPr>
            <w:tcW w:w="7290" w:type="dxa"/>
          </w:tcPr>
          <w:p w:rsidR="00C43EDA" w:rsidRPr="00C43EDA" w:rsidRDefault="00C43EDA" w:rsidP="00C43EDA">
            <w:pPr>
              <w:pStyle w:val="I-Normalreg"/>
              <w:spacing w:after="0"/>
              <w:ind w:left="1062" w:hanging="720"/>
            </w:pPr>
            <w:r>
              <w:t>58.2.</w:t>
            </w:r>
            <w:r>
              <w:tab/>
            </w:r>
            <w:r w:rsidRPr="00B93173">
              <w:t xml:space="preserve">The deviation on returning to zero as soon as the indication has stabilized, after the removal of any load which has remained on the instrument for 30 minutes, shall not exceed </w:t>
            </w:r>
            <w:r w:rsidRPr="00985FB5">
              <w:rPr>
                <w:b/>
                <w:strike/>
              </w:rPr>
              <w:t>0.5 e.</w:t>
            </w:r>
            <w:r w:rsidR="00985FB5">
              <w:t xml:space="preserve"> </w:t>
            </w:r>
            <w:r w:rsidR="00985FB5" w:rsidRPr="00985FB5">
              <w:rPr>
                <w:b/>
                <w:u w:val="single"/>
              </w:rPr>
              <w:t>the applicable tolerance.</w:t>
            </w:r>
          </w:p>
        </w:tc>
        <w:tc>
          <w:tcPr>
            <w:tcW w:w="2160" w:type="dxa"/>
          </w:tcPr>
          <w:p w:rsidR="00C43EDA" w:rsidRDefault="00C43EDA" w:rsidP="00C43EDA">
            <w:pPr>
              <w:pStyle w:val="CheckBoxes"/>
            </w:pPr>
            <w:r w:rsidRPr="00304640">
              <w:fldChar w:fldCharType="begin">
                <w:ffData>
                  <w:name w:val="Check1"/>
                  <w:enabled/>
                  <w:calcOnExit w:val="0"/>
                  <w:checkBox>
                    <w:sizeAuto/>
                    <w:default w:val="0"/>
                  </w:checkBox>
                </w:ffData>
              </w:fldChar>
            </w:r>
            <w:r w:rsidRPr="00304640">
              <w:instrText xml:space="preserve"> FORMCHECKBOX </w:instrText>
            </w:r>
            <w:r w:rsidRPr="00304640">
              <w:fldChar w:fldCharType="end"/>
            </w:r>
            <w:r w:rsidRPr="00304640">
              <w:t xml:space="preserve"> Yes  </w:t>
            </w:r>
            <w:r w:rsidRPr="00304640">
              <w:fldChar w:fldCharType="begin">
                <w:ffData>
                  <w:name w:val="Check1"/>
                  <w:enabled/>
                  <w:calcOnExit w:val="0"/>
                  <w:checkBox>
                    <w:sizeAuto/>
                    <w:default w:val="0"/>
                  </w:checkBox>
                </w:ffData>
              </w:fldChar>
            </w:r>
            <w:r w:rsidRPr="00304640">
              <w:instrText xml:space="preserve"> FORMCHECKBOX </w:instrText>
            </w:r>
            <w:r w:rsidRPr="00304640">
              <w:fldChar w:fldCharType="end"/>
            </w:r>
            <w:r w:rsidRPr="00304640">
              <w:t xml:space="preserve"> No  </w:t>
            </w:r>
            <w:r w:rsidRPr="00304640">
              <w:fldChar w:fldCharType="begin">
                <w:ffData>
                  <w:name w:val="Check1"/>
                  <w:enabled/>
                  <w:calcOnExit w:val="0"/>
                  <w:checkBox>
                    <w:sizeAuto/>
                    <w:default w:val="0"/>
                  </w:checkBox>
                </w:ffData>
              </w:fldChar>
            </w:r>
            <w:r w:rsidRPr="00304640">
              <w:instrText xml:space="preserve"> FORMCHECKBOX </w:instrText>
            </w:r>
            <w:r w:rsidRPr="00304640">
              <w:fldChar w:fldCharType="end"/>
            </w:r>
            <w:r w:rsidRPr="00304640">
              <w:t xml:space="preserve"> N/A</w:t>
            </w:r>
          </w:p>
        </w:tc>
      </w:tr>
    </w:tbl>
    <w:p w:rsidR="00C43EDA" w:rsidRDefault="00C43EDA" w:rsidP="00C43EDA">
      <w:pPr>
        <w:pStyle w:val="BoldHeading"/>
        <w:rPr>
          <w:b w:val="0"/>
        </w:rPr>
      </w:pPr>
    </w:p>
    <w:p w:rsidR="00C43EDA" w:rsidRPr="009375EF" w:rsidRDefault="00C43EDA" w:rsidP="00C43EDA">
      <w:pPr>
        <w:pStyle w:val="BoldHeading"/>
        <w:rPr>
          <w:b w:val="0"/>
        </w:rPr>
      </w:pPr>
      <w:r w:rsidRPr="00651AE6">
        <w:rPr>
          <w:b w:val="0"/>
        </w:rPr>
        <w:t>NCWM Publication 14</w:t>
      </w:r>
      <w:r w:rsidRPr="009375EF">
        <w:rPr>
          <w:b w:val="0"/>
        </w:rPr>
        <w:t xml:space="preserve"> DES Section </w:t>
      </w:r>
      <w:r w:rsidR="00985FB5">
        <w:rPr>
          <w:b w:val="0"/>
        </w:rPr>
        <w:t>58. Time Dependence Test Form</w:t>
      </w:r>
      <w:r w:rsidR="001323BC">
        <w:rPr>
          <w:b w:val="0"/>
        </w:rPr>
        <w:t xml:space="preserve"> (entire form not shown)</w:t>
      </w:r>
    </w:p>
    <w:p w:rsidR="00985FB5" w:rsidRPr="00985FB5" w:rsidRDefault="00985FB5" w:rsidP="00985FB5">
      <w:pPr>
        <w:pStyle w:val="I-Normalreg"/>
        <w:spacing w:after="0"/>
        <w:rPr>
          <w:b/>
        </w:rPr>
      </w:pPr>
      <w:r w:rsidRPr="00985FB5">
        <w:rPr>
          <w:b/>
        </w:rPr>
        <w:t>For Single Range Scales:</w:t>
      </w:r>
    </w:p>
    <w:p w:rsidR="00985FB5" w:rsidRPr="00985FB5" w:rsidRDefault="00985FB5" w:rsidP="00985FB5">
      <w:pPr>
        <w:pStyle w:val="I-Normalreg"/>
        <w:spacing w:after="0"/>
      </w:pPr>
      <w:r w:rsidRPr="00985FB5">
        <w:t>Check that |ΔP|≤|MPE| for Class III L Devices</w:t>
      </w:r>
    </w:p>
    <w:p w:rsidR="00985FB5" w:rsidRPr="00985FB5" w:rsidRDefault="00985FB5" w:rsidP="00985FB5">
      <w:pPr>
        <w:pStyle w:val="I-Normalreg"/>
        <w:spacing w:after="0"/>
      </w:pPr>
      <w:r w:rsidRPr="00985FB5">
        <w:t>Check that |ΔP|≤ 0.5 e for Class II and IIII Devices</w:t>
      </w:r>
    </w:p>
    <w:p w:rsidR="00985FB5" w:rsidRPr="00985FB5" w:rsidRDefault="00985FB5" w:rsidP="00985FB5">
      <w:pPr>
        <w:pStyle w:val="I-Normalreg"/>
        <w:spacing w:after="0"/>
      </w:pPr>
      <w:r w:rsidRPr="00985FB5">
        <w:t>Check that |ΔP|≤ 0.5 e for Class III Devices (n</w:t>
      </w:r>
      <w:r w:rsidR="007B3EE8">
        <w:t xml:space="preserve"> </w:t>
      </w:r>
      <w:r w:rsidRPr="00985FB5">
        <w:t>≤</w:t>
      </w:r>
      <w:r w:rsidR="007B3EE8">
        <w:t xml:space="preserve"> </w:t>
      </w:r>
      <w:r w:rsidRPr="00985FB5">
        <w:t>4 000 d)</w:t>
      </w:r>
    </w:p>
    <w:p w:rsidR="00C43EDA" w:rsidRPr="009375EF" w:rsidRDefault="00985FB5" w:rsidP="00985FB5">
      <w:pPr>
        <w:pStyle w:val="I-Normalreg"/>
        <w:spacing w:after="0"/>
        <w:rPr>
          <w:b/>
        </w:rPr>
      </w:pPr>
      <w:r w:rsidRPr="00985FB5">
        <w:t>Check that |ΔP|≤ 0.83 e for Class III Devices (n</w:t>
      </w:r>
      <w:r w:rsidR="007B3EE8">
        <w:t xml:space="preserve"> </w:t>
      </w:r>
      <w:r w:rsidR="00C8633F">
        <w:rPr>
          <w:rFonts w:cs="Times New Roman"/>
        </w:rPr>
        <w:t>≤</w:t>
      </w:r>
      <w:r w:rsidRPr="00985FB5">
        <w:rPr>
          <w:rFonts w:ascii="Times New Roman Bold" w:hAnsi="Times New Roman Bold"/>
        </w:rPr>
        <w:t xml:space="preserve"> </w:t>
      </w:r>
      <w:r w:rsidR="00647C81" w:rsidRPr="00E03EF6">
        <w:rPr>
          <w:rFonts w:cs="Times New Roman"/>
        </w:rPr>
        <w:sym w:font="Symbol" w:char="F03E"/>
      </w:r>
      <w:r w:rsidR="00E03EF6">
        <w:rPr>
          <w:rFonts w:cs="Times New Roman"/>
          <w:b/>
        </w:rPr>
        <w:t xml:space="preserve"> </w:t>
      </w:r>
      <w:r w:rsidRPr="00985FB5">
        <w:t>4 000 d)</w:t>
      </w:r>
    </w:p>
    <w:p w:rsidR="0055387E" w:rsidRDefault="0055387E" w:rsidP="00C8633F">
      <w:pPr>
        <w:pStyle w:val="ItemHeading"/>
      </w:pPr>
      <w:bookmarkStart w:id="60" w:name="_Toc310427973"/>
      <w:bookmarkStart w:id="61" w:name="_Toc311539255"/>
      <w:bookmarkStart w:id="62" w:name="SealingCapabilities"/>
      <w:r>
        <w:t>Sealing/Capabilities of Smart Junction Boxes</w:t>
      </w:r>
      <w:bookmarkEnd w:id="60"/>
      <w:bookmarkEnd w:id="61"/>
    </w:p>
    <w:bookmarkEnd w:id="62"/>
    <w:p w:rsidR="0055387E" w:rsidRDefault="0055387E" w:rsidP="00C8633F">
      <w:pPr>
        <w:pStyle w:val="BoldHeading"/>
        <w:keepNext/>
      </w:pPr>
      <w:r>
        <w:t xml:space="preserve">Source:  </w:t>
      </w:r>
    </w:p>
    <w:p w:rsidR="0055387E" w:rsidRDefault="0055387E" w:rsidP="00C8633F">
      <w:pPr>
        <w:keepNext/>
      </w:pPr>
      <w:r>
        <w:t xml:space="preserve">Mr. Payne, </w:t>
      </w:r>
      <w:r w:rsidRPr="0055387E">
        <w:t>Maryland Department of Agriculture</w:t>
      </w:r>
    </w:p>
    <w:p w:rsidR="0055387E" w:rsidRDefault="0055387E" w:rsidP="00C8633F">
      <w:pPr>
        <w:pStyle w:val="BoldHeading"/>
        <w:keepNext/>
      </w:pPr>
      <w:r>
        <w:t xml:space="preserve">Background/Discussion: </w:t>
      </w:r>
    </w:p>
    <w:p w:rsidR="0055387E" w:rsidRDefault="0055387E" w:rsidP="00C8633F">
      <w:pPr>
        <w:keepNext/>
      </w:pPr>
      <w:r w:rsidRPr="0055387E">
        <w:t>Maryland Department of Agriculture</w:t>
      </w:r>
      <w:r>
        <w:t xml:space="preserve"> requested </w:t>
      </w:r>
      <w:r w:rsidRPr="00C8633F">
        <w:t>the sector’s</w:t>
      </w:r>
      <w:r>
        <w:t xml:space="preserve"> guidance on the proper means of sealing, and assistance in determining the capabilities of a “smart junction box,”(aka “smart “J” box”) which was about to be submitted to the Maryland Laboratory for NTEP certification.  Although not confirmed, it was Mr. Payne’s belief (based on discussions with an equipment manufacturer) that the “smart junction box” provided a means of remotely accessing calibration and/or configuration adjustments once installed in a scale.  </w:t>
      </w:r>
    </w:p>
    <w:p w:rsidR="0055387E" w:rsidRDefault="0055387E" w:rsidP="00C8633F">
      <w:pPr>
        <w:keepNext/>
      </w:pPr>
      <w:r>
        <w:t>Mr. Truex, NTEP Administrator, pointed out that such adjustments can generally only be carried out through the indicator of a weighing system comprised of separable components (i.e., an indicator, weighing/load-receiving element, and load cells).  NTEP evaluates each of these components separately, issuing a separate CC for each component once that component has passed type evaluation criteria.  Notations made on the CC by the evaluator typically provide an indication of the compatibility and/or non-compatibility of a component with other separable components.</w:t>
      </w:r>
    </w:p>
    <w:p w:rsidR="0055387E" w:rsidRPr="00C8633F" w:rsidRDefault="0055387E" w:rsidP="0055387E">
      <w:r>
        <w:t xml:space="preserve">During the discussion, it was mentioned that several U.S. scale manufacturers, including some who were represented in the room, design and manufacture smart “J” boxes.  Mr. Flocken, Mettler-Toledo, Inc., noted that internationally, </w:t>
      </w:r>
      <w:r w:rsidRPr="00C8633F">
        <w:t xml:space="preserve">as many as seven different components of a scale are type evaluated using test criteria contained in OIML Recommendations.  He questioned whether the </w:t>
      </w:r>
      <w:r w:rsidR="00C8633F" w:rsidRPr="00C8633F">
        <w:t>S</w:t>
      </w:r>
      <w:r w:rsidRPr="00C8633F">
        <w:t xml:space="preserve">ector might want to further research the capabilities of “smart “J” boxes” and possibly consider developing type evaluation criteria to evaluate them as separate component of a weighing system.  </w:t>
      </w:r>
    </w:p>
    <w:p w:rsidR="0055387E" w:rsidRPr="00C8633F" w:rsidRDefault="0055387E" w:rsidP="0055387E">
      <w:pPr>
        <w:pStyle w:val="BoldHeading"/>
      </w:pPr>
      <w:r w:rsidRPr="00C8633F">
        <w:t>Conclusion:</w:t>
      </w:r>
    </w:p>
    <w:p w:rsidR="0055387E" w:rsidRDefault="0055387E" w:rsidP="0055387E">
      <w:r w:rsidRPr="00C8633F">
        <w:t xml:space="preserve">The </w:t>
      </w:r>
      <w:r w:rsidR="00C8633F" w:rsidRPr="00C8633F">
        <w:t>S</w:t>
      </w:r>
      <w:r w:rsidRPr="00C8633F">
        <w:t>ector agreed to form a small work group to study the capabilities of this equipment and determine whether or</w:t>
      </w:r>
      <w:r>
        <w:t xml:space="preserve"> not type evaluation criteria should be developed to evaluate them as a separate component.  </w:t>
      </w:r>
    </w:p>
    <w:p w:rsidR="00854B14" w:rsidRDefault="00854B14" w:rsidP="00854B14">
      <w:pPr>
        <w:pStyle w:val="Heading1"/>
      </w:pPr>
      <w:bookmarkStart w:id="63" w:name="_Toc310427974"/>
      <w:bookmarkStart w:id="64" w:name="_Toc311539256"/>
      <w:bookmarkStart w:id="65" w:name="NEXTSECTORMEETING"/>
      <w:r>
        <w:t>Next Sector Meeting</w:t>
      </w:r>
      <w:bookmarkEnd w:id="63"/>
      <w:bookmarkEnd w:id="64"/>
    </w:p>
    <w:bookmarkEnd w:id="65"/>
    <w:p w:rsidR="00854B14" w:rsidRDefault="00854B14" w:rsidP="00854B14">
      <w:r>
        <w:t>Two locations for the 2012 NTETC Weighing Sector Meeting are being considered:</w:t>
      </w:r>
    </w:p>
    <w:p w:rsidR="00854B14" w:rsidRDefault="00854B14" w:rsidP="00BD7B17">
      <w:pPr>
        <w:pStyle w:val="numberedlist"/>
        <w:numPr>
          <w:ilvl w:val="0"/>
          <w:numId w:val="40"/>
        </w:numPr>
      </w:pPr>
      <w:r>
        <w:t xml:space="preserve">Annapolis, Maryland; or </w:t>
      </w:r>
    </w:p>
    <w:p w:rsidR="00854B14" w:rsidRDefault="00854B14" w:rsidP="00BD7B17">
      <w:pPr>
        <w:pStyle w:val="numberedlist"/>
      </w:pPr>
      <w:r>
        <w:t>Ottawa, Canada</w:t>
      </w:r>
    </w:p>
    <w:p w:rsidR="005978A0" w:rsidRPr="00C8633F" w:rsidRDefault="00854B14" w:rsidP="00C8633F">
      <w:r w:rsidRPr="00C8633F">
        <w:t xml:space="preserve">Additionally, the </w:t>
      </w:r>
      <w:r w:rsidR="00C8633F" w:rsidRPr="00C8633F">
        <w:t>S</w:t>
      </w:r>
      <w:r w:rsidRPr="00C8633F">
        <w:t>ector considered August 28</w:t>
      </w:r>
      <w:r w:rsidR="00C8633F" w:rsidRPr="00C8633F">
        <w:t> </w:t>
      </w:r>
      <w:r w:rsidRPr="00C8633F">
        <w:t>-</w:t>
      </w:r>
      <w:r w:rsidR="00C8633F">
        <w:t> </w:t>
      </w:r>
      <w:r w:rsidRPr="00C8633F">
        <w:t>29, 2012</w:t>
      </w:r>
      <w:r w:rsidR="00C8633F" w:rsidRPr="00C8633F">
        <w:t>,</w:t>
      </w:r>
      <w:r w:rsidRPr="00C8633F">
        <w:t xml:space="preserve"> being the most probable dates for the next meeting.</w:t>
      </w:r>
      <w:bookmarkStart w:id="66" w:name="_Toc310411484"/>
      <w:r w:rsidR="00C8633F">
        <w:t xml:space="preserve">  </w:t>
      </w:r>
    </w:p>
    <w:p w:rsidR="005978A0" w:rsidRPr="009F1730" w:rsidRDefault="005978A0" w:rsidP="005978A0">
      <w:pPr>
        <w:pStyle w:val="Heading1"/>
      </w:pPr>
      <w:bookmarkStart w:id="67" w:name="_Toc310427975"/>
      <w:bookmarkStart w:id="68" w:name="_Toc311539257"/>
      <w:bookmarkStart w:id="69" w:name="ATTENDANCE"/>
      <w:r w:rsidRPr="009F1730">
        <w:lastRenderedPageBreak/>
        <w:t>Attendance</w:t>
      </w:r>
      <w:bookmarkEnd w:id="66"/>
      <w:bookmarkEnd w:id="67"/>
      <w:bookmarkEnd w:id="68"/>
    </w:p>
    <w:bookmarkEnd w:id="69"/>
    <w:p w:rsidR="005978A0" w:rsidRDefault="005978A0" w:rsidP="005978A0">
      <w:pPr>
        <w:pStyle w:val="CommitteeMemberNames"/>
        <w:sectPr w:rsidR="005978A0" w:rsidSect="00BE1AFF">
          <w:headerReference w:type="even" r:id="rId10"/>
          <w:headerReference w:type="default" r:id="rId11"/>
          <w:footerReference w:type="even" r:id="rId12"/>
          <w:footerReference w:type="default" r:id="rId13"/>
          <w:pgSz w:w="12240" w:h="15840"/>
          <w:pgMar w:top="1440" w:right="1440" w:bottom="1440" w:left="1440" w:header="720" w:footer="720" w:gutter="0"/>
          <w:pgNumType w:start="1"/>
          <w:cols w:space="720"/>
          <w:docGrid w:linePitch="360"/>
        </w:sectPr>
      </w:pPr>
    </w:p>
    <w:p w:rsidR="005978A0" w:rsidRDefault="005978A0" w:rsidP="005978A0">
      <w:pPr>
        <w:pStyle w:val="CommitteeMemberNames"/>
        <w:rPr>
          <w:b/>
        </w:rPr>
      </w:pPr>
      <w:r w:rsidRPr="005978A0">
        <w:rPr>
          <w:b/>
        </w:rPr>
        <w:lastRenderedPageBreak/>
        <w:t>Adnan</w:t>
      </w:r>
      <w:r>
        <w:rPr>
          <w:b/>
        </w:rPr>
        <w:t xml:space="preserve"> </w:t>
      </w:r>
      <w:r w:rsidRPr="005978A0">
        <w:rPr>
          <w:b/>
        </w:rPr>
        <w:t>Alam</w:t>
      </w:r>
    </w:p>
    <w:p w:rsidR="005978A0" w:rsidRPr="005978A0" w:rsidRDefault="005978A0" w:rsidP="005978A0">
      <w:pPr>
        <w:pStyle w:val="CommitteeMemberNames"/>
      </w:pPr>
      <w:r w:rsidRPr="005978A0">
        <w:t>A&amp;D Engineering, Inc.</w:t>
      </w:r>
    </w:p>
    <w:p w:rsidR="005978A0" w:rsidRPr="005978A0" w:rsidRDefault="005978A0" w:rsidP="005978A0">
      <w:pPr>
        <w:pStyle w:val="CommitteeMemberNames"/>
      </w:pPr>
      <w:r w:rsidRPr="005978A0">
        <w:t>1756 Automation Parkway</w:t>
      </w:r>
    </w:p>
    <w:p w:rsidR="005978A0" w:rsidRPr="005978A0" w:rsidRDefault="005978A0" w:rsidP="005978A0">
      <w:pPr>
        <w:pStyle w:val="CommitteeMemberNames"/>
      </w:pPr>
      <w:r w:rsidRPr="005978A0">
        <w:t>San Jose, CA</w:t>
      </w:r>
      <w:r w:rsidR="00C8633F">
        <w:t xml:space="preserve"> </w:t>
      </w:r>
      <w:r w:rsidRPr="005978A0">
        <w:t>95131</w:t>
      </w:r>
    </w:p>
    <w:p w:rsidR="005978A0" w:rsidRPr="005978A0" w:rsidRDefault="005978A0" w:rsidP="005978A0">
      <w:pPr>
        <w:pStyle w:val="CommitteeMemberNames"/>
      </w:pPr>
      <w:r w:rsidRPr="005978A0">
        <w:t>(408) 518-5112</w:t>
      </w:r>
    </w:p>
    <w:p w:rsidR="005978A0" w:rsidRPr="005978A0" w:rsidRDefault="005978A0" w:rsidP="005978A0">
      <w:pPr>
        <w:pStyle w:val="CommitteeMemberNames"/>
        <w:rPr>
          <w:rStyle w:val="Hyperlink"/>
        </w:rPr>
      </w:pPr>
      <w:r w:rsidRPr="005978A0">
        <w:rPr>
          <w:rStyle w:val="Hyperlink"/>
        </w:rPr>
        <w:t>aalam@andonline.com</w:t>
      </w:r>
    </w:p>
    <w:p w:rsidR="005978A0" w:rsidRPr="005978A0" w:rsidRDefault="005978A0" w:rsidP="005978A0">
      <w:pPr>
        <w:pStyle w:val="CommitteeMemberNames"/>
      </w:pPr>
    </w:p>
    <w:p w:rsidR="005978A0" w:rsidRPr="005978A0" w:rsidRDefault="005978A0" w:rsidP="005978A0">
      <w:pPr>
        <w:pStyle w:val="CommitteeMemberNames"/>
        <w:rPr>
          <w:b/>
        </w:rPr>
      </w:pPr>
      <w:r w:rsidRPr="005978A0">
        <w:rPr>
          <w:b/>
        </w:rPr>
        <w:t>Steve Beitzel</w:t>
      </w:r>
    </w:p>
    <w:p w:rsidR="005978A0" w:rsidRPr="005978A0" w:rsidRDefault="005978A0" w:rsidP="005978A0">
      <w:pPr>
        <w:pStyle w:val="CommitteeMemberNames"/>
      </w:pPr>
      <w:r w:rsidRPr="005978A0">
        <w:t>Systems Associates, Inc.</w:t>
      </w:r>
    </w:p>
    <w:p w:rsidR="005978A0" w:rsidRPr="005978A0" w:rsidRDefault="005978A0" w:rsidP="005978A0">
      <w:pPr>
        <w:pStyle w:val="CommitteeMemberNames"/>
      </w:pPr>
      <w:r w:rsidRPr="005978A0">
        <w:t>1932 Industrial Drive</w:t>
      </w:r>
    </w:p>
    <w:p w:rsidR="005978A0" w:rsidRPr="005978A0" w:rsidRDefault="005978A0" w:rsidP="005978A0">
      <w:pPr>
        <w:pStyle w:val="CommitteeMemberNames"/>
      </w:pPr>
      <w:r w:rsidRPr="005978A0">
        <w:t>Libertyville, IL 60048</w:t>
      </w:r>
    </w:p>
    <w:p w:rsidR="005978A0" w:rsidRPr="005978A0" w:rsidRDefault="005978A0" w:rsidP="005978A0">
      <w:pPr>
        <w:pStyle w:val="CommitteeMemberNames"/>
      </w:pPr>
      <w:r w:rsidRPr="005978A0">
        <w:t>(847) 367-6650</w:t>
      </w:r>
    </w:p>
    <w:p w:rsidR="005978A0" w:rsidRPr="005978A0" w:rsidRDefault="005978A0" w:rsidP="005978A0">
      <w:pPr>
        <w:pStyle w:val="CommitteeMemberNames"/>
        <w:rPr>
          <w:rStyle w:val="Hyperlink"/>
        </w:rPr>
      </w:pPr>
      <w:r w:rsidRPr="005978A0">
        <w:rPr>
          <w:rStyle w:val="Hyperlink"/>
        </w:rPr>
        <w:t>sjbeitzel@systemsassoc.com</w:t>
      </w:r>
    </w:p>
    <w:p w:rsidR="005978A0" w:rsidRPr="005978A0" w:rsidRDefault="005978A0" w:rsidP="005978A0">
      <w:pPr>
        <w:pStyle w:val="CommitteeMemberNames"/>
        <w:rPr>
          <w:b/>
        </w:rPr>
      </w:pPr>
      <w:r w:rsidRPr="005978A0">
        <w:rPr>
          <w:b/>
        </w:rPr>
        <w:t>Luciano Burtini</w:t>
      </w:r>
    </w:p>
    <w:p w:rsidR="005978A0" w:rsidRPr="005978A0" w:rsidRDefault="005978A0" w:rsidP="005978A0">
      <w:pPr>
        <w:pStyle w:val="CommitteeMemberNames"/>
      </w:pPr>
      <w:r w:rsidRPr="005978A0">
        <w:t>Measurement Canada</w:t>
      </w:r>
    </w:p>
    <w:p w:rsidR="005978A0" w:rsidRPr="005978A0" w:rsidRDefault="005978A0" w:rsidP="005978A0">
      <w:pPr>
        <w:pStyle w:val="CommitteeMemberNames"/>
      </w:pPr>
      <w:r w:rsidRPr="005978A0">
        <w:t>2008 Matera Avenue</w:t>
      </w:r>
    </w:p>
    <w:p w:rsidR="005978A0" w:rsidRPr="005978A0" w:rsidRDefault="005978A0" w:rsidP="005978A0">
      <w:pPr>
        <w:pStyle w:val="CommitteeMemberNames"/>
      </w:pPr>
      <w:r w:rsidRPr="005978A0">
        <w:t>Kelowna, BCV1V1W9</w:t>
      </w:r>
    </w:p>
    <w:p w:rsidR="005978A0" w:rsidRPr="005978A0" w:rsidRDefault="005978A0" w:rsidP="005978A0">
      <w:pPr>
        <w:pStyle w:val="CommitteeMemberNames"/>
      </w:pPr>
      <w:r w:rsidRPr="005978A0">
        <w:t>(250)</w:t>
      </w:r>
      <w:r w:rsidR="00C8633F">
        <w:t xml:space="preserve"> </w:t>
      </w:r>
      <w:r w:rsidRPr="005978A0">
        <w:t>862-6557</w:t>
      </w:r>
    </w:p>
    <w:p w:rsidR="005978A0" w:rsidRPr="005978A0" w:rsidRDefault="005978A0" w:rsidP="005978A0">
      <w:pPr>
        <w:pStyle w:val="CommitteeMemberNames"/>
        <w:rPr>
          <w:rStyle w:val="Hyperlink"/>
        </w:rPr>
      </w:pPr>
      <w:r w:rsidRPr="005978A0">
        <w:rPr>
          <w:rStyle w:val="Hyperlink"/>
        </w:rPr>
        <w:t>luciano.burtini@ic.gc.ca</w:t>
      </w:r>
    </w:p>
    <w:p w:rsidR="005978A0" w:rsidRPr="005978A0" w:rsidRDefault="005978A0" w:rsidP="005978A0">
      <w:pPr>
        <w:pStyle w:val="CommitteeMemberNames"/>
      </w:pPr>
    </w:p>
    <w:p w:rsidR="005978A0" w:rsidRPr="005978A0" w:rsidRDefault="005978A0" w:rsidP="005978A0">
      <w:pPr>
        <w:pStyle w:val="CommitteeMemberNames"/>
        <w:rPr>
          <w:b/>
        </w:rPr>
      </w:pPr>
      <w:r w:rsidRPr="005978A0">
        <w:rPr>
          <w:b/>
        </w:rPr>
        <w:t>Steven Cook</w:t>
      </w:r>
    </w:p>
    <w:p w:rsidR="005978A0" w:rsidRPr="005978A0" w:rsidRDefault="005978A0" w:rsidP="005978A0">
      <w:pPr>
        <w:pStyle w:val="CommitteeMemberNames"/>
      </w:pPr>
      <w:r w:rsidRPr="005978A0">
        <w:t>NIST, Weights and Measures Division</w:t>
      </w:r>
    </w:p>
    <w:p w:rsidR="005978A0" w:rsidRPr="005978A0" w:rsidRDefault="005978A0" w:rsidP="005978A0">
      <w:pPr>
        <w:pStyle w:val="CommitteeMemberNames"/>
      </w:pPr>
      <w:r w:rsidRPr="005978A0">
        <w:t>100 Bureau Drive, Stop 2600</w:t>
      </w:r>
    </w:p>
    <w:p w:rsidR="005978A0" w:rsidRPr="005978A0" w:rsidRDefault="005978A0" w:rsidP="005978A0">
      <w:pPr>
        <w:pStyle w:val="CommitteeMemberNames"/>
      </w:pPr>
      <w:r w:rsidRPr="005978A0">
        <w:t>Gaithersburg, MD20899-2600</w:t>
      </w:r>
    </w:p>
    <w:p w:rsidR="005978A0" w:rsidRPr="005978A0" w:rsidRDefault="005978A0" w:rsidP="005978A0">
      <w:pPr>
        <w:pStyle w:val="CommitteeMemberNames"/>
      </w:pPr>
      <w:r w:rsidRPr="005978A0">
        <w:t>(301) 975-4003</w:t>
      </w:r>
    </w:p>
    <w:p w:rsidR="005978A0" w:rsidRPr="005978A0" w:rsidRDefault="005978A0" w:rsidP="005978A0">
      <w:pPr>
        <w:pStyle w:val="CommitteeMemberNames"/>
        <w:rPr>
          <w:rStyle w:val="Hyperlink"/>
        </w:rPr>
      </w:pPr>
      <w:r w:rsidRPr="005978A0">
        <w:rPr>
          <w:rStyle w:val="Hyperlink"/>
        </w:rPr>
        <w:t>stevenc@nist.gov</w:t>
      </w:r>
    </w:p>
    <w:p w:rsidR="005978A0" w:rsidRPr="005978A0" w:rsidRDefault="005978A0" w:rsidP="005978A0">
      <w:pPr>
        <w:pStyle w:val="CommitteeMemberNames"/>
        <w:rPr>
          <w:b/>
        </w:rPr>
      </w:pPr>
      <w:r w:rsidRPr="005978A0">
        <w:rPr>
          <w:b/>
        </w:rPr>
        <w:t>Scott Davidson</w:t>
      </w:r>
    </w:p>
    <w:p w:rsidR="005978A0" w:rsidRPr="005978A0" w:rsidRDefault="005978A0" w:rsidP="005978A0">
      <w:pPr>
        <w:pStyle w:val="CommitteeMemberNames"/>
      </w:pPr>
      <w:r w:rsidRPr="005978A0">
        <w:t>Mettler-Toledo, Inc.</w:t>
      </w:r>
    </w:p>
    <w:p w:rsidR="005978A0" w:rsidRPr="005978A0" w:rsidRDefault="005978A0" w:rsidP="005978A0">
      <w:pPr>
        <w:pStyle w:val="CommitteeMemberNames"/>
      </w:pPr>
      <w:r w:rsidRPr="005978A0">
        <w:t>1150 Dearborn Drive</w:t>
      </w:r>
    </w:p>
    <w:p w:rsidR="005978A0" w:rsidRPr="005978A0" w:rsidRDefault="005978A0" w:rsidP="005978A0">
      <w:pPr>
        <w:pStyle w:val="CommitteeMemberNames"/>
      </w:pPr>
      <w:r w:rsidRPr="005978A0">
        <w:t>Worthington, OH43085</w:t>
      </w:r>
    </w:p>
    <w:p w:rsidR="005978A0" w:rsidRPr="005978A0" w:rsidRDefault="005978A0" w:rsidP="005978A0">
      <w:pPr>
        <w:pStyle w:val="CommitteeMemberNames"/>
      </w:pPr>
      <w:r w:rsidRPr="005978A0">
        <w:t>(614)</w:t>
      </w:r>
      <w:r w:rsidR="00B67C78">
        <w:t xml:space="preserve"> </w:t>
      </w:r>
      <w:r w:rsidRPr="005978A0">
        <w:t>438-4387</w:t>
      </w:r>
    </w:p>
    <w:p w:rsidR="005978A0" w:rsidRPr="005978A0" w:rsidRDefault="005978A0" w:rsidP="005978A0">
      <w:pPr>
        <w:pStyle w:val="CommitteeMemberNames"/>
        <w:rPr>
          <w:rStyle w:val="Hyperlink"/>
        </w:rPr>
      </w:pPr>
      <w:r w:rsidRPr="005978A0">
        <w:rPr>
          <w:rStyle w:val="Hyperlink"/>
        </w:rPr>
        <w:t>scott.davidson@mt.com</w:t>
      </w:r>
    </w:p>
    <w:p w:rsidR="005978A0" w:rsidRPr="005978A0" w:rsidRDefault="005978A0" w:rsidP="005978A0">
      <w:pPr>
        <w:pStyle w:val="CommitteeMemberNames"/>
      </w:pPr>
    </w:p>
    <w:p w:rsidR="005978A0" w:rsidRPr="005978A0" w:rsidRDefault="005978A0" w:rsidP="005978A0">
      <w:pPr>
        <w:pStyle w:val="CommitteeMemberNames"/>
        <w:rPr>
          <w:b/>
        </w:rPr>
      </w:pPr>
      <w:r w:rsidRPr="005978A0">
        <w:rPr>
          <w:b/>
        </w:rPr>
        <w:t>Darrell Flocken</w:t>
      </w:r>
    </w:p>
    <w:p w:rsidR="005978A0" w:rsidRPr="005978A0" w:rsidRDefault="005978A0" w:rsidP="005978A0">
      <w:pPr>
        <w:pStyle w:val="CommitteeMemberNames"/>
      </w:pPr>
      <w:r w:rsidRPr="005978A0">
        <w:t>Mettler-Toledo, Inc.</w:t>
      </w:r>
    </w:p>
    <w:p w:rsidR="005978A0" w:rsidRPr="005978A0" w:rsidRDefault="005978A0" w:rsidP="005978A0">
      <w:pPr>
        <w:pStyle w:val="CommitteeMemberNames"/>
      </w:pPr>
      <w:r w:rsidRPr="005978A0">
        <w:t>1150 Dearborn Drive</w:t>
      </w:r>
    </w:p>
    <w:p w:rsidR="005978A0" w:rsidRPr="005978A0" w:rsidRDefault="005978A0" w:rsidP="005978A0">
      <w:pPr>
        <w:pStyle w:val="CommitteeMemberNames"/>
      </w:pPr>
      <w:r w:rsidRPr="005978A0">
        <w:t>Worthington, OH43085</w:t>
      </w:r>
    </w:p>
    <w:p w:rsidR="005978A0" w:rsidRPr="005978A0" w:rsidRDefault="005978A0" w:rsidP="005978A0">
      <w:pPr>
        <w:pStyle w:val="CommitteeMemberNames"/>
      </w:pPr>
      <w:r w:rsidRPr="005978A0">
        <w:t>(614)438-4393</w:t>
      </w:r>
    </w:p>
    <w:p w:rsidR="005978A0" w:rsidRPr="005978A0" w:rsidRDefault="005978A0" w:rsidP="005978A0">
      <w:pPr>
        <w:pStyle w:val="CommitteeMemberNames"/>
        <w:rPr>
          <w:rStyle w:val="Hyperlink"/>
        </w:rPr>
      </w:pPr>
      <w:r w:rsidRPr="005978A0">
        <w:rPr>
          <w:rStyle w:val="Hyperlink"/>
        </w:rPr>
        <w:t>darrell.flocken@mt.com</w:t>
      </w:r>
    </w:p>
    <w:p w:rsidR="005978A0" w:rsidRPr="005978A0" w:rsidRDefault="005978A0" w:rsidP="005978A0">
      <w:pPr>
        <w:pStyle w:val="CommitteeMemberNames"/>
      </w:pPr>
    </w:p>
    <w:p w:rsidR="005978A0" w:rsidRPr="005978A0" w:rsidRDefault="005978A0" w:rsidP="005978A0">
      <w:pPr>
        <w:pStyle w:val="CommitteeMemberNames"/>
        <w:rPr>
          <w:b/>
        </w:rPr>
      </w:pPr>
      <w:r w:rsidRPr="005978A0">
        <w:rPr>
          <w:b/>
        </w:rPr>
        <w:t>Rick Harshman</w:t>
      </w:r>
    </w:p>
    <w:p w:rsidR="005978A0" w:rsidRPr="005978A0" w:rsidRDefault="005978A0" w:rsidP="005978A0">
      <w:pPr>
        <w:pStyle w:val="CommitteeMemberNames"/>
      </w:pPr>
      <w:r w:rsidRPr="005978A0">
        <w:t>NIST, Weights and Measures Division</w:t>
      </w:r>
    </w:p>
    <w:p w:rsidR="005978A0" w:rsidRPr="005978A0" w:rsidRDefault="005978A0" w:rsidP="005978A0">
      <w:pPr>
        <w:pStyle w:val="CommitteeMemberNames"/>
      </w:pPr>
      <w:r w:rsidRPr="005978A0">
        <w:t>100 Bureau Drive, Stop 2600</w:t>
      </w:r>
    </w:p>
    <w:p w:rsidR="005978A0" w:rsidRPr="005978A0" w:rsidRDefault="005978A0" w:rsidP="005978A0">
      <w:pPr>
        <w:pStyle w:val="CommitteeMemberNames"/>
      </w:pPr>
      <w:r w:rsidRPr="005978A0">
        <w:t>Gaithersburg, MD20899-2600</w:t>
      </w:r>
    </w:p>
    <w:p w:rsidR="005978A0" w:rsidRPr="005978A0" w:rsidRDefault="005978A0" w:rsidP="005978A0">
      <w:pPr>
        <w:pStyle w:val="CommitteeMemberNames"/>
      </w:pPr>
      <w:r w:rsidRPr="005978A0">
        <w:t>(301) 975-8107</w:t>
      </w:r>
    </w:p>
    <w:p w:rsidR="005978A0" w:rsidRPr="005978A0" w:rsidRDefault="005978A0" w:rsidP="005978A0">
      <w:pPr>
        <w:pStyle w:val="CommitteeMemberNames"/>
        <w:rPr>
          <w:rStyle w:val="Hyperlink"/>
        </w:rPr>
      </w:pPr>
      <w:r w:rsidRPr="005978A0">
        <w:rPr>
          <w:rStyle w:val="Hyperlink"/>
        </w:rPr>
        <w:t>richard.harshman@nist.gov</w:t>
      </w:r>
    </w:p>
    <w:p w:rsidR="005978A0" w:rsidRPr="005978A0" w:rsidRDefault="005978A0" w:rsidP="005978A0">
      <w:pPr>
        <w:pStyle w:val="CommitteeMemberNames"/>
      </w:pPr>
    </w:p>
    <w:p w:rsidR="005978A0" w:rsidRPr="005978A0" w:rsidRDefault="005978A0" w:rsidP="005978A0">
      <w:pPr>
        <w:pStyle w:val="CommitteeMemberNames"/>
        <w:rPr>
          <w:b/>
        </w:rPr>
      </w:pPr>
      <w:r w:rsidRPr="005978A0">
        <w:rPr>
          <w:b/>
        </w:rPr>
        <w:t>Sam Jalahej</w:t>
      </w:r>
    </w:p>
    <w:p w:rsidR="005978A0" w:rsidRPr="005978A0" w:rsidRDefault="005978A0" w:rsidP="005978A0">
      <w:pPr>
        <w:pStyle w:val="CommitteeMemberNames"/>
      </w:pPr>
      <w:r w:rsidRPr="005978A0">
        <w:t>Totalcomp Scales and Components</w:t>
      </w:r>
    </w:p>
    <w:p w:rsidR="005978A0" w:rsidRPr="005978A0" w:rsidRDefault="005978A0" w:rsidP="005978A0">
      <w:pPr>
        <w:pStyle w:val="CommitteeMemberNames"/>
      </w:pPr>
      <w:r w:rsidRPr="005978A0">
        <w:t>13-01 Pollitt Drive</w:t>
      </w:r>
    </w:p>
    <w:p w:rsidR="005978A0" w:rsidRPr="005978A0" w:rsidRDefault="005978A0" w:rsidP="005978A0">
      <w:pPr>
        <w:pStyle w:val="CommitteeMemberNames"/>
      </w:pPr>
      <w:r w:rsidRPr="005978A0">
        <w:t>Fairlawn, NJ 07410</w:t>
      </w:r>
    </w:p>
    <w:p w:rsidR="005978A0" w:rsidRPr="005978A0" w:rsidRDefault="005978A0" w:rsidP="005978A0">
      <w:pPr>
        <w:pStyle w:val="CommitteeMemberNames"/>
      </w:pPr>
      <w:r w:rsidRPr="005978A0">
        <w:t>(201) 797-2718</w:t>
      </w:r>
    </w:p>
    <w:p w:rsidR="005978A0" w:rsidRPr="005978A0" w:rsidRDefault="005978A0" w:rsidP="005978A0">
      <w:pPr>
        <w:pStyle w:val="CommitteeMemberNames"/>
        <w:rPr>
          <w:rStyle w:val="Hyperlink"/>
        </w:rPr>
      </w:pPr>
      <w:r w:rsidRPr="005978A0">
        <w:rPr>
          <w:rStyle w:val="Hyperlink"/>
        </w:rPr>
        <w:t>sales@totalcomp.com</w:t>
      </w:r>
    </w:p>
    <w:p w:rsidR="005978A0" w:rsidRPr="005978A0" w:rsidRDefault="007D210C" w:rsidP="005978A0">
      <w:pPr>
        <w:pStyle w:val="CommitteeMemberNames"/>
        <w:rPr>
          <w:b/>
        </w:rPr>
      </w:pPr>
      <w:r>
        <w:br w:type="column"/>
      </w:r>
      <w:r w:rsidR="005978A0" w:rsidRPr="005978A0">
        <w:rPr>
          <w:b/>
        </w:rPr>
        <w:lastRenderedPageBreak/>
        <w:t>Ken Jones</w:t>
      </w:r>
    </w:p>
    <w:p w:rsidR="005978A0" w:rsidRPr="005978A0" w:rsidRDefault="005978A0" w:rsidP="005978A0">
      <w:pPr>
        <w:pStyle w:val="CommitteeMemberNames"/>
      </w:pPr>
      <w:r w:rsidRPr="005978A0">
        <w:t>California Division of Measurement Standards</w:t>
      </w:r>
    </w:p>
    <w:p w:rsidR="005978A0" w:rsidRPr="005978A0" w:rsidRDefault="005978A0" w:rsidP="005978A0">
      <w:pPr>
        <w:pStyle w:val="CommitteeMemberNames"/>
      </w:pPr>
      <w:r w:rsidRPr="005978A0">
        <w:t>6790 Florin Perkins Road</w:t>
      </w:r>
      <w:r w:rsidR="00C8633F">
        <w:t>,</w:t>
      </w:r>
      <w:r w:rsidRPr="005978A0">
        <w:t xml:space="preserve"> Suite 100</w:t>
      </w:r>
    </w:p>
    <w:p w:rsidR="005978A0" w:rsidRPr="005978A0" w:rsidRDefault="005978A0" w:rsidP="005978A0">
      <w:pPr>
        <w:pStyle w:val="CommitteeMemberNames"/>
      </w:pPr>
      <w:r w:rsidRPr="005978A0">
        <w:t>Sacramento, CA95828</w:t>
      </w:r>
    </w:p>
    <w:p w:rsidR="005978A0" w:rsidRPr="005978A0" w:rsidRDefault="005978A0" w:rsidP="005978A0">
      <w:pPr>
        <w:pStyle w:val="CommitteeMemberNames"/>
      </w:pPr>
      <w:r w:rsidRPr="005978A0">
        <w:t>(916) 229-3052</w:t>
      </w:r>
    </w:p>
    <w:p w:rsidR="005978A0" w:rsidRPr="005978A0" w:rsidRDefault="005978A0" w:rsidP="005978A0">
      <w:pPr>
        <w:pStyle w:val="CommitteeMemberNames"/>
        <w:rPr>
          <w:rStyle w:val="Hyperlink"/>
        </w:rPr>
      </w:pPr>
      <w:r w:rsidRPr="005978A0">
        <w:rPr>
          <w:rStyle w:val="Hyperlink"/>
        </w:rPr>
        <w:t>kjones@cdfa.ca.gov</w:t>
      </w:r>
    </w:p>
    <w:p w:rsidR="005978A0" w:rsidRPr="005978A0" w:rsidRDefault="005978A0" w:rsidP="005978A0">
      <w:pPr>
        <w:pStyle w:val="CommitteeMemberNames"/>
      </w:pPr>
    </w:p>
    <w:p w:rsidR="005978A0" w:rsidRPr="005978A0" w:rsidRDefault="005978A0" w:rsidP="005978A0">
      <w:pPr>
        <w:pStyle w:val="CommitteeMemberNames"/>
        <w:rPr>
          <w:b/>
        </w:rPr>
      </w:pPr>
      <w:r w:rsidRPr="005978A0">
        <w:rPr>
          <w:b/>
        </w:rPr>
        <w:t>Tom Jones</w:t>
      </w:r>
    </w:p>
    <w:p w:rsidR="005978A0" w:rsidRPr="005978A0" w:rsidRDefault="005978A0" w:rsidP="005978A0">
      <w:pPr>
        <w:pStyle w:val="CommitteeMemberNames"/>
      </w:pPr>
      <w:r w:rsidRPr="005978A0">
        <w:t>Hobart Corporation</w:t>
      </w:r>
    </w:p>
    <w:p w:rsidR="005978A0" w:rsidRPr="005978A0" w:rsidRDefault="005978A0" w:rsidP="005978A0">
      <w:pPr>
        <w:pStyle w:val="CommitteeMemberNames"/>
      </w:pPr>
      <w:r w:rsidRPr="005978A0">
        <w:t>401 W. Market</w:t>
      </w:r>
    </w:p>
    <w:p w:rsidR="005978A0" w:rsidRPr="005978A0" w:rsidRDefault="005978A0" w:rsidP="005978A0">
      <w:pPr>
        <w:pStyle w:val="CommitteeMemberNames"/>
      </w:pPr>
      <w:r w:rsidRPr="005978A0">
        <w:t>Troy, OH 45374</w:t>
      </w:r>
    </w:p>
    <w:p w:rsidR="005978A0" w:rsidRPr="005978A0" w:rsidRDefault="005978A0" w:rsidP="005978A0">
      <w:pPr>
        <w:pStyle w:val="CommitteeMemberNames"/>
      </w:pPr>
      <w:r w:rsidRPr="005978A0">
        <w:t>(937) 332-2427</w:t>
      </w:r>
    </w:p>
    <w:p w:rsidR="005978A0" w:rsidRPr="005978A0" w:rsidRDefault="005978A0" w:rsidP="005978A0">
      <w:pPr>
        <w:pStyle w:val="CommitteeMemberNames"/>
        <w:rPr>
          <w:rStyle w:val="Hyperlink"/>
        </w:rPr>
      </w:pPr>
      <w:r w:rsidRPr="005978A0">
        <w:rPr>
          <w:rStyle w:val="Hyperlink"/>
        </w:rPr>
        <w:t>thomas.jones@hobartcorp.com</w:t>
      </w:r>
    </w:p>
    <w:p w:rsidR="005978A0" w:rsidRPr="005978A0" w:rsidRDefault="005978A0" w:rsidP="005978A0">
      <w:pPr>
        <w:pStyle w:val="CommitteeMemberNames"/>
      </w:pPr>
    </w:p>
    <w:p w:rsidR="005978A0" w:rsidRPr="005978A0" w:rsidRDefault="005978A0" w:rsidP="005978A0">
      <w:pPr>
        <w:pStyle w:val="CommitteeMemberNames"/>
        <w:rPr>
          <w:b/>
        </w:rPr>
      </w:pPr>
      <w:r w:rsidRPr="005978A0">
        <w:rPr>
          <w:b/>
        </w:rPr>
        <w:t>Takashi Kawazoe</w:t>
      </w:r>
    </w:p>
    <w:p w:rsidR="005978A0" w:rsidRPr="005978A0" w:rsidRDefault="005978A0" w:rsidP="005978A0">
      <w:pPr>
        <w:pStyle w:val="CommitteeMemberNames"/>
      </w:pPr>
      <w:r w:rsidRPr="005978A0">
        <w:t>New Brunswick International, Inc.</w:t>
      </w:r>
    </w:p>
    <w:p w:rsidR="005978A0" w:rsidRPr="005978A0" w:rsidRDefault="005978A0" w:rsidP="005978A0">
      <w:pPr>
        <w:pStyle w:val="CommitteeMemberNames"/>
      </w:pPr>
      <w:r w:rsidRPr="005978A0">
        <w:t>76 Veronica Avenue</w:t>
      </w:r>
    </w:p>
    <w:p w:rsidR="005978A0" w:rsidRPr="005978A0" w:rsidRDefault="005978A0" w:rsidP="005978A0">
      <w:pPr>
        <w:pStyle w:val="CommitteeMemberNames"/>
      </w:pPr>
      <w:r w:rsidRPr="005978A0">
        <w:t>Somerset, NJ08873</w:t>
      </w:r>
    </w:p>
    <w:p w:rsidR="005978A0" w:rsidRPr="005978A0" w:rsidRDefault="005978A0" w:rsidP="005978A0">
      <w:pPr>
        <w:pStyle w:val="CommitteeMemberNames"/>
      </w:pPr>
      <w:r w:rsidRPr="005978A0">
        <w:t>(732)</w:t>
      </w:r>
      <w:r w:rsidR="00C8633F">
        <w:t xml:space="preserve"> </w:t>
      </w:r>
      <w:r w:rsidRPr="005978A0">
        <w:t>828-3633</w:t>
      </w:r>
    </w:p>
    <w:p w:rsidR="005978A0" w:rsidRPr="005978A0" w:rsidRDefault="005978A0" w:rsidP="005978A0">
      <w:pPr>
        <w:pStyle w:val="CommitteeMemberNames"/>
        <w:rPr>
          <w:rStyle w:val="Hyperlink"/>
        </w:rPr>
      </w:pPr>
      <w:r w:rsidRPr="005978A0">
        <w:rPr>
          <w:rStyle w:val="Hyperlink"/>
        </w:rPr>
        <w:t>TKService@nbidigi.com</w:t>
      </w:r>
    </w:p>
    <w:p w:rsidR="005978A0" w:rsidRPr="005978A0" w:rsidRDefault="005978A0" w:rsidP="005978A0">
      <w:pPr>
        <w:pStyle w:val="CommitteeMemberNames"/>
      </w:pPr>
    </w:p>
    <w:p w:rsidR="005978A0" w:rsidRPr="005978A0" w:rsidRDefault="005978A0" w:rsidP="005978A0">
      <w:pPr>
        <w:pStyle w:val="CommitteeMemberNames"/>
        <w:rPr>
          <w:b/>
        </w:rPr>
      </w:pPr>
      <w:r w:rsidRPr="005978A0">
        <w:rPr>
          <w:b/>
        </w:rPr>
        <w:t>Stephen Langford</w:t>
      </w:r>
    </w:p>
    <w:p w:rsidR="005978A0" w:rsidRPr="005978A0" w:rsidRDefault="005978A0" w:rsidP="005978A0">
      <w:pPr>
        <w:pStyle w:val="CommitteeMemberNames"/>
      </w:pPr>
      <w:r w:rsidRPr="005978A0">
        <w:t>Cardinal Scale Manufacturing Co.</w:t>
      </w:r>
    </w:p>
    <w:p w:rsidR="005978A0" w:rsidRPr="005978A0" w:rsidRDefault="005978A0" w:rsidP="005978A0">
      <w:pPr>
        <w:pStyle w:val="CommitteeMemberNames"/>
      </w:pPr>
      <w:r w:rsidRPr="005978A0">
        <w:t>203 East Daugherty Street</w:t>
      </w:r>
    </w:p>
    <w:p w:rsidR="005978A0" w:rsidRPr="005978A0" w:rsidRDefault="005978A0" w:rsidP="005978A0">
      <w:pPr>
        <w:pStyle w:val="CommitteeMemberNames"/>
      </w:pPr>
      <w:r w:rsidRPr="005978A0">
        <w:t>Webb City, MO64870</w:t>
      </w:r>
    </w:p>
    <w:p w:rsidR="005978A0" w:rsidRPr="005978A0" w:rsidRDefault="005978A0" w:rsidP="005978A0">
      <w:pPr>
        <w:pStyle w:val="CommitteeMemberNames"/>
      </w:pPr>
      <w:r w:rsidRPr="005978A0">
        <w:t>(417) 673-4631</w:t>
      </w:r>
    </w:p>
    <w:p w:rsidR="005978A0" w:rsidRPr="005978A0" w:rsidRDefault="005978A0" w:rsidP="005978A0">
      <w:pPr>
        <w:pStyle w:val="CommitteeMemberNames"/>
        <w:rPr>
          <w:rStyle w:val="Hyperlink"/>
        </w:rPr>
      </w:pPr>
      <w:r w:rsidRPr="005978A0">
        <w:rPr>
          <w:rStyle w:val="Hyperlink"/>
        </w:rPr>
        <w:t>slangford@cardet.com</w:t>
      </w:r>
    </w:p>
    <w:p w:rsidR="007D210C" w:rsidRDefault="007D210C" w:rsidP="005978A0">
      <w:pPr>
        <w:pStyle w:val="CommitteeMemberNames"/>
        <w:rPr>
          <w:b/>
        </w:rPr>
      </w:pPr>
    </w:p>
    <w:p w:rsidR="005978A0" w:rsidRPr="005978A0" w:rsidRDefault="005978A0" w:rsidP="005978A0">
      <w:pPr>
        <w:pStyle w:val="CommitteeMemberNames"/>
        <w:rPr>
          <w:b/>
        </w:rPr>
      </w:pPr>
      <w:r w:rsidRPr="005978A0">
        <w:rPr>
          <w:b/>
        </w:rPr>
        <w:t>Paul A. Lewis, Sr.</w:t>
      </w:r>
    </w:p>
    <w:p w:rsidR="005978A0" w:rsidRPr="005978A0" w:rsidRDefault="005978A0" w:rsidP="005978A0">
      <w:pPr>
        <w:pStyle w:val="CommitteeMemberNames"/>
      </w:pPr>
      <w:r w:rsidRPr="005978A0">
        <w:t>Rice Lake Weighing Systems, Inc.</w:t>
      </w:r>
    </w:p>
    <w:p w:rsidR="005978A0" w:rsidRPr="005978A0" w:rsidRDefault="005978A0" w:rsidP="005978A0">
      <w:pPr>
        <w:pStyle w:val="CommitteeMemberNames"/>
      </w:pPr>
      <w:r w:rsidRPr="005978A0">
        <w:t>230 West Coleman Street</w:t>
      </w:r>
    </w:p>
    <w:p w:rsidR="005978A0" w:rsidRPr="005978A0" w:rsidRDefault="005978A0" w:rsidP="005978A0">
      <w:pPr>
        <w:pStyle w:val="CommitteeMemberNames"/>
      </w:pPr>
      <w:r w:rsidRPr="005978A0">
        <w:t>Rice Lake, WI54868-2404</w:t>
      </w:r>
    </w:p>
    <w:p w:rsidR="005978A0" w:rsidRPr="005978A0" w:rsidRDefault="005978A0" w:rsidP="005978A0">
      <w:pPr>
        <w:pStyle w:val="CommitteeMemberNames"/>
      </w:pPr>
      <w:r w:rsidRPr="005978A0">
        <w:t>(715) 234-9171 ext</w:t>
      </w:r>
      <w:r w:rsidRPr="00C83B0B">
        <w:rPr>
          <w:u w:color="82C42A"/>
        </w:rPr>
        <w:t>.</w:t>
      </w:r>
      <w:r w:rsidRPr="00C83B0B">
        <w:t>5</w:t>
      </w:r>
      <w:r w:rsidRPr="005978A0">
        <w:t>322</w:t>
      </w:r>
    </w:p>
    <w:p w:rsidR="005978A0" w:rsidRPr="005978A0" w:rsidRDefault="005978A0" w:rsidP="005978A0">
      <w:pPr>
        <w:pStyle w:val="CommitteeMemberNames"/>
        <w:rPr>
          <w:rStyle w:val="Hyperlink"/>
        </w:rPr>
      </w:pPr>
      <w:r w:rsidRPr="005978A0">
        <w:rPr>
          <w:rStyle w:val="Hyperlink"/>
        </w:rPr>
        <w:t>plewis@ricelake.com</w:t>
      </w:r>
    </w:p>
    <w:p w:rsidR="005978A0" w:rsidRPr="005978A0" w:rsidRDefault="005978A0" w:rsidP="005978A0">
      <w:pPr>
        <w:pStyle w:val="CommitteeMemberNames"/>
      </w:pPr>
    </w:p>
    <w:p w:rsidR="005978A0" w:rsidRPr="005978A0" w:rsidRDefault="005978A0" w:rsidP="005978A0">
      <w:pPr>
        <w:pStyle w:val="CommitteeMemberNames"/>
        <w:rPr>
          <w:b/>
        </w:rPr>
      </w:pPr>
      <w:r w:rsidRPr="005978A0">
        <w:rPr>
          <w:b/>
        </w:rPr>
        <w:t>Ed Luthy</w:t>
      </w:r>
    </w:p>
    <w:p w:rsidR="005978A0" w:rsidRPr="005978A0" w:rsidRDefault="005978A0" w:rsidP="005978A0">
      <w:pPr>
        <w:pStyle w:val="CommitteeMemberNames"/>
      </w:pPr>
      <w:r w:rsidRPr="005978A0">
        <w:t>Stock Equipment Co., Inc.</w:t>
      </w:r>
    </w:p>
    <w:p w:rsidR="005978A0" w:rsidRPr="005978A0" w:rsidRDefault="005978A0" w:rsidP="005978A0">
      <w:pPr>
        <w:pStyle w:val="CommitteeMemberNames"/>
      </w:pPr>
      <w:r w:rsidRPr="005978A0">
        <w:t>108 Wade Drive</w:t>
      </w:r>
    </w:p>
    <w:p w:rsidR="005978A0" w:rsidRPr="005978A0" w:rsidRDefault="005978A0" w:rsidP="005978A0">
      <w:pPr>
        <w:pStyle w:val="CommitteeMemberNames"/>
      </w:pPr>
      <w:r w:rsidRPr="005978A0">
        <w:t>Dover, OH44622</w:t>
      </w:r>
    </w:p>
    <w:p w:rsidR="005978A0" w:rsidRPr="005978A0" w:rsidRDefault="005978A0" w:rsidP="005978A0">
      <w:pPr>
        <w:pStyle w:val="CommitteeMemberNames"/>
      </w:pPr>
      <w:r w:rsidRPr="005978A0">
        <w:t>(440) 241-0194</w:t>
      </w:r>
    </w:p>
    <w:p w:rsidR="005978A0" w:rsidRDefault="00FC7A3B" w:rsidP="005978A0">
      <w:pPr>
        <w:pStyle w:val="CommitteeMemberNames"/>
        <w:rPr>
          <w:rStyle w:val="Hyperlink"/>
        </w:rPr>
      </w:pPr>
      <w:hyperlink r:id="rId14" w:history="1">
        <w:r w:rsidR="00710CBA" w:rsidRPr="006D3C48">
          <w:rPr>
            <w:rStyle w:val="Hyperlink"/>
          </w:rPr>
          <w:t>ed.luthy@stockequipment.com</w:t>
        </w:r>
      </w:hyperlink>
    </w:p>
    <w:p w:rsidR="00634337" w:rsidRDefault="00634337" w:rsidP="00710CBA">
      <w:pPr>
        <w:pStyle w:val="CommitteeMemberNames"/>
        <w:rPr>
          <w:b/>
        </w:rPr>
      </w:pPr>
    </w:p>
    <w:p w:rsidR="00710CBA" w:rsidRPr="00825C53" w:rsidRDefault="00710CBA" w:rsidP="00710CBA">
      <w:pPr>
        <w:pStyle w:val="CommitteeMemberNames"/>
        <w:rPr>
          <w:b/>
        </w:rPr>
      </w:pPr>
      <w:r w:rsidRPr="00825C53">
        <w:rPr>
          <w:b/>
        </w:rPr>
        <w:t>Joe Morrison</w:t>
      </w:r>
    </w:p>
    <w:p w:rsidR="00710CBA" w:rsidRPr="005978A0" w:rsidRDefault="00710CBA" w:rsidP="00710CBA">
      <w:pPr>
        <w:pStyle w:val="CommitteeMemberNames"/>
      </w:pPr>
      <w:r w:rsidRPr="005978A0">
        <w:t>Ohio Department of Agriculture</w:t>
      </w:r>
      <w:r w:rsidR="00BA1919">
        <w:t xml:space="preserve"> </w:t>
      </w:r>
    </w:p>
    <w:p w:rsidR="00710CBA" w:rsidRPr="005978A0" w:rsidRDefault="00710CBA" w:rsidP="00710CBA">
      <w:pPr>
        <w:pStyle w:val="CommitteeMemberNames"/>
      </w:pPr>
      <w:r w:rsidRPr="005978A0">
        <w:t>Weights and Measures</w:t>
      </w:r>
    </w:p>
    <w:p w:rsidR="00710CBA" w:rsidRPr="005978A0" w:rsidRDefault="00710CBA" w:rsidP="00710CBA">
      <w:pPr>
        <w:pStyle w:val="CommitteeMemberNames"/>
      </w:pPr>
      <w:r w:rsidRPr="005978A0">
        <w:t>8995 East Main Street, Building 5</w:t>
      </w:r>
    </w:p>
    <w:p w:rsidR="00710CBA" w:rsidRPr="005978A0" w:rsidRDefault="00710CBA" w:rsidP="00710CBA">
      <w:pPr>
        <w:pStyle w:val="CommitteeMemberNames"/>
      </w:pPr>
      <w:r w:rsidRPr="005978A0">
        <w:t>Reynoldsburg, OH 43068</w:t>
      </w:r>
    </w:p>
    <w:p w:rsidR="00710CBA" w:rsidRPr="005978A0" w:rsidRDefault="00710CBA" w:rsidP="00710CBA">
      <w:pPr>
        <w:pStyle w:val="CommitteeMemberNames"/>
      </w:pPr>
      <w:r w:rsidRPr="005978A0">
        <w:t>(614) 728-6290</w:t>
      </w:r>
    </w:p>
    <w:p w:rsidR="00710CBA" w:rsidRPr="00825C53" w:rsidRDefault="00710CBA" w:rsidP="00710CBA">
      <w:pPr>
        <w:pStyle w:val="CommitteeMemberNames"/>
        <w:rPr>
          <w:rStyle w:val="Hyperlink"/>
        </w:rPr>
      </w:pPr>
      <w:r w:rsidRPr="00825C53">
        <w:rPr>
          <w:rStyle w:val="Hyperlink"/>
        </w:rPr>
        <w:t>jmorrison@agri.ohio.gov</w:t>
      </w:r>
    </w:p>
    <w:p w:rsidR="007D210C" w:rsidRDefault="007D210C" w:rsidP="00710CBA">
      <w:pPr>
        <w:pStyle w:val="CommitteeMemberNames"/>
        <w:sectPr w:rsidR="007D210C" w:rsidSect="00710CBA">
          <w:type w:val="continuous"/>
          <w:pgSz w:w="12240" w:h="15840"/>
          <w:pgMar w:top="1440" w:right="1440" w:bottom="1440" w:left="1440" w:header="720" w:footer="360" w:gutter="0"/>
          <w:cols w:num="2" w:space="720"/>
          <w:docGrid w:linePitch="360"/>
        </w:sectPr>
      </w:pPr>
    </w:p>
    <w:p w:rsidR="00710CBA" w:rsidRPr="005978A0" w:rsidRDefault="00710CBA" w:rsidP="00710CBA">
      <w:pPr>
        <w:pStyle w:val="CommitteeMemberNames"/>
      </w:pPr>
    </w:p>
    <w:p w:rsidR="00710CBA" w:rsidRPr="00825C53" w:rsidRDefault="00710CBA" w:rsidP="007D210C">
      <w:pPr>
        <w:pStyle w:val="CommitteeMemberNames"/>
        <w:keepNext/>
        <w:rPr>
          <w:b/>
        </w:rPr>
      </w:pPr>
      <w:r w:rsidRPr="00825C53">
        <w:rPr>
          <w:b/>
        </w:rPr>
        <w:lastRenderedPageBreak/>
        <w:t>Edward Payne</w:t>
      </w:r>
    </w:p>
    <w:p w:rsidR="00710CBA" w:rsidRPr="005978A0" w:rsidRDefault="00710CBA" w:rsidP="007D210C">
      <w:pPr>
        <w:pStyle w:val="CommitteeMemberNames"/>
        <w:keepNext/>
      </w:pPr>
      <w:r w:rsidRPr="005978A0">
        <w:t>Maryland Department of Agriculture</w:t>
      </w:r>
    </w:p>
    <w:p w:rsidR="00710CBA" w:rsidRPr="005978A0" w:rsidRDefault="00710CBA" w:rsidP="00710CBA">
      <w:pPr>
        <w:pStyle w:val="CommitteeMemberNames"/>
      </w:pPr>
      <w:r w:rsidRPr="005978A0">
        <w:t>50 Harry S. Truman Parkway</w:t>
      </w:r>
    </w:p>
    <w:p w:rsidR="00710CBA" w:rsidRPr="005978A0" w:rsidRDefault="00710CBA" w:rsidP="00710CBA">
      <w:pPr>
        <w:pStyle w:val="CommitteeMemberNames"/>
      </w:pPr>
      <w:r w:rsidRPr="005978A0">
        <w:t>Annapolis, MD</w:t>
      </w:r>
      <w:r w:rsidR="00C8633F">
        <w:t xml:space="preserve"> </w:t>
      </w:r>
      <w:r w:rsidRPr="005978A0">
        <w:t>21401</w:t>
      </w:r>
    </w:p>
    <w:p w:rsidR="00710CBA" w:rsidRDefault="00710CBA" w:rsidP="00710CBA">
      <w:pPr>
        <w:pStyle w:val="CommitteeMemberNames"/>
      </w:pPr>
      <w:r>
        <w:t>(410) 841-5790</w:t>
      </w:r>
    </w:p>
    <w:p w:rsidR="00710CBA" w:rsidRPr="00825C53" w:rsidRDefault="00710CBA" w:rsidP="00710CBA">
      <w:pPr>
        <w:pStyle w:val="CommitteeMemberNames"/>
        <w:rPr>
          <w:rStyle w:val="Hyperlink"/>
        </w:rPr>
      </w:pPr>
      <w:r w:rsidRPr="00825C53">
        <w:rPr>
          <w:rStyle w:val="Hyperlink"/>
        </w:rPr>
        <w:t>payneea@mda.state.md.us</w:t>
      </w:r>
    </w:p>
    <w:p w:rsidR="00710CBA" w:rsidRPr="005978A0" w:rsidRDefault="00710CBA" w:rsidP="00710CBA">
      <w:pPr>
        <w:pStyle w:val="CommitteeMemberNames"/>
      </w:pPr>
    </w:p>
    <w:p w:rsidR="00710CBA" w:rsidRPr="00825C53" w:rsidRDefault="00710CBA" w:rsidP="00710CBA">
      <w:pPr>
        <w:pStyle w:val="CommitteeMemberNames"/>
        <w:rPr>
          <w:b/>
        </w:rPr>
      </w:pPr>
      <w:r w:rsidRPr="00825C53">
        <w:rPr>
          <w:b/>
        </w:rPr>
        <w:t>John Roach</w:t>
      </w:r>
    </w:p>
    <w:p w:rsidR="00710CBA" w:rsidRPr="005978A0" w:rsidRDefault="00710CBA" w:rsidP="00710CBA">
      <w:pPr>
        <w:pStyle w:val="CommitteeMemberNames"/>
      </w:pPr>
      <w:r w:rsidRPr="005978A0">
        <w:t>California Division of Measurement Standards</w:t>
      </w:r>
    </w:p>
    <w:p w:rsidR="00710CBA" w:rsidRPr="005978A0" w:rsidRDefault="00710CBA" w:rsidP="00710CBA">
      <w:pPr>
        <w:pStyle w:val="CommitteeMemberNames"/>
      </w:pPr>
      <w:r w:rsidRPr="005978A0">
        <w:t>6790 Florin Perkins Road</w:t>
      </w:r>
      <w:r w:rsidR="00C8633F">
        <w:t>,</w:t>
      </w:r>
      <w:r w:rsidRPr="005978A0">
        <w:t xml:space="preserve"> Suite 100</w:t>
      </w:r>
    </w:p>
    <w:p w:rsidR="00710CBA" w:rsidRDefault="00710CBA" w:rsidP="00710CBA">
      <w:pPr>
        <w:pStyle w:val="CommitteeMemberNames"/>
      </w:pPr>
      <w:r>
        <w:t>Sacramento, CA</w:t>
      </w:r>
      <w:r w:rsidR="00C8633F">
        <w:t xml:space="preserve"> </w:t>
      </w:r>
      <w:r>
        <w:t>9582</w:t>
      </w:r>
    </w:p>
    <w:p w:rsidR="00710CBA" w:rsidRPr="005978A0" w:rsidRDefault="00710CBA" w:rsidP="00710CBA">
      <w:pPr>
        <w:pStyle w:val="CommitteeMemberNames"/>
      </w:pPr>
      <w:r w:rsidRPr="005978A0">
        <w:t>(916) 229-3456</w:t>
      </w:r>
    </w:p>
    <w:p w:rsidR="00710CBA" w:rsidRPr="00825C53" w:rsidRDefault="00710CBA" w:rsidP="00710CBA">
      <w:pPr>
        <w:pStyle w:val="CommitteeMemberNames"/>
        <w:rPr>
          <w:rStyle w:val="Hyperlink"/>
        </w:rPr>
      </w:pPr>
      <w:r w:rsidRPr="00825C53">
        <w:rPr>
          <w:rStyle w:val="Hyperlink"/>
        </w:rPr>
        <w:t>JRoach@cdfa.ca.gov</w:t>
      </w:r>
    </w:p>
    <w:p w:rsidR="00710CBA" w:rsidRPr="005978A0" w:rsidRDefault="00710CBA" w:rsidP="00710CBA">
      <w:pPr>
        <w:pStyle w:val="CommitteeMemberNames"/>
      </w:pPr>
    </w:p>
    <w:p w:rsidR="00710CBA" w:rsidRPr="00C83B0B" w:rsidRDefault="00710CBA" w:rsidP="00710CBA">
      <w:pPr>
        <w:pStyle w:val="CommitteeMemberNames"/>
        <w:rPr>
          <w:b/>
        </w:rPr>
      </w:pPr>
      <w:r w:rsidRPr="00825C53">
        <w:rPr>
          <w:b/>
        </w:rPr>
        <w:t xml:space="preserve">Samuel </w:t>
      </w:r>
      <w:r w:rsidRPr="00C83B0B">
        <w:rPr>
          <w:b/>
          <w:u w:color="82C42A"/>
        </w:rPr>
        <w:t>Sagarsee</w:t>
      </w:r>
    </w:p>
    <w:p w:rsidR="00710CBA" w:rsidRPr="005978A0" w:rsidRDefault="00710CBA" w:rsidP="00710CBA">
      <w:pPr>
        <w:pStyle w:val="CommitteeMemberNames"/>
      </w:pPr>
      <w:r w:rsidRPr="005978A0">
        <w:t>Emery Winslow Scale Co.</w:t>
      </w:r>
    </w:p>
    <w:p w:rsidR="00710CBA" w:rsidRPr="005978A0" w:rsidRDefault="00710CBA" w:rsidP="00710CBA">
      <w:pPr>
        <w:pStyle w:val="CommitteeMemberNames"/>
      </w:pPr>
      <w:r w:rsidRPr="005978A0">
        <w:t>4530 North 25th Street</w:t>
      </w:r>
    </w:p>
    <w:p w:rsidR="00710CBA" w:rsidRPr="005978A0" w:rsidRDefault="00710CBA" w:rsidP="00710CBA">
      <w:pPr>
        <w:pStyle w:val="CommitteeMemberNames"/>
      </w:pPr>
      <w:r w:rsidRPr="005978A0">
        <w:t>Terre Haute, IN</w:t>
      </w:r>
      <w:r w:rsidR="00C8633F">
        <w:t xml:space="preserve"> </w:t>
      </w:r>
      <w:r w:rsidRPr="005978A0">
        <w:t>47805</w:t>
      </w:r>
    </w:p>
    <w:p w:rsidR="00710CBA" w:rsidRPr="005978A0" w:rsidRDefault="00710CBA" w:rsidP="00710CBA">
      <w:pPr>
        <w:pStyle w:val="CommitteeMemberNames"/>
      </w:pPr>
      <w:r w:rsidRPr="005978A0">
        <w:t>(812) 466-5265 ext</w:t>
      </w:r>
      <w:r w:rsidRPr="00C83B0B">
        <w:rPr>
          <w:u w:color="82C42A"/>
        </w:rPr>
        <w:t>.</w:t>
      </w:r>
      <w:r w:rsidRPr="00C83B0B">
        <w:t>1</w:t>
      </w:r>
      <w:r w:rsidRPr="005978A0">
        <w:t>12</w:t>
      </w:r>
    </w:p>
    <w:p w:rsidR="00710CBA" w:rsidRPr="00825C53" w:rsidRDefault="00710CBA" w:rsidP="00710CBA">
      <w:pPr>
        <w:pStyle w:val="CommitteeMemberNames"/>
        <w:rPr>
          <w:rStyle w:val="Hyperlink"/>
        </w:rPr>
      </w:pPr>
      <w:r w:rsidRPr="00825C53">
        <w:rPr>
          <w:rStyle w:val="Hyperlink"/>
        </w:rPr>
        <w:t>srsagarsee@winslowth.com</w:t>
      </w:r>
    </w:p>
    <w:p w:rsidR="00710CBA" w:rsidRPr="005978A0" w:rsidRDefault="00710CBA" w:rsidP="00710CBA">
      <w:pPr>
        <w:pStyle w:val="CommitteeMemberNames"/>
      </w:pPr>
    </w:p>
    <w:p w:rsidR="00710CBA" w:rsidRPr="00825C53" w:rsidRDefault="00710CBA" w:rsidP="00710CBA">
      <w:pPr>
        <w:pStyle w:val="CommitteeMemberNames"/>
        <w:rPr>
          <w:b/>
        </w:rPr>
      </w:pPr>
      <w:r w:rsidRPr="00825C53">
        <w:rPr>
          <w:b/>
        </w:rPr>
        <w:t>Louis Straub</w:t>
      </w:r>
    </w:p>
    <w:p w:rsidR="00710CBA" w:rsidRPr="005978A0" w:rsidRDefault="00710CBA" w:rsidP="00710CBA">
      <w:pPr>
        <w:pStyle w:val="CommitteeMemberNames"/>
      </w:pPr>
      <w:r w:rsidRPr="005978A0">
        <w:t>Fairbanks Scales, Inc.</w:t>
      </w:r>
    </w:p>
    <w:p w:rsidR="00710CBA" w:rsidRPr="005978A0" w:rsidRDefault="00710CBA" w:rsidP="00710CBA">
      <w:pPr>
        <w:pStyle w:val="CommitteeMemberNames"/>
      </w:pPr>
      <w:r w:rsidRPr="005978A0">
        <w:t>3056 Irwin Drive S.E.</w:t>
      </w:r>
    </w:p>
    <w:p w:rsidR="00710CBA" w:rsidRPr="005978A0" w:rsidRDefault="00710CBA" w:rsidP="00710CBA">
      <w:pPr>
        <w:pStyle w:val="CommitteeMemberNames"/>
      </w:pPr>
      <w:r w:rsidRPr="005978A0">
        <w:t>Southport, NC</w:t>
      </w:r>
      <w:r w:rsidR="00C8633F">
        <w:t xml:space="preserve"> </w:t>
      </w:r>
      <w:r w:rsidRPr="005978A0">
        <w:t>28461</w:t>
      </w:r>
    </w:p>
    <w:p w:rsidR="00710CBA" w:rsidRPr="005978A0" w:rsidRDefault="00710CBA" w:rsidP="00710CBA">
      <w:pPr>
        <w:pStyle w:val="CommitteeMemberNames"/>
      </w:pPr>
      <w:r w:rsidRPr="005978A0">
        <w:t>(910) 253-3250</w:t>
      </w:r>
    </w:p>
    <w:p w:rsidR="00710CBA" w:rsidRPr="00825C53" w:rsidRDefault="00710CBA" w:rsidP="00710CBA">
      <w:pPr>
        <w:pStyle w:val="CommitteeMemberNames"/>
        <w:rPr>
          <w:rStyle w:val="Hyperlink"/>
        </w:rPr>
      </w:pPr>
      <w:r w:rsidRPr="00825C53">
        <w:rPr>
          <w:rStyle w:val="Hyperlink"/>
        </w:rPr>
        <w:t>lstraub@fairbanks.com</w:t>
      </w:r>
    </w:p>
    <w:p w:rsidR="00710CBA" w:rsidRPr="005978A0" w:rsidRDefault="00710CBA" w:rsidP="00710CBA">
      <w:pPr>
        <w:pStyle w:val="CommitteeMemberNames"/>
      </w:pPr>
    </w:p>
    <w:p w:rsidR="00710CBA" w:rsidRPr="00825C53" w:rsidRDefault="00710CBA" w:rsidP="00710CBA">
      <w:pPr>
        <w:pStyle w:val="CommitteeMemberNames"/>
        <w:rPr>
          <w:b/>
        </w:rPr>
      </w:pPr>
      <w:r w:rsidRPr="00825C53">
        <w:rPr>
          <w:b/>
        </w:rPr>
        <w:t>James Truex</w:t>
      </w:r>
    </w:p>
    <w:p w:rsidR="00710CBA" w:rsidRPr="005978A0" w:rsidRDefault="00710CBA" w:rsidP="00710CBA">
      <w:pPr>
        <w:pStyle w:val="CommitteeMemberNames"/>
      </w:pPr>
      <w:r w:rsidRPr="005978A0">
        <w:t>National Conference on Weights and Measures</w:t>
      </w:r>
    </w:p>
    <w:p w:rsidR="00710CBA" w:rsidRPr="005978A0" w:rsidRDefault="00710CBA" w:rsidP="00710CBA">
      <w:pPr>
        <w:pStyle w:val="CommitteeMemberNames"/>
      </w:pPr>
      <w:r w:rsidRPr="005978A0">
        <w:t>88 Carryback Drive</w:t>
      </w:r>
    </w:p>
    <w:p w:rsidR="00710CBA" w:rsidRPr="005978A0" w:rsidRDefault="00710CBA" w:rsidP="00710CBA">
      <w:pPr>
        <w:pStyle w:val="CommitteeMemberNames"/>
      </w:pPr>
      <w:r w:rsidRPr="005978A0">
        <w:t>Pataskala, OH</w:t>
      </w:r>
      <w:r w:rsidR="00C8633F">
        <w:t xml:space="preserve"> </w:t>
      </w:r>
      <w:r w:rsidRPr="005978A0">
        <w:t>43062</w:t>
      </w:r>
    </w:p>
    <w:p w:rsidR="00710CBA" w:rsidRPr="005978A0" w:rsidRDefault="00710CBA" w:rsidP="00710CBA">
      <w:pPr>
        <w:pStyle w:val="CommitteeMemberNames"/>
      </w:pPr>
      <w:r w:rsidRPr="005978A0">
        <w:t>(740) 919-4350</w:t>
      </w:r>
    </w:p>
    <w:p w:rsidR="007D210C" w:rsidRDefault="00FC7A3B" w:rsidP="005978A0">
      <w:pPr>
        <w:pStyle w:val="CommitteeMemberNames"/>
        <w:rPr>
          <w:rStyle w:val="Hyperlink"/>
        </w:rPr>
      </w:pPr>
      <w:hyperlink r:id="rId15" w:history="1">
        <w:r w:rsidR="007D210C" w:rsidRPr="003F5E3F">
          <w:rPr>
            <w:rStyle w:val="Hyperlink"/>
          </w:rPr>
          <w:t>jim.truex@ncwm.net</w:t>
        </w:r>
      </w:hyperlink>
    </w:p>
    <w:p w:rsidR="007D210C" w:rsidRDefault="007D210C">
      <w:pPr>
        <w:spacing w:after="200" w:line="276" w:lineRule="auto"/>
        <w:jc w:val="left"/>
        <w:rPr>
          <w:rStyle w:val="Hyperlink"/>
        </w:rPr>
      </w:pPr>
      <w:r>
        <w:rPr>
          <w:rStyle w:val="Hyperlink"/>
        </w:rPr>
        <w:br w:type="page"/>
      </w:r>
    </w:p>
    <w:p w:rsidR="00710CBA" w:rsidRDefault="00710CBA"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Pr="007D210C" w:rsidRDefault="007D210C" w:rsidP="007D210C">
      <w:pPr>
        <w:pStyle w:val="CommitteeMemberNames"/>
        <w:jc w:val="center"/>
        <w:rPr>
          <w:rStyle w:val="Hyperlink"/>
          <w:u w:val="none"/>
        </w:rPr>
      </w:pPr>
      <w:r w:rsidRPr="007D210C">
        <w:rPr>
          <w:rStyle w:val="Hyperlink"/>
          <w:u w:val="none"/>
        </w:rPr>
        <w:t>THIS PAGE INTENTIONALLY LEFT BLANK</w:t>
      </w:r>
    </w:p>
    <w:p w:rsidR="007D210C" w:rsidRDefault="007D210C" w:rsidP="005978A0">
      <w:pPr>
        <w:pStyle w:val="CommitteeMemberNames"/>
        <w:rPr>
          <w:rStyle w:val="Hyperlink"/>
        </w:rPr>
      </w:pPr>
    </w:p>
    <w:p w:rsidR="007D210C" w:rsidRDefault="007D210C" w:rsidP="005978A0">
      <w:pPr>
        <w:pStyle w:val="CommitteeMemberNames"/>
        <w:rPr>
          <w:rStyle w:val="Hyperlink"/>
        </w:rPr>
      </w:pPr>
    </w:p>
    <w:p w:rsidR="007D210C" w:rsidRDefault="007D210C" w:rsidP="005978A0">
      <w:pPr>
        <w:pStyle w:val="CommitteeMemberNames"/>
        <w:rPr>
          <w:rStyle w:val="Hyperlink"/>
        </w:rPr>
      </w:pPr>
    </w:p>
    <w:sectPr w:rsidR="007D210C" w:rsidSect="007D210C">
      <w:type w:val="continuous"/>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3B" w:rsidRDefault="00FC7A3B" w:rsidP="0082263A">
      <w:r>
        <w:separator/>
      </w:r>
    </w:p>
  </w:endnote>
  <w:endnote w:type="continuationSeparator" w:id="0">
    <w:p w:rsidR="00FC7A3B" w:rsidRDefault="00FC7A3B"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38103"/>
      <w:docPartObj>
        <w:docPartGallery w:val="Page Numbers (Bottom of Page)"/>
        <w:docPartUnique/>
      </w:docPartObj>
    </w:sdtPr>
    <w:sdtEndPr/>
    <w:sdtContent>
      <w:p w:rsidR="007653D6" w:rsidRPr="00787052" w:rsidRDefault="007653D6" w:rsidP="008C3A8E">
        <w:pPr>
          <w:pStyle w:val="Footer1"/>
          <w:spacing w:after="0"/>
        </w:pPr>
        <w:r>
          <w:t>NTEP - E</w:t>
        </w:r>
        <w:r w:rsidRPr="00787052">
          <w:fldChar w:fldCharType="begin"/>
        </w:r>
        <w:r w:rsidRPr="00787052">
          <w:instrText xml:space="preserve"> PAGE   \* MERGEFORMAT </w:instrText>
        </w:r>
        <w:r w:rsidRPr="00787052">
          <w:fldChar w:fldCharType="separate"/>
        </w:r>
        <w:r w:rsidR="00267274">
          <w:rPr>
            <w:noProof/>
          </w:rPr>
          <w:t>22</w:t>
        </w:r>
        <w:r w:rsidRPr="00787052">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203618"/>
      <w:docPartObj>
        <w:docPartGallery w:val="Page Numbers (Bottom of Page)"/>
        <w:docPartUnique/>
      </w:docPartObj>
    </w:sdtPr>
    <w:sdtEndPr>
      <w:rPr>
        <w:noProof/>
      </w:rPr>
    </w:sdtEndPr>
    <w:sdtContent>
      <w:p w:rsidR="007653D6" w:rsidRDefault="007653D6" w:rsidP="008C3A8E">
        <w:pPr>
          <w:pStyle w:val="Footer1"/>
          <w:spacing w:after="0"/>
        </w:pPr>
        <w:r>
          <w:t>NTEP - E</w:t>
        </w:r>
        <w:r>
          <w:fldChar w:fldCharType="begin"/>
        </w:r>
        <w:r>
          <w:instrText xml:space="preserve"> PAGE   \* MERGEFORMAT </w:instrText>
        </w:r>
        <w:r>
          <w:fldChar w:fldCharType="separate"/>
        </w:r>
        <w:r w:rsidR="0026727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3B" w:rsidRDefault="00FC7A3B" w:rsidP="0082263A">
      <w:r>
        <w:separator/>
      </w:r>
    </w:p>
  </w:footnote>
  <w:footnote w:type="continuationSeparator" w:id="0">
    <w:p w:rsidR="00FC7A3B" w:rsidRDefault="00FC7A3B"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D6" w:rsidRDefault="007653D6" w:rsidP="00BE1AFF">
    <w:pPr>
      <w:pStyle w:val="Header"/>
      <w:spacing w:after="0"/>
    </w:pPr>
    <w:r>
      <w:t>NTEP 2012 Final Report</w:t>
    </w:r>
  </w:p>
  <w:p w:rsidR="007653D6" w:rsidRPr="00BE1AFF" w:rsidRDefault="007653D6" w:rsidP="00BE1AFF">
    <w:pPr>
      <w:pStyle w:val="Header"/>
      <w:spacing w:after="0"/>
    </w:pPr>
    <w:r>
      <w:t>Appendix E – NTETC Weighing Sector Meeting Summary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D6" w:rsidRDefault="007653D6" w:rsidP="00835D5B">
    <w:pPr>
      <w:pStyle w:val="Header"/>
      <w:tabs>
        <w:tab w:val="clear" w:pos="4680"/>
      </w:tabs>
      <w:spacing w:after="0"/>
      <w:jc w:val="right"/>
    </w:pPr>
    <w:r>
      <w:t>NTEP 2012 Final Report</w:t>
    </w:r>
  </w:p>
  <w:p w:rsidR="007653D6" w:rsidRPr="00360EEF" w:rsidRDefault="007653D6" w:rsidP="00835D5B">
    <w:pPr>
      <w:pStyle w:val="Header"/>
      <w:tabs>
        <w:tab w:val="clear" w:pos="4680"/>
      </w:tabs>
      <w:jc w:val="right"/>
    </w:pPr>
    <w:r>
      <w:t>Appendix E – NTETC Weighing Sector Meeting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5C3820"/>
    <w:lvl w:ilvl="0">
      <w:start w:val="1"/>
      <w:numFmt w:val="decimal"/>
      <w:lvlText w:val="%1."/>
      <w:lvlJc w:val="left"/>
      <w:pPr>
        <w:tabs>
          <w:tab w:val="num" w:pos="1800"/>
        </w:tabs>
        <w:ind w:left="1800" w:hanging="360"/>
      </w:pPr>
    </w:lvl>
  </w:abstractNum>
  <w:abstractNum w:abstractNumId="1">
    <w:nsid w:val="FFFFFF7D"/>
    <w:multiLevelType w:val="singleLevel"/>
    <w:tmpl w:val="12E63DE4"/>
    <w:lvl w:ilvl="0">
      <w:start w:val="1"/>
      <w:numFmt w:val="decimal"/>
      <w:lvlText w:val="%1."/>
      <w:lvlJc w:val="left"/>
      <w:pPr>
        <w:tabs>
          <w:tab w:val="num" w:pos="1440"/>
        </w:tabs>
        <w:ind w:left="1440" w:hanging="360"/>
      </w:pPr>
    </w:lvl>
  </w:abstractNum>
  <w:abstractNum w:abstractNumId="2">
    <w:nsid w:val="FFFFFF7E"/>
    <w:multiLevelType w:val="singleLevel"/>
    <w:tmpl w:val="64300084"/>
    <w:lvl w:ilvl="0">
      <w:start w:val="1"/>
      <w:numFmt w:val="decimal"/>
      <w:lvlText w:val="%1."/>
      <w:lvlJc w:val="left"/>
      <w:pPr>
        <w:tabs>
          <w:tab w:val="num" w:pos="1080"/>
        </w:tabs>
        <w:ind w:left="1080" w:hanging="360"/>
      </w:pPr>
    </w:lvl>
  </w:abstractNum>
  <w:abstractNum w:abstractNumId="3">
    <w:nsid w:val="FFFFFF7F"/>
    <w:multiLevelType w:val="singleLevel"/>
    <w:tmpl w:val="63BCB4E6"/>
    <w:lvl w:ilvl="0">
      <w:start w:val="1"/>
      <w:numFmt w:val="decimal"/>
      <w:lvlText w:val="%1."/>
      <w:lvlJc w:val="left"/>
      <w:pPr>
        <w:tabs>
          <w:tab w:val="num" w:pos="720"/>
        </w:tabs>
        <w:ind w:left="720" w:hanging="360"/>
      </w:pPr>
    </w:lvl>
  </w:abstractNum>
  <w:abstractNum w:abstractNumId="4">
    <w:nsid w:val="FFFFFF80"/>
    <w:multiLevelType w:val="singleLevel"/>
    <w:tmpl w:val="868C49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24DA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9C99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3424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260D392"/>
    <w:lvl w:ilvl="0">
      <w:start w:val="1"/>
      <w:numFmt w:val="decimal"/>
      <w:lvlText w:val="%1."/>
      <w:lvlJc w:val="left"/>
      <w:pPr>
        <w:tabs>
          <w:tab w:val="num" w:pos="360"/>
        </w:tabs>
        <w:ind w:left="360" w:hanging="360"/>
      </w:pPr>
      <w:rPr>
        <w:rFonts w:hint="default"/>
      </w:rPr>
    </w:lvl>
  </w:abstractNum>
  <w:abstractNum w:abstractNumId="9">
    <w:nsid w:val="FFFFFF89"/>
    <w:multiLevelType w:val="singleLevel"/>
    <w:tmpl w:val="F2B6F428"/>
    <w:lvl w:ilvl="0">
      <w:start w:val="1"/>
      <w:numFmt w:val="bullet"/>
      <w:lvlText w:val=""/>
      <w:lvlJc w:val="left"/>
      <w:pPr>
        <w:tabs>
          <w:tab w:val="num" w:pos="360"/>
        </w:tabs>
        <w:ind w:left="360" w:hanging="360"/>
      </w:pPr>
      <w:rPr>
        <w:rFonts w:ascii="Symbol" w:hAnsi="Symbol" w:hint="default"/>
      </w:rPr>
    </w:lvl>
  </w:abstractNum>
  <w:abstractNum w:abstractNumId="10">
    <w:nsid w:val="023F621D"/>
    <w:multiLevelType w:val="hybridMultilevel"/>
    <w:tmpl w:val="C8A6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500551"/>
    <w:multiLevelType w:val="hybridMultilevel"/>
    <w:tmpl w:val="26BE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55097D"/>
    <w:multiLevelType w:val="multilevel"/>
    <w:tmpl w:val="0D98D144"/>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1772982"/>
    <w:multiLevelType w:val="hybridMultilevel"/>
    <w:tmpl w:val="5B30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DC6166"/>
    <w:multiLevelType w:val="multilevel"/>
    <w:tmpl w:val="729AD85A"/>
    <w:lvl w:ilvl="0">
      <w:start w:val="1"/>
      <w:numFmt w:val="upperRoman"/>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1A3283F"/>
    <w:multiLevelType w:val="hybridMultilevel"/>
    <w:tmpl w:val="5858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33E0D18"/>
    <w:multiLevelType w:val="multilevel"/>
    <w:tmpl w:val="7A72C92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19">
    <w:nsid w:val="38705589"/>
    <w:multiLevelType w:val="hybridMultilevel"/>
    <w:tmpl w:val="723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FE6D75"/>
    <w:multiLevelType w:val="hybridMultilevel"/>
    <w:tmpl w:val="46080D02"/>
    <w:lvl w:ilvl="0" w:tplc="6B622B62">
      <w:start w:val="1"/>
      <w:numFmt w:val="decimal"/>
      <w:pStyle w:val="Item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CF7180"/>
    <w:multiLevelType w:val="hybridMultilevel"/>
    <w:tmpl w:val="26A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CF276C"/>
    <w:multiLevelType w:val="hybridMultilevel"/>
    <w:tmpl w:val="351C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6">
    <w:nsid w:val="624660E7"/>
    <w:multiLevelType w:val="hybridMultilevel"/>
    <w:tmpl w:val="8500D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1F277F"/>
    <w:multiLevelType w:val="hybridMultilevel"/>
    <w:tmpl w:val="C2DC2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C307AA"/>
    <w:multiLevelType w:val="hybridMultilevel"/>
    <w:tmpl w:val="8DC4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30">
    <w:nsid w:val="7B860778"/>
    <w:multiLevelType w:val="multilevel"/>
    <w:tmpl w:val="8FC4F59E"/>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lvlRestart w:val="0"/>
      <w:pStyle w:val="2s"/>
      <w:lvlText w:val="%3.%6."/>
      <w:lvlJc w:val="left"/>
      <w:pPr>
        <w:ind w:left="1080" w:hanging="576"/>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pStyle w:val="3s"/>
      <w:lvlText w:val="%3.%6.%7."/>
      <w:lvlJc w:val="left"/>
      <w:pPr>
        <w:ind w:left="1872" w:hanging="79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decimal"/>
      <w:pStyle w:val="4s"/>
      <w:lvlText w:val="%3.%6.%7.%8."/>
      <w:lvlJc w:val="left"/>
      <w:pPr>
        <w:ind w:left="2376"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8">
      <w:start w:val="1"/>
      <w:numFmt w:val="decimal"/>
      <w:lvlRestart w:val="4"/>
      <w:pStyle w:val="5s"/>
      <w:lvlText w:val="%3.%6.%7.%8.%9."/>
      <w:lvlJc w:val="left"/>
      <w:pPr>
        <w:ind w:left="1008" w:firstLine="1800"/>
      </w:pPr>
      <w:rPr>
        <w:rFonts w:hint="default"/>
      </w:rPr>
    </w:lvl>
  </w:abstractNum>
  <w:abstractNum w:abstractNumId="31">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8"/>
  </w:num>
  <w:num w:numId="18">
    <w:abstractNumId w:val="10"/>
  </w:num>
  <w:num w:numId="19">
    <w:abstractNumId w:val="13"/>
  </w:num>
  <w:num w:numId="20">
    <w:abstractNumId w:val="17"/>
  </w:num>
  <w:num w:numId="21">
    <w:abstractNumId w:val="17"/>
    <w:lvlOverride w:ilvl="0">
      <w:lvl w:ilvl="0">
        <w:start w:val="1"/>
        <w:numFmt w:val="lowerLetter"/>
        <w:pStyle w:val="AgendaItems"/>
        <w:lvlText w:val="%1."/>
        <w:lvlJc w:val="left"/>
        <w:pPr>
          <w:ind w:left="108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num>
  <w:num w:numId="23">
    <w:abstractNumId w:val="20"/>
  </w:num>
  <w:num w:numId="24">
    <w:abstractNumId w:val="12"/>
  </w:num>
  <w:num w:numId="25">
    <w:abstractNumId w:val="29"/>
  </w:num>
  <w:num w:numId="26">
    <w:abstractNumId w:val="17"/>
  </w:num>
  <w:num w:numId="27">
    <w:abstractNumId w:val="14"/>
  </w:num>
  <w:num w:numId="28">
    <w:abstractNumId w:val="16"/>
  </w:num>
  <w:num w:numId="29">
    <w:abstractNumId w:val="25"/>
  </w:num>
  <w:num w:numId="30">
    <w:abstractNumId w:val="21"/>
  </w:num>
  <w:num w:numId="31">
    <w:abstractNumId w:val="21"/>
  </w:num>
  <w:num w:numId="32">
    <w:abstractNumId w:val="24"/>
  </w:num>
  <w:num w:numId="33">
    <w:abstractNumId w:val="24"/>
  </w:num>
  <w:num w:numId="34">
    <w:abstractNumId w:val="27"/>
  </w:num>
  <w:num w:numId="35">
    <w:abstractNumId w:val="31"/>
  </w:num>
  <w:num w:numId="36">
    <w:abstractNumId w:val="20"/>
    <w:lvlOverride w:ilvl="0">
      <w:startOverride w:val="1"/>
    </w:lvlOverride>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1"/>
  </w:num>
  <w:num w:numId="44">
    <w:abstractNumId w:val="3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85"/>
    <w:rsid w:val="000006B8"/>
    <w:rsid w:val="00005885"/>
    <w:rsid w:val="00037466"/>
    <w:rsid w:val="00095079"/>
    <w:rsid w:val="00096F1D"/>
    <w:rsid w:val="000B0D04"/>
    <w:rsid w:val="000C247F"/>
    <w:rsid w:val="000C53C7"/>
    <w:rsid w:val="000C7B7D"/>
    <w:rsid w:val="000D0B13"/>
    <w:rsid w:val="000F7DB1"/>
    <w:rsid w:val="00105E26"/>
    <w:rsid w:val="0011315C"/>
    <w:rsid w:val="00125727"/>
    <w:rsid w:val="001262E2"/>
    <w:rsid w:val="001323BC"/>
    <w:rsid w:val="001548BE"/>
    <w:rsid w:val="0016336D"/>
    <w:rsid w:val="001643B4"/>
    <w:rsid w:val="001652AD"/>
    <w:rsid w:val="001775EF"/>
    <w:rsid w:val="00197F52"/>
    <w:rsid w:val="001B1E22"/>
    <w:rsid w:val="001C3D9E"/>
    <w:rsid w:val="001C4A96"/>
    <w:rsid w:val="001C5285"/>
    <w:rsid w:val="001D4156"/>
    <w:rsid w:val="001E10B4"/>
    <w:rsid w:val="001E1D87"/>
    <w:rsid w:val="001F49B6"/>
    <w:rsid w:val="001F4A10"/>
    <w:rsid w:val="00206264"/>
    <w:rsid w:val="00233C4C"/>
    <w:rsid w:val="00250046"/>
    <w:rsid w:val="002627A8"/>
    <w:rsid w:val="00266C37"/>
    <w:rsid w:val="00267274"/>
    <w:rsid w:val="002927CC"/>
    <w:rsid w:val="002A7852"/>
    <w:rsid w:val="002C4E7F"/>
    <w:rsid w:val="002E1244"/>
    <w:rsid w:val="002E3C7E"/>
    <w:rsid w:val="002E76DC"/>
    <w:rsid w:val="003009AD"/>
    <w:rsid w:val="003361CE"/>
    <w:rsid w:val="00360EEF"/>
    <w:rsid w:val="00361AA7"/>
    <w:rsid w:val="00366438"/>
    <w:rsid w:val="00375AC2"/>
    <w:rsid w:val="0038520D"/>
    <w:rsid w:val="003905F3"/>
    <w:rsid w:val="00397175"/>
    <w:rsid w:val="003B3B3A"/>
    <w:rsid w:val="003B5D9A"/>
    <w:rsid w:val="003B7CB5"/>
    <w:rsid w:val="003C4B56"/>
    <w:rsid w:val="003C74EE"/>
    <w:rsid w:val="003D30BA"/>
    <w:rsid w:val="003D4E93"/>
    <w:rsid w:val="003E6380"/>
    <w:rsid w:val="003F0565"/>
    <w:rsid w:val="004116F6"/>
    <w:rsid w:val="00421BBC"/>
    <w:rsid w:val="00423ABA"/>
    <w:rsid w:val="004437DB"/>
    <w:rsid w:val="00443A38"/>
    <w:rsid w:val="00473C43"/>
    <w:rsid w:val="004A36E1"/>
    <w:rsid w:val="004B7C9A"/>
    <w:rsid w:val="004D58CF"/>
    <w:rsid w:val="004E152A"/>
    <w:rsid w:val="00502DB9"/>
    <w:rsid w:val="00506530"/>
    <w:rsid w:val="00520CE7"/>
    <w:rsid w:val="00530B61"/>
    <w:rsid w:val="00537C38"/>
    <w:rsid w:val="0055387E"/>
    <w:rsid w:val="00556E92"/>
    <w:rsid w:val="005850C6"/>
    <w:rsid w:val="0059027E"/>
    <w:rsid w:val="005978A0"/>
    <w:rsid w:val="005A5535"/>
    <w:rsid w:val="005A6EC6"/>
    <w:rsid w:val="005B58BE"/>
    <w:rsid w:val="005D4239"/>
    <w:rsid w:val="005F0AB6"/>
    <w:rsid w:val="005F1BED"/>
    <w:rsid w:val="00600D06"/>
    <w:rsid w:val="0061044F"/>
    <w:rsid w:val="00612B3A"/>
    <w:rsid w:val="006136A4"/>
    <w:rsid w:val="00620DBF"/>
    <w:rsid w:val="006245D4"/>
    <w:rsid w:val="00626010"/>
    <w:rsid w:val="00634337"/>
    <w:rsid w:val="00636695"/>
    <w:rsid w:val="00647C81"/>
    <w:rsid w:val="00651272"/>
    <w:rsid w:val="00651AE6"/>
    <w:rsid w:val="006638E5"/>
    <w:rsid w:val="006706D6"/>
    <w:rsid w:val="00670A3E"/>
    <w:rsid w:val="00687C1B"/>
    <w:rsid w:val="006A225A"/>
    <w:rsid w:val="006B71DE"/>
    <w:rsid w:val="006D3066"/>
    <w:rsid w:val="006D53BE"/>
    <w:rsid w:val="006E0091"/>
    <w:rsid w:val="006E34C2"/>
    <w:rsid w:val="006F1D68"/>
    <w:rsid w:val="00700796"/>
    <w:rsid w:val="0070265F"/>
    <w:rsid w:val="007048D6"/>
    <w:rsid w:val="00710CBA"/>
    <w:rsid w:val="00736916"/>
    <w:rsid w:val="00744E4E"/>
    <w:rsid w:val="00750314"/>
    <w:rsid w:val="00753782"/>
    <w:rsid w:val="00755545"/>
    <w:rsid w:val="007653D6"/>
    <w:rsid w:val="00767CC7"/>
    <w:rsid w:val="00771DDB"/>
    <w:rsid w:val="00774033"/>
    <w:rsid w:val="00780C80"/>
    <w:rsid w:val="00787052"/>
    <w:rsid w:val="00797674"/>
    <w:rsid w:val="007A057D"/>
    <w:rsid w:val="007A375A"/>
    <w:rsid w:val="007B245B"/>
    <w:rsid w:val="007B3EE8"/>
    <w:rsid w:val="007D210C"/>
    <w:rsid w:val="007E09CD"/>
    <w:rsid w:val="007E32E8"/>
    <w:rsid w:val="007F23EC"/>
    <w:rsid w:val="007F411C"/>
    <w:rsid w:val="008048A1"/>
    <w:rsid w:val="00822151"/>
    <w:rsid w:val="0082263A"/>
    <w:rsid w:val="00825C53"/>
    <w:rsid w:val="008335AA"/>
    <w:rsid w:val="00835D5B"/>
    <w:rsid w:val="00837197"/>
    <w:rsid w:val="00844232"/>
    <w:rsid w:val="00854B14"/>
    <w:rsid w:val="008924DA"/>
    <w:rsid w:val="00894ACD"/>
    <w:rsid w:val="008A0334"/>
    <w:rsid w:val="008A1C05"/>
    <w:rsid w:val="008A22F3"/>
    <w:rsid w:val="008B0AC2"/>
    <w:rsid w:val="008B3856"/>
    <w:rsid w:val="008B70D0"/>
    <w:rsid w:val="008C0090"/>
    <w:rsid w:val="008C3A8E"/>
    <w:rsid w:val="0090164D"/>
    <w:rsid w:val="009165F9"/>
    <w:rsid w:val="009207FE"/>
    <w:rsid w:val="00922570"/>
    <w:rsid w:val="009375EF"/>
    <w:rsid w:val="00944009"/>
    <w:rsid w:val="00947682"/>
    <w:rsid w:val="00950E6E"/>
    <w:rsid w:val="0095559E"/>
    <w:rsid w:val="0096623B"/>
    <w:rsid w:val="00967910"/>
    <w:rsid w:val="00970936"/>
    <w:rsid w:val="009838FF"/>
    <w:rsid w:val="00985FB5"/>
    <w:rsid w:val="009917C6"/>
    <w:rsid w:val="009A61F2"/>
    <w:rsid w:val="009E7B9C"/>
    <w:rsid w:val="009F276F"/>
    <w:rsid w:val="009F54B0"/>
    <w:rsid w:val="00A04BE4"/>
    <w:rsid w:val="00A14093"/>
    <w:rsid w:val="00A312DA"/>
    <w:rsid w:val="00A329E2"/>
    <w:rsid w:val="00A51EE5"/>
    <w:rsid w:val="00A74743"/>
    <w:rsid w:val="00A94673"/>
    <w:rsid w:val="00A94C85"/>
    <w:rsid w:val="00AA641B"/>
    <w:rsid w:val="00AB5499"/>
    <w:rsid w:val="00AB5C37"/>
    <w:rsid w:val="00AC5921"/>
    <w:rsid w:val="00AD339F"/>
    <w:rsid w:val="00AE1FE2"/>
    <w:rsid w:val="00AF6FBD"/>
    <w:rsid w:val="00B13403"/>
    <w:rsid w:val="00B467BA"/>
    <w:rsid w:val="00B52195"/>
    <w:rsid w:val="00B67C78"/>
    <w:rsid w:val="00B70CFD"/>
    <w:rsid w:val="00B8457B"/>
    <w:rsid w:val="00B84EB4"/>
    <w:rsid w:val="00BA1919"/>
    <w:rsid w:val="00BC23D3"/>
    <w:rsid w:val="00BD290B"/>
    <w:rsid w:val="00BD7B17"/>
    <w:rsid w:val="00BE1AFF"/>
    <w:rsid w:val="00BE611A"/>
    <w:rsid w:val="00BE6494"/>
    <w:rsid w:val="00BF7D48"/>
    <w:rsid w:val="00C016B7"/>
    <w:rsid w:val="00C04926"/>
    <w:rsid w:val="00C13BA9"/>
    <w:rsid w:val="00C16EC7"/>
    <w:rsid w:val="00C2191A"/>
    <w:rsid w:val="00C359A1"/>
    <w:rsid w:val="00C41814"/>
    <w:rsid w:val="00C43EDA"/>
    <w:rsid w:val="00C76925"/>
    <w:rsid w:val="00C83B0B"/>
    <w:rsid w:val="00C8633F"/>
    <w:rsid w:val="00C95A63"/>
    <w:rsid w:val="00CB63B9"/>
    <w:rsid w:val="00CB757F"/>
    <w:rsid w:val="00CC51D0"/>
    <w:rsid w:val="00CC58E8"/>
    <w:rsid w:val="00CE0D0B"/>
    <w:rsid w:val="00CF21C7"/>
    <w:rsid w:val="00CF29A5"/>
    <w:rsid w:val="00D0082F"/>
    <w:rsid w:val="00D17B16"/>
    <w:rsid w:val="00D4762C"/>
    <w:rsid w:val="00D53817"/>
    <w:rsid w:val="00D5559D"/>
    <w:rsid w:val="00D673F6"/>
    <w:rsid w:val="00D704BB"/>
    <w:rsid w:val="00D72333"/>
    <w:rsid w:val="00D72DCD"/>
    <w:rsid w:val="00D8673C"/>
    <w:rsid w:val="00D97D15"/>
    <w:rsid w:val="00DA372C"/>
    <w:rsid w:val="00DB0294"/>
    <w:rsid w:val="00DB7C7D"/>
    <w:rsid w:val="00DC3A37"/>
    <w:rsid w:val="00DD4735"/>
    <w:rsid w:val="00DF07B3"/>
    <w:rsid w:val="00E03EF6"/>
    <w:rsid w:val="00E06316"/>
    <w:rsid w:val="00E17520"/>
    <w:rsid w:val="00E20FAA"/>
    <w:rsid w:val="00E23327"/>
    <w:rsid w:val="00E252B3"/>
    <w:rsid w:val="00E30CDC"/>
    <w:rsid w:val="00E56C1A"/>
    <w:rsid w:val="00E64949"/>
    <w:rsid w:val="00E85C9C"/>
    <w:rsid w:val="00E9281C"/>
    <w:rsid w:val="00EB0442"/>
    <w:rsid w:val="00EB6D9E"/>
    <w:rsid w:val="00EC03BC"/>
    <w:rsid w:val="00ED616C"/>
    <w:rsid w:val="00EF5B43"/>
    <w:rsid w:val="00EF6613"/>
    <w:rsid w:val="00EF74FC"/>
    <w:rsid w:val="00F07D63"/>
    <w:rsid w:val="00F112E4"/>
    <w:rsid w:val="00F20AB5"/>
    <w:rsid w:val="00F236B8"/>
    <w:rsid w:val="00F3504E"/>
    <w:rsid w:val="00F56706"/>
    <w:rsid w:val="00F66083"/>
    <w:rsid w:val="00F8763B"/>
    <w:rsid w:val="00FB561C"/>
    <w:rsid w:val="00FC164A"/>
    <w:rsid w:val="00FC3603"/>
    <w:rsid w:val="00FC7A3B"/>
    <w:rsid w:val="00FD48E4"/>
    <w:rsid w:val="00FF1804"/>
    <w:rsid w:val="00FF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4C"/>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8C3A8E"/>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A8E"/>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AA641B"/>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710CBA"/>
    <w:pPr>
      <w:tabs>
        <w:tab w:val="left" w:pos="1100"/>
        <w:tab w:val="right" w:leader="dot" w:pos="9360"/>
      </w:tabs>
      <w:spacing w:after="0"/>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CE0D0B"/>
    <w:pPr>
      <w:tabs>
        <w:tab w:val="left" w:pos="1620"/>
        <w:tab w:val="right" w:leader="dot" w:pos="9350"/>
      </w:tabs>
      <w:spacing w:after="0" w:line="276" w:lineRule="auto"/>
      <w:ind w:left="1620" w:hanging="540"/>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8C3A8E"/>
    <w:pPr>
      <w:numPr>
        <w:numId w:val="30"/>
      </w:numPr>
      <w:spacing w:before="360"/>
      <w:ind w:hanging="720"/>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653D6"/>
    <w:pPr>
      <w:numPr>
        <w:numId w:val="23"/>
      </w:numPr>
      <w:contextualSpacing w:val="0"/>
    </w:pPr>
  </w:style>
  <w:style w:type="paragraph" w:customStyle="1" w:styleId="bulletedlist">
    <w:name w:val="bulleted list"/>
    <w:basedOn w:val="ListParagraph"/>
    <w:qFormat/>
    <w:rsid w:val="007653D6"/>
    <w:pPr>
      <w:numPr>
        <w:numId w:val="33"/>
      </w:numPr>
      <w:contextualSpacing w:val="0"/>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5"/>
      </w:numPr>
      <w:spacing w:after="120"/>
    </w:pPr>
    <w:rPr>
      <w:rFonts w:eastAsia="Calibri" w:cs="Times New Roman"/>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28"/>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29"/>
      </w:numPr>
      <w:spacing w:after="120" w:line="240" w:lineRule="auto"/>
    </w:pPr>
    <w:rPr>
      <w:rFonts w:ascii="Times New Roman" w:hAnsi="Times New Roman"/>
      <w:sz w:val="20"/>
    </w:rPr>
  </w:style>
  <w:style w:type="paragraph" w:customStyle="1" w:styleId="I-bulletedlist">
    <w:name w:val="I - bulleted list"/>
    <w:basedOn w:val="bulletedlist"/>
    <w:qFormat/>
    <w:rsid w:val="00AA641B"/>
    <w:pPr>
      <w:numPr>
        <w:numId w:val="0"/>
      </w:numPr>
    </w:pPr>
  </w:style>
  <w:style w:type="paragraph" w:customStyle="1" w:styleId="I-bulletedlist1indent">
    <w:name w:val="I - bulleted list 1 indent"/>
    <w:basedOn w:val="I-bulletedlist"/>
    <w:qFormat/>
    <w:rsid w:val="00AA641B"/>
  </w:style>
  <w:style w:type="paragraph" w:customStyle="1" w:styleId="I-Normal-bold">
    <w:name w:val="I - Normal- bold"/>
    <w:basedOn w:val="Normal"/>
    <w:qFormat/>
    <w:rsid w:val="00AA641B"/>
    <w:pPr>
      <w:ind w:left="360"/>
    </w:pPr>
    <w:rPr>
      <w:b/>
    </w:rPr>
  </w:style>
  <w:style w:type="paragraph" w:customStyle="1" w:styleId="I-LetterAreg">
    <w:name w:val="I - Letter A reg"/>
    <w:basedOn w:val="I-Normal-bold"/>
    <w:qFormat/>
    <w:rsid w:val="00AA641B"/>
    <w:pPr>
      <w:ind w:left="720" w:hanging="360"/>
    </w:pPr>
    <w:rPr>
      <w:b w:val="0"/>
    </w:rPr>
  </w:style>
  <w:style w:type="paragraph" w:customStyle="1" w:styleId="I-LetterAbold">
    <w:name w:val="I - Letter A bold"/>
    <w:basedOn w:val="I-LetterAreg"/>
    <w:qFormat/>
    <w:rsid w:val="00AA641B"/>
    <w:rPr>
      <w:b/>
    </w:rPr>
  </w:style>
  <w:style w:type="paragraph" w:customStyle="1" w:styleId="I-LetterAIndent1">
    <w:name w:val="I - Letter A Indent 1"/>
    <w:basedOn w:val="Normal"/>
    <w:qFormat/>
    <w:rsid w:val="00AA641B"/>
    <w:pPr>
      <w:ind w:left="1350" w:hanging="360"/>
    </w:pPr>
  </w:style>
  <w:style w:type="paragraph" w:customStyle="1" w:styleId="I-Normalreg">
    <w:name w:val="I - Normal reg"/>
    <w:basedOn w:val="I-Normal-bold"/>
    <w:qFormat/>
    <w:rsid w:val="007653D6"/>
    <w:rPr>
      <w:b w:val="0"/>
    </w:rPr>
  </w:style>
  <w:style w:type="paragraph" w:customStyle="1" w:styleId="I-Normal1indent">
    <w:name w:val="I - Normal 1 indent"/>
    <w:basedOn w:val="I-Normalreg"/>
    <w:qFormat/>
    <w:rsid w:val="00AA641B"/>
    <w:pPr>
      <w:ind w:left="1620" w:hanging="720"/>
    </w:pPr>
  </w:style>
  <w:style w:type="paragraph" w:customStyle="1" w:styleId="I-Normal2indent">
    <w:name w:val="I - Normal 2 indent"/>
    <w:basedOn w:val="I-Normal1indent"/>
    <w:qFormat/>
    <w:rsid w:val="00AA641B"/>
    <w:pPr>
      <w:ind w:left="1350"/>
    </w:pPr>
  </w:style>
  <w:style w:type="paragraph" w:customStyle="1" w:styleId="I-Normal3indent">
    <w:name w:val="I - Normal 3 indent"/>
    <w:basedOn w:val="I-Normal2indent"/>
    <w:qFormat/>
    <w:rsid w:val="00AA641B"/>
    <w:pPr>
      <w:ind w:left="2340"/>
    </w:pPr>
    <w:rPr>
      <w:b/>
      <w:u w:val="single"/>
    </w:rPr>
  </w:style>
  <w:style w:type="paragraph" w:customStyle="1" w:styleId="I-numbers">
    <w:name w:val="I - numbers"/>
    <w:basedOn w:val="Normal"/>
    <w:qFormat/>
    <w:rsid w:val="00AA641B"/>
    <w:pPr>
      <w:spacing w:after="120"/>
    </w:pPr>
    <w:rPr>
      <w:rFonts w:eastAsia="Calibri" w:cs="Times New Roman"/>
    </w:rPr>
  </w:style>
  <w:style w:type="paragraph" w:customStyle="1" w:styleId="IntentionallyBlank">
    <w:name w:val="Intentionally Blank"/>
    <w:basedOn w:val="Normal"/>
    <w:qFormat/>
    <w:rsid w:val="00AA641B"/>
    <w:pPr>
      <w:spacing w:before="3240"/>
      <w:jc w:val="center"/>
    </w:pPr>
    <w:rPr>
      <w:caps/>
    </w:rPr>
  </w:style>
  <w:style w:type="paragraph" w:customStyle="1" w:styleId="bulletedheading">
    <w:name w:val="bulleted heading"/>
    <w:basedOn w:val="bulletedlist"/>
    <w:qFormat/>
    <w:rsid w:val="00AA641B"/>
    <w:pPr>
      <w:numPr>
        <w:numId w:val="0"/>
      </w:numPr>
      <w:spacing w:after="0"/>
    </w:pPr>
    <w:rPr>
      <w:b/>
    </w:rPr>
  </w:style>
  <w:style w:type="paragraph" w:customStyle="1" w:styleId="bulletedindent">
    <w:name w:val="bulleted indent"/>
    <w:basedOn w:val="bulletedlist"/>
    <w:qFormat/>
    <w:rsid w:val="00AA641B"/>
    <w:pPr>
      <w:numPr>
        <w:numId w:val="0"/>
      </w:numPr>
      <w:ind w:left="360"/>
    </w:pPr>
  </w:style>
  <w:style w:type="paragraph" w:customStyle="1" w:styleId="ItemHeadingletters">
    <w:name w:val="Item Heading letters"/>
    <w:basedOn w:val="ListParagraph"/>
    <w:qFormat/>
    <w:rsid w:val="00FC3603"/>
    <w:pPr>
      <w:numPr>
        <w:ilvl w:val="1"/>
        <w:numId w:val="35"/>
      </w:numPr>
      <w:ind w:left="720" w:hanging="720"/>
      <w:jc w:val="left"/>
    </w:pPr>
    <w:rPr>
      <w:b/>
    </w:rPr>
  </w:style>
  <w:style w:type="paragraph" w:customStyle="1" w:styleId="CodeCopy">
    <w:name w:val="Code Copy"/>
    <w:next w:val="Normal"/>
    <w:qFormat/>
    <w:rsid w:val="00626010"/>
    <w:pPr>
      <w:spacing w:after="120" w:line="240" w:lineRule="auto"/>
      <w:ind w:left="504"/>
      <w:jc w:val="both"/>
    </w:pPr>
    <w:rPr>
      <w:rFonts w:ascii="Times New Roman" w:hAnsi="Times New Roman"/>
      <w:sz w:val="20"/>
    </w:rPr>
  </w:style>
  <w:style w:type="paragraph" w:customStyle="1" w:styleId="2s">
    <w:name w:val="2 #s"/>
    <w:qFormat/>
    <w:rsid w:val="00AE1FE2"/>
    <w:pPr>
      <w:numPr>
        <w:ilvl w:val="5"/>
        <w:numId w:val="44"/>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AE1FE2"/>
    <w:pPr>
      <w:numPr>
        <w:ilvl w:val="6"/>
        <w:numId w:val="44"/>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AE1FE2"/>
    <w:pPr>
      <w:numPr>
        <w:numId w:val="44"/>
      </w:numPr>
      <w:spacing w:before="240" w:after="160"/>
      <w:jc w:val="both"/>
    </w:pPr>
    <w:rPr>
      <w:rFonts w:ascii="Times New Roman" w:hAnsi="Times New Roman"/>
      <w:b/>
      <w:sz w:val="24"/>
    </w:rPr>
  </w:style>
  <w:style w:type="paragraph" w:customStyle="1" w:styleId="HeadingLettersgroup2">
    <w:name w:val="Heading Letters (group 2)"/>
    <w:qFormat/>
    <w:rsid w:val="00AE1FE2"/>
    <w:pPr>
      <w:numPr>
        <w:ilvl w:val="1"/>
        <w:numId w:val="44"/>
      </w:numPr>
      <w:spacing w:before="240" w:after="160"/>
      <w:jc w:val="both"/>
    </w:pPr>
    <w:rPr>
      <w:rFonts w:ascii="Times New Roman" w:hAnsi="Times New Roman"/>
      <w:b/>
      <w:sz w:val="24"/>
    </w:rPr>
  </w:style>
  <w:style w:type="paragraph" w:customStyle="1" w:styleId="HeadingNumbersgroup1">
    <w:name w:val="Heading Numbers (group 1)"/>
    <w:qFormat/>
    <w:rsid w:val="00AE1FE2"/>
    <w:pPr>
      <w:numPr>
        <w:ilvl w:val="2"/>
        <w:numId w:val="44"/>
      </w:numPr>
      <w:spacing w:before="240" w:after="160"/>
      <w:jc w:val="both"/>
    </w:pPr>
    <w:rPr>
      <w:rFonts w:ascii="Times New Roman" w:hAnsi="Times New Roman"/>
      <w:b/>
      <w:sz w:val="24"/>
    </w:rPr>
  </w:style>
  <w:style w:type="paragraph" w:customStyle="1" w:styleId="Numberscodereference">
    <w:name w:val="#Numbers (code reference)"/>
    <w:qFormat/>
    <w:rsid w:val="00AE1FE2"/>
    <w:pPr>
      <w:numPr>
        <w:ilvl w:val="3"/>
        <w:numId w:val="44"/>
      </w:numPr>
      <w:spacing w:after="60" w:line="240" w:lineRule="auto"/>
      <w:jc w:val="both"/>
    </w:pPr>
    <w:rPr>
      <w:rFonts w:ascii="Times New Roman" w:hAnsi="Times New Roman"/>
      <w:sz w:val="20"/>
    </w:rPr>
  </w:style>
  <w:style w:type="paragraph" w:customStyle="1" w:styleId="Letterscodereference">
    <w:name w:val="Letters (code reference)"/>
    <w:qFormat/>
    <w:rsid w:val="00AE1FE2"/>
    <w:pPr>
      <w:numPr>
        <w:ilvl w:val="4"/>
        <w:numId w:val="44"/>
      </w:numPr>
      <w:spacing w:after="60" w:line="240" w:lineRule="auto"/>
      <w:jc w:val="both"/>
    </w:pPr>
    <w:rPr>
      <w:rFonts w:ascii="Times New Roman" w:hAnsi="Times New Roman"/>
      <w:sz w:val="20"/>
    </w:rPr>
  </w:style>
  <w:style w:type="paragraph" w:customStyle="1" w:styleId="4s">
    <w:name w:val="4 #s"/>
    <w:qFormat/>
    <w:rsid w:val="00AE1FE2"/>
    <w:pPr>
      <w:numPr>
        <w:ilvl w:val="7"/>
        <w:numId w:val="44"/>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CheckBoxes">
    <w:name w:val="Check Boxes"/>
    <w:basedOn w:val="Normal"/>
    <w:qFormat/>
    <w:rsid w:val="00AE1FE2"/>
    <w:pPr>
      <w:spacing w:before="40" w:after="40"/>
      <w:jc w:val="right"/>
    </w:pPr>
  </w:style>
  <w:style w:type="paragraph" w:customStyle="1" w:styleId="5s">
    <w:name w:val="5 #s"/>
    <w:qFormat/>
    <w:rsid w:val="00AE1FE2"/>
    <w:pPr>
      <w:numPr>
        <w:ilvl w:val="8"/>
        <w:numId w:val="44"/>
      </w:numPr>
      <w:spacing w:before="40" w:after="40" w:line="240" w:lineRule="auto"/>
      <w:ind w:left="3816" w:hanging="1008"/>
      <w:jc w:val="both"/>
    </w:pPr>
    <w:rPr>
      <w:rFonts w:ascii="Times New Roman" w:eastAsiaTheme="majorEastAsia" w:hAnsi="Times New Roman" w:cstheme="majorBidi"/>
      <w:iCs/>
      <w:sz w:val="20"/>
      <w:szCs w:val="24"/>
    </w:rPr>
  </w:style>
  <w:style w:type="character" w:customStyle="1" w:styleId="Style10ptBold">
    <w:name w:val="Style 10 pt Bold"/>
    <w:basedOn w:val="DefaultParagraphFont"/>
    <w:rsid w:val="006D3066"/>
    <w:rPr>
      <w:b/>
      <w:bCs/>
      <w:sz w:val="20"/>
    </w:rPr>
  </w:style>
  <w:style w:type="paragraph" w:customStyle="1" w:styleId="Notes">
    <w:name w:val="Notes"/>
    <w:qFormat/>
    <w:rsid w:val="001323BC"/>
    <w:pPr>
      <w:spacing w:after="120" w:line="240" w:lineRule="auto"/>
      <w:ind w:left="504"/>
      <w:jc w:val="both"/>
    </w:pPr>
    <w:rPr>
      <w:rFonts w:ascii="Times New Roman" w:hAnsi="Times New Roman"/>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4C"/>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8C3A8E"/>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A8E"/>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AA641B"/>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710CBA"/>
    <w:pPr>
      <w:tabs>
        <w:tab w:val="left" w:pos="1100"/>
        <w:tab w:val="right" w:leader="dot" w:pos="9360"/>
      </w:tabs>
      <w:spacing w:after="0"/>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CE0D0B"/>
    <w:pPr>
      <w:tabs>
        <w:tab w:val="left" w:pos="1620"/>
        <w:tab w:val="right" w:leader="dot" w:pos="9350"/>
      </w:tabs>
      <w:spacing w:after="0" w:line="276" w:lineRule="auto"/>
      <w:ind w:left="1620" w:hanging="540"/>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8C3A8E"/>
    <w:pPr>
      <w:numPr>
        <w:numId w:val="30"/>
      </w:numPr>
      <w:spacing w:before="360"/>
      <w:ind w:hanging="720"/>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653D6"/>
    <w:pPr>
      <w:numPr>
        <w:numId w:val="23"/>
      </w:numPr>
      <w:contextualSpacing w:val="0"/>
    </w:pPr>
  </w:style>
  <w:style w:type="paragraph" w:customStyle="1" w:styleId="bulletedlist">
    <w:name w:val="bulleted list"/>
    <w:basedOn w:val="ListParagraph"/>
    <w:qFormat/>
    <w:rsid w:val="007653D6"/>
    <w:pPr>
      <w:numPr>
        <w:numId w:val="33"/>
      </w:numPr>
      <w:contextualSpacing w:val="0"/>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5"/>
      </w:numPr>
      <w:spacing w:after="120"/>
    </w:pPr>
    <w:rPr>
      <w:rFonts w:eastAsia="Calibri" w:cs="Times New Roman"/>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28"/>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29"/>
      </w:numPr>
      <w:spacing w:after="120" w:line="240" w:lineRule="auto"/>
    </w:pPr>
    <w:rPr>
      <w:rFonts w:ascii="Times New Roman" w:hAnsi="Times New Roman"/>
      <w:sz w:val="20"/>
    </w:rPr>
  </w:style>
  <w:style w:type="paragraph" w:customStyle="1" w:styleId="I-bulletedlist">
    <w:name w:val="I - bulleted list"/>
    <w:basedOn w:val="bulletedlist"/>
    <w:qFormat/>
    <w:rsid w:val="00AA641B"/>
    <w:pPr>
      <w:numPr>
        <w:numId w:val="0"/>
      </w:numPr>
    </w:pPr>
  </w:style>
  <w:style w:type="paragraph" w:customStyle="1" w:styleId="I-bulletedlist1indent">
    <w:name w:val="I - bulleted list 1 indent"/>
    <w:basedOn w:val="I-bulletedlist"/>
    <w:qFormat/>
    <w:rsid w:val="00AA641B"/>
  </w:style>
  <w:style w:type="paragraph" w:customStyle="1" w:styleId="I-Normal-bold">
    <w:name w:val="I - Normal- bold"/>
    <w:basedOn w:val="Normal"/>
    <w:qFormat/>
    <w:rsid w:val="00AA641B"/>
    <w:pPr>
      <w:ind w:left="360"/>
    </w:pPr>
    <w:rPr>
      <w:b/>
    </w:rPr>
  </w:style>
  <w:style w:type="paragraph" w:customStyle="1" w:styleId="I-LetterAreg">
    <w:name w:val="I - Letter A reg"/>
    <w:basedOn w:val="I-Normal-bold"/>
    <w:qFormat/>
    <w:rsid w:val="00AA641B"/>
    <w:pPr>
      <w:ind w:left="720" w:hanging="360"/>
    </w:pPr>
    <w:rPr>
      <w:b w:val="0"/>
    </w:rPr>
  </w:style>
  <w:style w:type="paragraph" w:customStyle="1" w:styleId="I-LetterAbold">
    <w:name w:val="I - Letter A bold"/>
    <w:basedOn w:val="I-LetterAreg"/>
    <w:qFormat/>
    <w:rsid w:val="00AA641B"/>
    <w:rPr>
      <w:b/>
    </w:rPr>
  </w:style>
  <w:style w:type="paragraph" w:customStyle="1" w:styleId="I-LetterAIndent1">
    <w:name w:val="I - Letter A Indent 1"/>
    <w:basedOn w:val="Normal"/>
    <w:qFormat/>
    <w:rsid w:val="00AA641B"/>
    <w:pPr>
      <w:ind w:left="1350" w:hanging="360"/>
    </w:pPr>
  </w:style>
  <w:style w:type="paragraph" w:customStyle="1" w:styleId="I-Normalreg">
    <w:name w:val="I - Normal reg"/>
    <w:basedOn w:val="I-Normal-bold"/>
    <w:qFormat/>
    <w:rsid w:val="007653D6"/>
    <w:rPr>
      <w:b w:val="0"/>
    </w:rPr>
  </w:style>
  <w:style w:type="paragraph" w:customStyle="1" w:styleId="I-Normal1indent">
    <w:name w:val="I - Normal 1 indent"/>
    <w:basedOn w:val="I-Normalreg"/>
    <w:qFormat/>
    <w:rsid w:val="00AA641B"/>
    <w:pPr>
      <w:ind w:left="1620" w:hanging="720"/>
    </w:pPr>
  </w:style>
  <w:style w:type="paragraph" w:customStyle="1" w:styleId="I-Normal2indent">
    <w:name w:val="I - Normal 2 indent"/>
    <w:basedOn w:val="I-Normal1indent"/>
    <w:qFormat/>
    <w:rsid w:val="00AA641B"/>
    <w:pPr>
      <w:ind w:left="1350"/>
    </w:pPr>
  </w:style>
  <w:style w:type="paragraph" w:customStyle="1" w:styleId="I-Normal3indent">
    <w:name w:val="I - Normal 3 indent"/>
    <w:basedOn w:val="I-Normal2indent"/>
    <w:qFormat/>
    <w:rsid w:val="00AA641B"/>
    <w:pPr>
      <w:ind w:left="2340"/>
    </w:pPr>
    <w:rPr>
      <w:b/>
      <w:u w:val="single"/>
    </w:rPr>
  </w:style>
  <w:style w:type="paragraph" w:customStyle="1" w:styleId="I-numbers">
    <w:name w:val="I - numbers"/>
    <w:basedOn w:val="Normal"/>
    <w:qFormat/>
    <w:rsid w:val="00AA641B"/>
    <w:pPr>
      <w:spacing w:after="120"/>
    </w:pPr>
    <w:rPr>
      <w:rFonts w:eastAsia="Calibri" w:cs="Times New Roman"/>
    </w:rPr>
  </w:style>
  <w:style w:type="paragraph" w:customStyle="1" w:styleId="IntentionallyBlank">
    <w:name w:val="Intentionally Blank"/>
    <w:basedOn w:val="Normal"/>
    <w:qFormat/>
    <w:rsid w:val="00AA641B"/>
    <w:pPr>
      <w:spacing w:before="3240"/>
      <w:jc w:val="center"/>
    </w:pPr>
    <w:rPr>
      <w:caps/>
    </w:rPr>
  </w:style>
  <w:style w:type="paragraph" w:customStyle="1" w:styleId="bulletedheading">
    <w:name w:val="bulleted heading"/>
    <w:basedOn w:val="bulletedlist"/>
    <w:qFormat/>
    <w:rsid w:val="00AA641B"/>
    <w:pPr>
      <w:numPr>
        <w:numId w:val="0"/>
      </w:numPr>
      <w:spacing w:after="0"/>
    </w:pPr>
    <w:rPr>
      <w:b/>
    </w:rPr>
  </w:style>
  <w:style w:type="paragraph" w:customStyle="1" w:styleId="bulletedindent">
    <w:name w:val="bulleted indent"/>
    <w:basedOn w:val="bulletedlist"/>
    <w:qFormat/>
    <w:rsid w:val="00AA641B"/>
    <w:pPr>
      <w:numPr>
        <w:numId w:val="0"/>
      </w:numPr>
      <w:ind w:left="360"/>
    </w:pPr>
  </w:style>
  <w:style w:type="paragraph" w:customStyle="1" w:styleId="ItemHeadingletters">
    <w:name w:val="Item Heading letters"/>
    <w:basedOn w:val="ListParagraph"/>
    <w:qFormat/>
    <w:rsid w:val="00FC3603"/>
    <w:pPr>
      <w:numPr>
        <w:ilvl w:val="1"/>
        <w:numId w:val="35"/>
      </w:numPr>
      <w:ind w:left="720" w:hanging="720"/>
      <w:jc w:val="left"/>
    </w:pPr>
    <w:rPr>
      <w:b/>
    </w:rPr>
  </w:style>
  <w:style w:type="paragraph" w:customStyle="1" w:styleId="CodeCopy">
    <w:name w:val="Code Copy"/>
    <w:next w:val="Normal"/>
    <w:qFormat/>
    <w:rsid w:val="00626010"/>
    <w:pPr>
      <w:spacing w:after="120" w:line="240" w:lineRule="auto"/>
      <w:ind w:left="504"/>
      <w:jc w:val="both"/>
    </w:pPr>
    <w:rPr>
      <w:rFonts w:ascii="Times New Roman" w:hAnsi="Times New Roman"/>
      <w:sz w:val="20"/>
    </w:rPr>
  </w:style>
  <w:style w:type="paragraph" w:customStyle="1" w:styleId="2s">
    <w:name w:val="2 #s"/>
    <w:qFormat/>
    <w:rsid w:val="00AE1FE2"/>
    <w:pPr>
      <w:numPr>
        <w:ilvl w:val="5"/>
        <w:numId w:val="44"/>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AE1FE2"/>
    <w:pPr>
      <w:numPr>
        <w:ilvl w:val="6"/>
        <w:numId w:val="44"/>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AE1FE2"/>
    <w:pPr>
      <w:numPr>
        <w:numId w:val="44"/>
      </w:numPr>
      <w:spacing w:before="240" w:after="160"/>
      <w:jc w:val="both"/>
    </w:pPr>
    <w:rPr>
      <w:rFonts w:ascii="Times New Roman" w:hAnsi="Times New Roman"/>
      <w:b/>
      <w:sz w:val="24"/>
    </w:rPr>
  </w:style>
  <w:style w:type="paragraph" w:customStyle="1" w:styleId="HeadingLettersgroup2">
    <w:name w:val="Heading Letters (group 2)"/>
    <w:qFormat/>
    <w:rsid w:val="00AE1FE2"/>
    <w:pPr>
      <w:numPr>
        <w:ilvl w:val="1"/>
        <w:numId w:val="44"/>
      </w:numPr>
      <w:spacing w:before="240" w:after="160"/>
      <w:jc w:val="both"/>
    </w:pPr>
    <w:rPr>
      <w:rFonts w:ascii="Times New Roman" w:hAnsi="Times New Roman"/>
      <w:b/>
      <w:sz w:val="24"/>
    </w:rPr>
  </w:style>
  <w:style w:type="paragraph" w:customStyle="1" w:styleId="HeadingNumbersgroup1">
    <w:name w:val="Heading Numbers (group 1)"/>
    <w:qFormat/>
    <w:rsid w:val="00AE1FE2"/>
    <w:pPr>
      <w:numPr>
        <w:ilvl w:val="2"/>
        <w:numId w:val="44"/>
      </w:numPr>
      <w:spacing w:before="240" w:after="160"/>
      <w:jc w:val="both"/>
    </w:pPr>
    <w:rPr>
      <w:rFonts w:ascii="Times New Roman" w:hAnsi="Times New Roman"/>
      <w:b/>
      <w:sz w:val="24"/>
    </w:rPr>
  </w:style>
  <w:style w:type="paragraph" w:customStyle="1" w:styleId="Numberscodereference">
    <w:name w:val="#Numbers (code reference)"/>
    <w:qFormat/>
    <w:rsid w:val="00AE1FE2"/>
    <w:pPr>
      <w:numPr>
        <w:ilvl w:val="3"/>
        <w:numId w:val="44"/>
      </w:numPr>
      <w:spacing w:after="60" w:line="240" w:lineRule="auto"/>
      <w:jc w:val="both"/>
    </w:pPr>
    <w:rPr>
      <w:rFonts w:ascii="Times New Roman" w:hAnsi="Times New Roman"/>
      <w:sz w:val="20"/>
    </w:rPr>
  </w:style>
  <w:style w:type="paragraph" w:customStyle="1" w:styleId="Letterscodereference">
    <w:name w:val="Letters (code reference)"/>
    <w:qFormat/>
    <w:rsid w:val="00AE1FE2"/>
    <w:pPr>
      <w:numPr>
        <w:ilvl w:val="4"/>
        <w:numId w:val="44"/>
      </w:numPr>
      <w:spacing w:after="60" w:line="240" w:lineRule="auto"/>
      <w:jc w:val="both"/>
    </w:pPr>
    <w:rPr>
      <w:rFonts w:ascii="Times New Roman" w:hAnsi="Times New Roman"/>
      <w:sz w:val="20"/>
    </w:rPr>
  </w:style>
  <w:style w:type="paragraph" w:customStyle="1" w:styleId="4s">
    <w:name w:val="4 #s"/>
    <w:qFormat/>
    <w:rsid w:val="00AE1FE2"/>
    <w:pPr>
      <w:numPr>
        <w:ilvl w:val="7"/>
        <w:numId w:val="44"/>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CheckBoxes">
    <w:name w:val="Check Boxes"/>
    <w:basedOn w:val="Normal"/>
    <w:qFormat/>
    <w:rsid w:val="00AE1FE2"/>
    <w:pPr>
      <w:spacing w:before="40" w:after="40"/>
      <w:jc w:val="right"/>
    </w:pPr>
  </w:style>
  <w:style w:type="paragraph" w:customStyle="1" w:styleId="5s">
    <w:name w:val="5 #s"/>
    <w:qFormat/>
    <w:rsid w:val="00AE1FE2"/>
    <w:pPr>
      <w:numPr>
        <w:ilvl w:val="8"/>
        <w:numId w:val="44"/>
      </w:numPr>
      <w:spacing w:before="40" w:after="40" w:line="240" w:lineRule="auto"/>
      <w:ind w:left="3816" w:hanging="1008"/>
      <w:jc w:val="both"/>
    </w:pPr>
    <w:rPr>
      <w:rFonts w:ascii="Times New Roman" w:eastAsiaTheme="majorEastAsia" w:hAnsi="Times New Roman" w:cstheme="majorBidi"/>
      <w:iCs/>
      <w:sz w:val="20"/>
      <w:szCs w:val="24"/>
    </w:rPr>
  </w:style>
  <w:style w:type="character" w:customStyle="1" w:styleId="Style10ptBold">
    <w:name w:val="Style 10 pt Bold"/>
    <w:basedOn w:val="DefaultParagraphFont"/>
    <w:rsid w:val="006D3066"/>
    <w:rPr>
      <w:b/>
      <w:bCs/>
      <w:sz w:val="20"/>
    </w:rPr>
  </w:style>
  <w:style w:type="paragraph" w:customStyle="1" w:styleId="Notes">
    <w:name w:val="Notes"/>
    <w:qFormat/>
    <w:rsid w:val="001323BC"/>
    <w:pPr>
      <w:spacing w:after="120" w:line="240" w:lineRule="auto"/>
      <w:ind w:left="504"/>
      <w:jc w:val="both"/>
    </w:pPr>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jim.truex@ncwm.net"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NULL"/><Relationship Id="rId14" Type="http://schemas.openxmlformats.org/officeDocument/2006/relationships/hyperlink" Target="mailto:ed.luthy@stockequip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AF386-2F69-4679-BCD3-15636403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22</Pages>
  <Words>10146</Words>
  <Characters>53674</Characters>
  <Application>Microsoft Office Word</Application>
  <DocSecurity>0</DocSecurity>
  <Lines>838</Lines>
  <Paragraphs>401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Chasity Duke</cp:lastModifiedBy>
  <cp:revision>39</cp:revision>
  <cp:lastPrinted>2012-09-04T16:14:00Z</cp:lastPrinted>
  <dcterms:created xsi:type="dcterms:W3CDTF">2012-12-11T18:34:00Z</dcterms:created>
  <dcterms:modified xsi:type="dcterms:W3CDTF">2013-05-20T20:43:00Z</dcterms:modified>
</cp:coreProperties>
</file>