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1133B" w14:textId="509B9EF1" w:rsidR="00AE031E" w:rsidRDefault="00AE031E" w:rsidP="00AE031E">
      <w:pPr>
        <w:jc w:val="center"/>
        <w:rPr>
          <w:b/>
          <w:sz w:val="32"/>
        </w:rPr>
      </w:pPr>
      <w:r w:rsidRPr="00AE031E">
        <w:rPr>
          <w:b/>
          <w:sz w:val="32"/>
        </w:rPr>
        <w:t>Grasp Strength</w:t>
      </w:r>
    </w:p>
    <w:p w14:paraId="7D2D5B97" w14:textId="77777777" w:rsidR="00AE031E" w:rsidRPr="00AE031E" w:rsidRDefault="00AE031E" w:rsidP="00AE031E">
      <w:pPr>
        <w:jc w:val="center"/>
        <w:rPr>
          <w:b/>
        </w:rPr>
      </w:pPr>
    </w:p>
    <w:p w14:paraId="4040E761" w14:textId="488E3CAE" w:rsidR="0001456F" w:rsidRPr="00AE031E" w:rsidRDefault="00AE031E" w:rsidP="00AE031E">
      <w:pPr>
        <w:spacing w:after="120" w:line="240" w:lineRule="auto"/>
        <w:rPr>
          <w:b/>
          <w:sz w:val="28"/>
        </w:rPr>
      </w:pPr>
      <w:r w:rsidRPr="00AE031E">
        <w:rPr>
          <w:b/>
          <w:sz w:val="28"/>
        </w:rPr>
        <w:t>Metric</w:t>
      </w:r>
    </w:p>
    <w:p w14:paraId="14F95AF8" w14:textId="17564580" w:rsidR="0001456F" w:rsidRDefault="0001456F" w:rsidP="00E73AE0">
      <w:pPr>
        <w:jc w:val="both"/>
      </w:pPr>
      <w:r>
        <w:t xml:space="preserve">Grasp strength is a kinetic measure of the maximum force a robotic hand can impose on </w:t>
      </w:r>
      <w:r w:rsidR="00524329">
        <w:t>an object</w:t>
      </w:r>
      <w:r>
        <w:t>.</w:t>
      </w:r>
      <w:r w:rsidR="008F6B66">
        <w:t xml:space="preserve"> </w:t>
      </w:r>
      <w:r w:rsidR="009F222C">
        <w:t>T</w:t>
      </w:r>
      <w:r w:rsidR="008F6B66">
        <w:t>his measure will yield information regarding a particular hand’s payload capabilities for various object sizes</w:t>
      </w:r>
      <w:r>
        <w:t xml:space="preserve"> </w:t>
      </w:r>
      <w:r w:rsidR="008F6B66">
        <w:t>as well as its limits in resisting pulling or pushing forces</w:t>
      </w:r>
      <w:r w:rsidR="00E229A2">
        <w:t xml:space="preserve"> during a grasp operation</w:t>
      </w:r>
      <w:r w:rsidR="008F6B66">
        <w:t>.</w:t>
      </w:r>
    </w:p>
    <w:p w14:paraId="3D2390B2" w14:textId="77777777" w:rsidR="0001456F" w:rsidRPr="009B50AB" w:rsidRDefault="0001456F" w:rsidP="0001456F"/>
    <w:p w14:paraId="1872C3C6" w14:textId="77777777" w:rsidR="0001456F" w:rsidRPr="00AE031E" w:rsidRDefault="0001456F" w:rsidP="00AE031E">
      <w:pPr>
        <w:spacing w:after="120" w:line="240" w:lineRule="auto"/>
        <w:rPr>
          <w:b/>
        </w:rPr>
      </w:pPr>
      <w:r w:rsidRPr="00AE031E">
        <w:rPr>
          <w:b/>
          <w:sz w:val="28"/>
        </w:rPr>
        <w:t>Dependencies</w:t>
      </w:r>
    </w:p>
    <w:p w14:paraId="05CD44DF" w14:textId="63B4FA77" w:rsidR="0001456F" w:rsidRPr="00F5682B" w:rsidRDefault="009F222C" w:rsidP="00E73AE0">
      <w:pPr>
        <w:jc w:val="both"/>
      </w:pPr>
      <w:r>
        <w:t>Grasp strength</w:t>
      </w:r>
      <w:r w:rsidR="0001456F">
        <w:t xml:space="preserve"> is a function of the hand’s actuator capabilities, motion controllers, </w:t>
      </w:r>
      <w:r w:rsidR="002D3DFB">
        <w:t>mechanical design,</w:t>
      </w:r>
      <w:r w:rsidR="0001456F">
        <w:t xml:space="preserve"> </w:t>
      </w:r>
      <w:r w:rsidR="002D3DFB">
        <w:t>grasp configuration, and object size.</w:t>
      </w:r>
    </w:p>
    <w:p w14:paraId="2ED7CC7F" w14:textId="77777777" w:rsidR="0001456F" w:rsidRPr="009B50AB" w:rsidRDefault="0001456F" w:rsidP="0001456F"/>
    <w:p w14:paraId="27CCE16E" w14:textId="76F08D3A" w:rsidR="0001456F" w:rsidRPr="00AE031E" w:rsidRDefault="00AE031E" w:rsidP="00AE031E">
      <w:pPr>
        <w:spacing w:after="120" w:line="240" w:lineRule="auto"/>
        <w:rPr>
          <w:b/>
          <w:sz w:val="28"/>
        </w:rPr>
      </w:pPr>
      <w:r w:rsidRPr="00AE031E">
        <w:rPr>
          <w:b/>
          <w:sz w:val="28"/>
        </w:rPr>
        <w:t xml:space="preserve">Test </w:t>
      </w:r>
      <w:r w:rsidR="0001456F" w:rsidRPr="00AE031E">
        <w:rPr>
          <w:b/>
          <w:sz w:val="28"/>
        </w:rPr>
        <w:t>Method</w:t>
      </w:r>
    </w:p>
    <w:p w14:paraId="3208AA64" w14:textId="199FA2AB" w:rsidR="00AE031E" w:rsidRPr="00AE031E" w:rsidRDefault="00AE031E" w:rsidP="0001456F">
      <w:pPr>
        <w:rPr>
          <w:u w:val="single"/>
        </w:rPr>
      </w:pPr>
      <w:r w:rsidRPr="00AE031E">
        <w:rPr>
          <w:u w:val="single"/>
        </w:rPr>
        <w:t xml:space="preserve">Artifact: </w:t>
      </w:r>
    </w:p>
    <w:p w14:paraId="117D93E6" w14:textId="7234C6A5" w:rsidR="00AE031E" w:rsidRDefault="00F40F13" w:rsidP="007E48DA">
      <w:pPr>
        <w:pStyle w:val="ListParagraph"/>
        <w:numPr>
          <w:ilvl w:val="0"/>
          <w:numId w:val="2"/>
        </w:numPr>
      </w:pPr>
      <w:r>
        <w:t>Single axis load cells</w:t>
      </w:r>
      <w:r w:rsidR="00B76F7D">
        <w:t xml:space="preserve"> for one-dimensional force measurement</w:t>
      </w:r>
      <w: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B76F7D">
        <w:rPr>
          <w:rFonts w:eastAsiaTheme="minorEastAsia"/>
        </w:rPr>
        <w:t xml:space="preserve"> where </w:t>
      </w:r>
      <m:oMath>
        <m:r>
          <w:rPr>
            <w:rFonts w:ascii="Cambria Math" w:eastAsiaTheme="minorEastAsia" w:hAnsi="Cambria Math"/>
          </w:rPr>
          <m:t>i=1, 2, …, n</m:t>
        </m:r>
      </m:oMath>
      <w:r w:rsidR="00B76F7D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n</m:t>
        </m:r>
      </m:oMath>
      <w:r w:rsidR="00B76F7D">
        <w:rPr>
          <w:rFonts w:eastAsiaTheme="minorEastAsia"/>
        </w:rPr>
        <w:t xml:space="preserve"> is the total number of load cells</w:t>
      </w:r>
      <w:r>
        <w:t>)</w:t>
      </w:r>
    </w:p>
    <w:p w14:paraId="43E4B88D" w14:textId="54A843F3" w:rsidR="00B45821" w:rsidRDefault="00F40F13" w:rsidP="00E569E7">
      <w:pPr>
        <w:pStyle w:val="ListParagraph"/>
        <w:numPr>
          <w:ilvl w:val="0"/>
          <w:numId w:val="2"/>
        </w:numPr>
      </w:pPr>
      <w:r>
        <w:t xml:space="preserve">Split cylinder artifacts </w:t>
      </w:r>
      <w:r w:rsidR="007E48DA">
        <w:t xml:space="preserve">example (Figure 1) </w:t>
      </w:r>
    </w:p>
    <w:p w14:paraId="335212DE" w14:textId="5C1BA137" w:rsidR="00350421" w:rsidRDefault="00B45821" w:rsidP="002C6C46">
      <w:pPr>
        <w:jc w:val="center"/>
      </w:pPr>
      <w:r>
        <w:rPr>
          <w:noProof/>
        </w:rPr>
        <w:drawing>
          <wp:inline distT="0" distB="0" distL="0" distR="0" wp14:anchorId="207937C0" wp14:editId="166EC1FA">
            <wp:extent cx="4572000" cy="1539416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plit_Cylinder_Artifac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971" cy="15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A9321" w14:textId="278FAF46" w:rsidR="00350421" w:rsidRPr="00B45821" w:rsidRDefault="00B45821" w:rsidP="002C6C46">
      <w:pPr>
        <w:jc w:val="center"/>
        <w:rPr>
          <w:sz w:val="22"/>
        </w:rPr>
      </w:pPr>
      <w:r w:rsidRPr="00B45821">
        <w:rPr>
          <w:sz w:val="22"/>
        </w:rPr>
        <w:t xml:space="preserve">Figure 1:  Split cylinder artifact </w:t>
      </w:r>
      <w:r w:rsidR="00C0284B">
        <w:rPr>
          <w:sz w:val="22"/>
        </w:rPr>
        <w:t xml:space="preserve">fully </w:t>
      </w:r>
      <w:r w:rsidRPr="00B45821">
        <w:rPr>
          <w:sz w:val="22"/>
        </w:rPr>
        <w:t>assembled (left),</w:t>
      </w:r>
      <w:r w:rsidR="00C0284B">
        <w:rPr>
          <w:sz w:val="22"/>
        </w:rPr>
        <w:t xml:space="preserve"> and partially assembled to reveal</w:t>
      </w:r>
      <w:r w:rsidRPr="00B45821">
        <w:rPr>
          <w:sz w:val="22"/>
        </w:rPr>
        <w:t xml:space="preserve"> load cells (right)</w:t>
      </w:r>
    </w:p>
    <w:p w14:paraId="4AC2C2B4" w14:textId="77777777" w:rsidR="00F40F13" w:rsidRDefault="00F40F13" w:rsidP="0001456F"/>
    <w:p w14:paraId="1C3031DF" w14:textId="7FF5F0E1" w:rsidR="00AE031E" w:rsidRPr="00AE031E" w:rsidRDefault="00AE031E" w:rsidP="0001456F">
      <w:pPr>
        <w:rPr>
          <w:u w:val="single"/>
        </w:rPr>
      </w:pPr>
      <w:r w:rsidRPr="00AE031E">
        <w:rPr>
          <w:u w:val="single"/>
        </w:rPr>
        <w:t>Description:</w:t>
      </w:r>
    </w:p>
    <w:p w14:paraId="49A5598B" w14:textId="58F13C67" w:rsidR="00231EB1" w:rsidRDefault="0001456F" w:rsidP="00055287">
      <w:pPr>
        <w:jc w:val="both"/>
      </w:pPr>
      <w:r>
        <w:t xml:space="preserve">Of the previously listed dependencies, only the </w:t>
      </w:r>
      <w:r w:rsidR="002D3DFB">
        <w:t>grasp</w:t>
      </w:r>
      <w:r>
        <w:t xml:space="preserve"> configuration</w:t>
      </w:r>
      <w:r w:rsidR="002D3DFB">
        <w:t xml:space="preserve"> and object size</w:t>
      </w:r>
      <w:r>
        <w:t xml:space="preserve"> </w:t>
      </w:r>
      <w:r w:rsidR="000D302B">
        <w:t>are</w:t>
      </w:r>
      <w:r>
        <w:t xml:space="preserve"> assumed controllable. </w:t>
      </w:r>
      <w:r w:rsidR="00336721">
        <w:t xml:space="preserve">For this particular test, two </w:t>
      </w:r>
      <w:r w:rsidR="00524329">
        <w:t xml:space="preserve">common </w:t>
      </w:r>
      <w:r w:rsidR="00336721">
        <w:t xml:space="preserve">grasp types are chosen for investigation – pinch and </w:t>
      </w:r>
      <w:r w:rsidR="00500958">
        <w:t>wrap</w:t>
      </w:r>
      <w:r w:rsidR="00336721">
        <w:t>.</w:t>
      </w:r>
      <w:r w:rsidR="00500958">
        <w:t xml:space="preserve"> The pinch grasp allows for measuring performance associated with precision grasping while the wrap grasp allows for measuring performance associated with power grasping. </w:t>
      </w:r>
      <w:r w:rsidR="000D1CE9">
        <w:t>Split c</w:t>
      </w:r>
      <w:r w:rsidR="000D302B">
        <w:t>ylind</w:t>
      </w:r>
      <w:r w:rsidR="000D1CE9">
        <w:t>er</w:t>
      </w:r>
      <w:r w:rsidR="000D302B">
        <w:t xml:space="preserve"> artifacts of different diameters</w:t>
      </w:r>
      <w:r w:rsidR="00214F8D">
        <w:t xml:space="preserve"> are used to measure the</w:t>
      </w:r>
      <w:r w:rsidR="000D302B">
        <w:t xml:space="preserve"> internal fo</w:t>
      </w:r>
      <w:r w:rsidR="00214F8D">
        <w:t>r</w:t>
      </w:r>
      <w:r w:rsidR="000D302B">
        <w:t xml:space="preserve">ce transmission of a grasp.  Multiple cylinder diameters should be used to create a </w:t>
      </w:r>
      <w:r w:rsidR="00214F8D">
        <w:t>spread of performance results</w:t>
      </w:r>
      <w:r w:rsidR="00387E4B">
        <w:t xml:space="preserve">. </w:t>
      </w:r>
      <w:r w:rsidR="00214F8D">
        <w:t xml:space="preserve"> </w:t>
      </w:r>
      <w:r w:rsidR="000D1CE9">
        <w:t>T</w:t>
      </w:r>
      <w:r w:rsidR="00231EB1">
        <w:t xml:space="preserve">wo different </w:t>
      </w:r>
      <w:r w:rsidR="000D1CE9">
        <w:t xml:space="preserve">split cylinder </w:t>
      </w:r>
      <w:r w:rsidR="00231EB1">
        <w:t>artifact orientations are used:</w:t>
      </w:r>
    </w:p>
    <w:p w14:paraId="7580D67E" w14:textId="77777777" w:rsidR="00806272" w:rsidRDefault="00806272" w:rsidP="0001456F"/>
    <w:p w14:paraId="6CA12C83" w14:textId="4AE9B781" w:rsidR="00231EB1" w:rsidRDefault="00231EB1" w:rsidP="00231EB1">
      <w:pPr>
        <w:pStyle w:val="ListParagraph"/>
        <w:numPr>
          <w:ilvl w:val="0"/>
          <w:numId w:val="1"/>
        </w:numPr>
      </w:pPr>
      <w:r>
        <w:t xml:space="preserve">In the 0 degree orientation, the load cell axis is parallel with the palm surface. </w:t>
      </w:r>
    </w:p>
    <w:p w14:paraId="2487B165" w14:textId="27DC24C7" w:rsidR="00231EB1" w:rsidRDefault="00231EB1" w:rsidP="002C6C46">
      <w:pPr>
        <w:pStyle w:val="ListParagraph"/>
        <w:numPr>
          <w:ilvl w:val="0"/>
          <w:numId w:val="1"/>
        </w:numPr>
      </w:pPr>
      <w:r>
        <w:t xml:space="preserve">In the 90 degree orientation, the load cell axis is perpendicular to the palm surface. </w:t>
      </w:r>
    </w:p>
    <w:p w14:paraId="532D3909" w14:textId="77777777" w:rsidR="00485FE3" w:rsidRDefault="00485FE3" w:rsidP="00485FE3">
      <w:pPr>
        <w:pStyle w:val="ListParagraph"/>
      </w:pPr>
    </w:p>
    <w:p w14:paraId="1499C307" w14:textId="6E15E9F2" w:rsidR="00214F8D" w:rsidRDefault="00231EB1" w:rsidP="00055287">
      <w:pPr>
        <w:jc w:val="both"/>
      </w:pPr>
      <w:r>
        <w:lastRenderedPageBreak/>
        <w:t xml:space="preserve">These orientations are </w:t>
      </w:r>
      <w:r w:rsidR="00806272">
        <w:t>shown</w:t>
      </w:r>
      <w:r>
        <w:t xml:space="preserve"> in Figure </w:t>
      </w:r>
      <w:r w:rsidR="00492274">
        <w:t>2</w:t>
      </w:r>
      <w:r>
        <w:t xml:space="preserve">.  Taking force measurements in two orthogonal directions provides </w:t>
      </w:r>
      <w:r w:rsidR="00485FE3">
        <w:t>the necessary measurements to</w:t>
      </w:r>
      <w:r>
        <w:t xml:space="preserve"> approximate </w:t>
      </w:r>
      <w:r w:rsidR="00485FE3">
        <w:t xml:space="preserve">a </w:t>
      </w:r>
      <w:r>
        <w:t>resultant internal force measurement since th</w:t>
      </w:r>
      <w:r w:rsidR="00806272">
        <w:t>is</w:t>
      </w:r>
      <w:r>
        <w:t xml:space="preserve"> artifact</w:t>
      </w:r>
      <w:r w:rsidR="00806272">
        <w:t xml:space="preserve"> design</w:t>
      </w:r>
      <w:r>
        <w:t xml:space="preserve"> only measures force in one direction.</w:t>
      </w:r>
    </w:p>
    <w:p w14:paraId="28B906EE" w14:textId="77B0FE95" w:rsidR="00214F8D" w:rsidRDefault="00214F8D" w:rsidP="00214F8D">
      <w:pPr>
        <w:tabs>
          <w:tab w:val="left" w:pos="2340"/>
        </w:tabs>
      </w:pPr>
      <w:r>
        <w:tab/>
      </w:r>
    </w:p>
    <w:p w14:paraId="79F102C3" w14:textId="69777494" w:rsidR="0001456F" w:rsidRDefault="00214F8D" w:rsidP="00055287">
      <w:pPr>
        <w:jc w:val="both"/>
      </w:pPr>
      <w:r>
        <w:t xml:space="preserve">For each cylinder diameter, </w:t>
      </w:r>
      <w:r w:rsidR="00C26259">
        <w:t xml:space="preserve">fully close and open a wrap grasp around each artifact for both artifact orientations under maximum allowable power. </w:t>
      </w:r>
      <w:r w:rsidR="00E56D26">
        <w:t xml:space="preserve"> </w:t>
      </w:r>
      <w:r>
        <w:t xml:space="preserve">Record force sensor data throughout the test.  </w:t>
      </w:r>
    </w:p>
    <w:p w14:paraId="7386A82B" w14:textId="77777777" w:rsidR="002C6C46" w:rsidRDefault="002C6C46" w:rsidP="0001456F"/>
    <w:p w14:paraId="2E03EFD2" w14:textId="1D3DAD51" w:rsidR="0001456F" w:rsidRDefault="002C6C46" w:rsidP="002C6C46">
      <w:pPr>
        <w:jc w:val="center"/>
      </w:pPr>
      <w:r>
        <w:rPr>
          <w:noProof/>
        </w:rPr>
        <w:drawing>
          <wp:inline distT="0" distB="0" distL="0" distR="0" wp14:anchorId="622ED092" wp14:editId="27E0BB85">
            <wp:extent cx="3992880" cy="135636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plit_Cylinder_Orientati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88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C12EF" w14:textId="77777777" w:rsidR="00231EB1" w:rsidRDefault="00231EB1" w:rsidP="0001456F"/>
    <w:p w14:paraId="78BF48E4" w14:textId="0BB2FF8D" w:rsidR="00231EB1" w:rsidRPr="00350421" w:rsidRDefault="00231EB1" w:rsidP="002C6C46">
      <w:pPr>
        <w:jc w:val="center"/>
        <w:rPr>
          <w:sz w:val="22"/>
        </w:rPr>
      </w:pPr>
      <w:r w:rsidRPr="00350421">
        <w:rPr>
          <w:sz w:val="22"/>
        </w:rPr>
        <w:t xml:space="preserve">Figure </w:t>
      </w:r>
      <w:r w:rsidR="00492274">
        <w:rPr>
          <w:sz w:val="22"/>
        </w:rPr>
        <w:t>2</w:t>
      </w:r>
      <w:r w:rsidRPr="00350421">
        <w:rPr>
          <w:sz w:val="22"/>
        </w:rPr>
        <w:t xml:space="preserve">: </w:t>
      </w:r>
      <w:r w:rsidR="00806272" w:rsidRPr="00350421">
        <w:rPr>
          <w:sz w:val="22"/>
        </w:rPr>
        <w:t xml:space="preserve"> A shows the split cylinder artifact in the 0 and 90 degree orientations.</w:t>
      </w:r>
    </w:p>
    <w:p w14:paraId="5D50C061" w14:textId="77777777" w:rsidR="00572579" w:rsidRDefault="00572579" w:rsidP="0001456F">
      <w:pPr>
        <w:rPr>
          <w:u w:val="single"/>
        </w:rPr>
      </w:pPr>
    </w:p>
    <w:p w14:paraId="6C4D3CF2" w14:textId="3214511D" w:rsidR="00572579" w:rsidRPr="002C6C46" w:rsidRDefault="007729C1" w:rsidP="00572579">
      <w:pPr>
        <w:rPr>
          <w:u w:val="single"/>
        </w:rPr>
      </w:pPr>
      <w:r w:rsidRPr="007729C1">
        <w:rPr>
          <w:u w:val="single"/>
        </w:rPr>
        <w:t>Performance Measures:</w:t>
      </w:r>
    </w:p>
    <w:p w14:paraId="0378BD42" w14:textId="4009B513" w:rsidR="000D1CE9" w:rsidRDefault="000D1CE9" w:rsidP="00572579">
      <w:r>
        <w:t>For each set of</w:t>
      </w:r>
      <w:r w:rsidR="001259D3">
        <w:t xml:space="preserve"> instantaneous</w:t>
      </w:r>
      <w:r>
        <w:t xml:space="preserve"> force reading</w:t>
      </w:r>
      <w:r w:rsidR="0049101B">
        <w:t>s</w:t>
      </w:r>
      <w:r w:rsidR="00572579">
        <w:t xml:space="preserve">, add the forces </w:t>
      </w:r>
      <w:r w:rsidR="001259D3">
        <w:t xml:space="preserve">across all </w:t>
      </w:r>
      <w:r w:rsidR="00572579">
        <w:t>load cell</w:t>
      </w:r>
      <w:r w:rsidR="001259D3">
        <w:t>s</w:t>
      </w:r>
      <w:r w:rsidR="00572579">
        <w:t xml:space="preserve"> since they are in-line</w:t>
      </w:r>
      <w:r w:rsidR="003B6858">
        <w:t xml:space="preserve"> </w:t>
      </w:r>
      <w:r w:rsidR="006E59EA">
        <w:t>to yield a total grasp force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total</m:t>
            </m:r>
          </m:sub>
        </m:sSub>
      </m:oMath>
      <w:r w:rsidR="006E59EA">
        <w:rPr>
          <w:rFonts w:eastAsiaTheme="minorEastAsia"/>
        </w:rPr>
        <w:t>,</w:t>
      </w:r>
      <w:r w:rsidR="00572579">
        <w:t xml:space="preserve"> </w:t>
      </w:r>
    </w:p>
    <w:p w14:paraId="2CB0B836" w14:textId="4A4525A3" w:rsidR="000D1CE9" w:rsidRDefault="00461AA2" w:rsidP="00572579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 xml:space="preserve">total 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</m:oMath>
      </m:oMathPara>
    </w:p>
    <w:p w14:paraId="7221ED04" w14:textId="54358507" w:rsidR="0049101B" w:rsidRDefault="003B6858" w:rsidP="00055287">
      <w:pPr>
        <w:jc w:val="both"/>
      </w:pPr>
      <w:r>
        <w:t>Next, extract the quasi-static force for each grasp cycle (see Figure 3)</w:t>
      </w:r>
      <w:r w:rsidR="00EE245D">
        <w:t xml:space="preserve"> for a particular artifact orientation and size</w:t>
      </w:r>
      <w:r>
        <w:t xml:space="preserve">. </w:t>
      </w:r>
      <w:r w:rsidR="00572579">
        <w:t>.  Quasi-static grasp forces are chosen for evaluation as they remove impact effects and give a more accurate estimate of the true strength of the hand.</w:t>
      </w:r>
      <w:r w:rsidR="0049101B">
        <w:t xml:space="preserve"> </w:t>
      </w:r>
      <w:r w:rsidR="00EE245D">
        <w:t xml:space="preserve">Given </w:t>
      </w:r>
      <w:r w:rsidR="00B42B22">
        <w:t>the</w:t>
      </w:r>
      <w:r w:rsidR="00EE245D">
        <w:t>se</w:t>
      </w:r>
      <w:r w:rsidR="00B42B22">
        <w:t xml:space="preserve"> quasi-static grasp forces, c</w:t>
      </w:r>
      <w:r w:rsidR="0049101B">
        <w:t xml:space="preserve">ompute the </w:t>
      </w:r>
      <w:r w:rsidR="00B42B22">
        <w:t xml:space="preserve">force </w:t>
      </w:r>
      <w:r w:rsidR="0049101B">
        <w:t xml:space="preserve">mean and 95% confidence intervals </w:t>
      </w:r>
      <w:r w:rsidR="00B42B22">
        <w:t xml:space="preserve">for each </w:t>
      </w:r>
      <w:r w:rsidR="00EE245D">
        <w:t xml:space="preserve">artifact </w:t>
      </w:r>
      <w:r w:rsidR="0049101B">
        <w:t xml:space="preserve">orientation (0 degrees and 90 degrees).  </w:t>
      </w:r>
    </w:p>
    <w:p w14:paraId="6E0CD880" w14:textId="77777777" w:rsidR="0049101B" w:rsidRDefault="0049101B" w:rsidP="00572579"/>
    <w:p w14:paraId="58684147" w14:textId="5262F46A" w:rsidR="000552CA" w:rsidRDefault="00E56D26" w:rsidP="00055287">
      <w:pPr>
        <w:jc w:val="both"/>
        <w:rPr>
          <w:rFonts w:eastAsiaTheme="minorEastAsia"/>
        </w:rPr>
      </w:pPr>
      <w:r>
        <w:t>The final grasp force measure</w:t>
      </w:r>
      <w:proofErr w:type="gramStart"/>
      <w:r w:rsidR="00881203">
        <w:t>,</w:t>
      </w:r>
      <w: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grasp</m:t>
            </m:r>
          </m:sub>
        </m:sSub>
      </m:oMath>
      <w:r w:rsidR="00645A19">
        <w:rPr>
          <w:rFonts w:eastAsiaTheme="minorEastAsia"/>
        </w:rPr>
        <w:t>, is determined by computing</w:t>
      </w:r>
      <w:r w:rsidR="0049101B">
        <w:t xml:space="preserve"> the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49101B">
        <w:rPr>
          <w:rFonts w:eastAsiaTheme="minorEastAsia"/>
        </w:rPr>
        <w:t xml:space="preserve"> norm of the two means</w:t>
      </w:r>
      <w:r w:rsidR="00EE245D">
        <w:rPr>
          <w:rFonts w:eastAsiaTheme="minorEastAsia"/>
        </w:rPr>
        <w:t xml:space="preserve"> (one per orientation)</w:t>
      </w:r>
      <w:r w:rsidR="0049101B">
        <w:rPr>
          <w:rFonts w:eastAsiaTheme="minorEastAsia"/>
        </w:rPr>
        <w:t>, the two lower bounds and two upper bounds of the confidence intervals. These values approximate</w:t>
      </w:r>
      <w:r w:rsidR="006827A7">
        <w:rPr>
          <w:rFonts w:eastAsiaTheme="minorEastAsia"/>
        </w:rPr>
        <w:t xml:space="preserve"> the</w:t>
      </w:r>
      <w:r w:rsidR="0049101B">
        <w:rPr>
          <w:rFonts w:eastAsiaTheme="minorEastAsia"/>
        </w:rPr>
        <w:t xml:space="preserve"> mean resultant internal force</w:t>
      </w:r>
      <w:r w:rsidR="006827A7">
        <w:rPr>
          <w:rFonts w:eastAsiaTheme="minorEastAsia"/>
        </w:rPr>
        <w:t xml:space="preserve"> magnitude</w:t>
      </w:r>
      <w:r w:rsidR="00645A19">
        <w:rPr>
          <w:rFonts w:eastAsiaTheme="minorEastAsia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grasp</m:t>
            </m:r>
          </m:sub>
        </m:sSub>
      </m:oMath>
      <w:r w:rsidR="00645A19">
        <w:rPr>
          <w:rFonts w:eastAsiaTheme="minorEastAsia"/>
        </w:rPr>
        <w:t>)</w:t>
      </w:r>
      <w:r w:rsidR="0049101B">
        <w:rPr>
          <w:rFonts w:eastAsiaTheme="minorEastAsia"/>
        </w:rPr>
        <w:t xml:space="preserve">, and </w:t>
      </w:r>
      <w:r w:rsidR="00EE245D">
        <w:rPr>
          <w:rFonts w:eastAsiaTheme="minorEastAsia"/>
        </w:rPr>
        <w:t xml:space="preserve">its </w:t>
      </w:r>
      <w:r w:rsidR="0049101B">
        <w:rPr>
          <w:rFonts w:eastAsiaTheme="minorEastAsia"/>
        </w:rPr>
        <w:t>uncertainty.</w:t>
      </w:r>
    </w:p>
    <w:p w14:paraId="669B8D11" w14:textId="77777777" w:rsidR="00B42B22" w:rsidRDefault="00B42B22" w:rsidP="00572579">
      <w:pPr>
        <w:rPr>
          <w:rFonts w:eastAsiaTheme="minorEastAsia"/>
        </w:rPr>
      </w:pPr>
    </w:p>
    <w:p w14:paraId="787FB065" w14:textId="5B24B13E" w:rsidR="00B42B22" w:rsidRPr="00B42B22" w:rsidRDefault="00B42B22" w:rsidP="00055287">
      <w:pPr>
        <w:jc w:val="both"/>
      </w:pPr>
      <w:r>
        <w:t>Note: the confidence interval is calculated separately on the 0 degrees and 90 degrees grasp forces, before computing the L</w:t>
      </w:r>
      <w:r w:rsidRPr="00B42B22">
        <w:rPr>
          <w:vertAlign w:val="subscript"/>
        </w:rPr>
        <w:t>2</w:t>
      </w:r>
      <w:r>
        <w:t xml:space="preserve"> norm since the two data sets are independent test measures requiring repositioning of the split cylinder test artifact.</w:t>
      </w:r>
    </w:p>
    <w:p w14:paraId="329D2F17" w14:textId="77777777" w:rsidR="000552CA" w:rsidRDefault="000552CA" w:rsidP="00572579"/>
    <w:p w14:paraId="0EED3355" w14:textId="77777777" w:rsidR="00572579" w:rsidRDefault="00572579" w:rsidP="002C6C46">
      <w:pPr>
        <w:jc w:val="center"/>
      </w:pPr>
      <w:r>
        <w:rPr>
          <w:noProof/>
        </w:rPr>
        <w:lastRenderedPageBreak/>
        <w:drawing>
          <wp:inline distT="0" distB="0" distL="0" distR="0" wp14:anchorId="1EAB266C" wp14:editId="3FC75850">
            <wp:extent cx="3657600" cy="2261159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ger_Strength_Plo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26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6FCC0" w14:textId="522ECFAA" w:rsidR="00572579" w:rsidRPr="00A42399" w:rsidRDefault="00572579" w:rsidP="00572579">
      <w:pPr>
        <w:jc w:val="center"/>
        <w:rPr>
          <w:sz w:val="22"/>
        </w:rPr>
      </w:pPr>
      <w:r w:rsidRPr="00A42399">
        <w:rPr>
          <w:sz w:val="22"/>
        </w:rPr>
        <w:t xml:space="preserve">Figure </w:t>
      </w:r>
      <w:r w:rsidR="00492274">
        <w:rPr>
          <w:sz w:val="22"/>
        </w:rPr>
        <w:t>3</w:t>
      </w:r>
      <w:r w:rsidRPr="00A42399">
        <w:rPr>
          <w:sz w:val="22"/>
        </w:rPr>
        <w:t xml:space="preserve">: Depiction of dynamic and quasi-static force regions during </w:t>
      </w:r>
      <w:r w:rsidR="00B1441C">
        <w:rPr>
          <w:sz w:val="22"/>
        </w:rPr>
        <w:t>grasp</w:t>
      </w:r>
      <w:r w:rsidRPr="00A42399">
        <w:rPr>
          <w:sz w:val="22"/>
        </w:rPr>
        <w:t xml:space="preserve"> cycles.</w:t>
      </w:r>
    </w:p>
    <w:p w14:paraId="799DA10F" w14:textId="77777777" w:rsidR="005A12D5" w:rsidRDefault="005A12D5" w:rsidP="005A12D5">
      <w:pPr>
        <w:spacing w:after="200"/>
        <w:rPr>
          <w:rFonts w:eastAsiaTheme="minorEastAsia"/>
          <w:u w:val="single"/>
        </w:rPr>
      </w:pPr>
    </w:p>
    <w:p w14:paraId="4D758543" w14:textId="12B1A9D2" w:rsidR="007729C1" w:rsidRPr="00AE031E" w:rsidRDefault="007729C1" w:rsidP="005A12D5">
      <w:pPr>
        <w:spacing w:after="200"/>
        <w:rPr>
          <w:b/>
          <w:sz w:val="28"/>
        </w:rPr>
      </w:pPr>
      <w:r>
        <w:rPr>
          <w:b/>
          <w:sz w:val="28"/>
        </w:rPr>
        <w:t>Example Implementation</w:t>
      </w:r>
    </w:p>
    <w:p w14:paraId="3F12F60A" w14:textId="006D2C97" w:rsidR="007F7AC5" w:rsidRDefault="007729C1" w:rsidP="007F7AC5">
      <w:pPr>
        <w:rPr>
          <w:rFonts w:eastAsiaTheme="minorEastAsia"/>
          <w:u w:val="single"/>
        </w:rPr>
      </w:pPr>
      <w:r>
        <w:rPr>
          <w:rFonts w:eastAsiaTheme="minorEastAsia"/>
          <w:u w:val="single"/>
        </w:rPr>
        <w:t>Test Setup:</w:t>
      </w:r>
    </w:p>
    <w:p w14:paraId="2537EA87" w14:textId="3A87C5C5" w:rsidR="00DF1FD0" w:rsidRDefault="000D302B" w:rsidP="00055287">
      <w:pPr>
        <w:jc w:val="both"/>
      </w:pPr>
      <w:r>
        <w:t>Two different sized cylinders are chosen as a starting point to create a spread of performance results. Specifically, these cylinders were designed with 50 mm and 80 mm diameters that housed two single-axis load cells to capture internal force transmission by the grasp</w:t>
      </w:r>
      <w:r w:rsidR="00DF1FD0">
        <w:t>.</w:t>
      </w:r>
      <w:r>
        <w:t xml:space="preserve">  </w:t>
      </w:r>
      <w:r w:rsidR="00DF1FD0">
        <w:t xml:space="preserve"> Force d</w:t>
      </w:r>
      <w:r>
        <w:t>ata was captured</w:t>
      </w:r>
      <w:r w:rsidR="00DF1FD0">
        <w:t xml:space="preserve"> from two load cells</w:t>
      </w:r>
      <w:r>
        <w:t xml:space="preserve"> </w:t>
      </w:r>
      <w:r w:rsidR="00DF1FD0">
        <w:t>while</w:t>
      </w:r>
      <w:r>
        <w:t xml:space="preserve"> fully opening and closing each robotic hand around each artifact 32 times for </w:t>
      </w:r>
      <w:r w:rsidR="00DF1FD0">
        <w:t xml:space="preserve">the 0 degree and 90 degree </w:t>
      </w:r>
      <w:r>
        <w:t xml:space="preserve">orientations. </w:t>
      </w:r>
      <w:r w:rsidR="00350421">
        <w:t xml:space="preserve"> </w:t>
      </w:r>
      <w:r w:rsidR="00DF1FD0">
        <w:t xml:space="preserve">The test setup is shown in Figure </w:t>
      </w:r>
      <w:r w:rsidR="00492274">
        <w:t>4</w:t>
      </w:r>
      <w:r w:rsidR="00DF1FD0">
        <w:t>.</w:t>
      </w:r>
    </w:p>
    <w:p w14:paraId="6D2D039F" w14:textId="77777777" w:rsidR="00DF1FD0" w:rsidRPr="007729C1" w:rsidRDefault="00DF1FD0" w:rsidP="007F7AC5">
      <w:pPr>
        <w:rPr>
          <w:rFonts w:eastAsiaTheme="minorEastAsia"/>
        </w:rPr>
      </w:pPr>
    </w:p>
    <w:p w14:paraId="76A704B9" w14:textId="53BEB1F6" w:rsidR="007729C1" w:rsidRDefault="007729C1" w:rsidP="007729C1">
      <w:pPr>
        <w:jc w:val="center"/>
        <w:rPr>
          <w:rFonts w:eastAsiaTheme="minorEastAsia"/>
          <w:u w:val="single"/>
        </w:rPr>
      </w:pPr>
      <w:r>
        <w:rPr>
          <w:noProof/>
        </w:rPr>
        <w:drawing>
          <wp:inline distT="0" distB="0" distL="0" distR="0" wp14:anchorId="55BE0C09" wp14:editId="3BF36ED6">
            <wp:extent cx="2580483" cy="2828925"/>
            <wp:effectExtent l="0" t="0" r="0" b="0"/>
            <wp:docPr id="2" name="Picture 2" descr="E:\Plots\split_cy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Plots\split_cy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602" cy="288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F5C26" w14:textId="6D4432DE" w:rsidR="007729C1" w:rsidRPr="007729C1" w:rsidRDefault="007729C1" w:rsidP="007729C1">
      <w:pPr>
        <w:jc w:val="center"/>
        <w:rPr>
          <w:sz w:val="22"/>
        </w:rPr>
      </w:pPr>
      <w:r w:rsidRPr="007729C1">
        <w:rPr>
          <w:sz w:val="22"/>
        </w:rPr>
        <w:t xml:space="preserve">Figure </w:t>
      </w:r>
      <w:r w:rsidR="00492274">
        <w:rPr>
          <w:sz w:val="22"/>
        </w:rPr>
        <w:t>4</w:t>
      </w:r>
      <w:r w:rsidR="00DF1FD0">
        <w:rPr>
          <w:sz w:val="22"/>
        </w:rPr>
        <w:t>:</w:t>
      </w:r>
      <w:r w:rsidRPr="007729C1">
        <w:rPr>
          <w:sz w:val="22"/>
        </w:rPr>
        <w:t xml:space="preserve"> </w:t>
      </w:r>
      <w:r w:rsidR="00DF1FD0">
        <w:rPr>
          <w:sz w:val="22"/>
        </w:rPr>
        <w:t xml:space="preserve"> </w:t>
      </w:r>
      <w:r w:rsidRPr="007729C1">
        <w:rPr>
          <w:sz w:val="22"/>
        </w:rPr>
        <w:t>80 mm and 50 mm diameter split cylinder configurations for determining grasp forces (top). Robotic hand performing wrap grasp on 80 mm split cylinder oriented at 0 degrees (bottom left). Robotic hand performing wrap grasp on 50 mm split cylinder oriented at 90 degrees (bottom right).</w:t>
      </w:r>
    </w:p>
    <w:p w14:paraId="204BB2CD" w14:textId="77777777" w:rsidR="007729C1" w:rsidRDefault="007729C1" w:rsidP="007F7AC5">
      <w:pPr>
        <w:rPr>
          <w:rFonts w:eastAsiaTheme="minorEastAsia"/>
          <w:u w:val="single"/>
        </w:rPr>
      </w:pPr>
    </w:p>
    <w:p w14:paraId="77545F50" w14:textId="7AD984AF" w:rsidR="007729C1" w:rsidRDefault="007729C1" w:rsidP="007F7AC5">
      <w:pPr>
        <w:rPr>
          <w:rFonts w:eastAsiaTheme="minorEastAsia"/>
          <w:u w:val="single"/>
        </w:rPr>
      </w:pPr>
      <w:r>
        <w:rPr>
          <w:rFonts w:eastAsiaTheme="minorEastAsia"/>
          <w:u w:val="single"/>
        </w:rPr>
        <w:lastRenderedPageBreak/>
        <w:t>Results:</w:t>
      </w:r>
    </w:p>
    <w:p w14:paraId="5CAC83A1" w14:textId="3130C6B4" w:rsidR="00DF1FD0" w:rsidRDefault="00DF1FD0" w:rsidP="00055287">
      <w:pPr>
        <w:jc w:val="both"/>
        <w:rPr>
          <w:rFonts w:eastAsiaTheme="minorEastAsia"/>
        </w:rPr>
      </w:pPr>
      <w:r>
        <w:t xml:space="preserve">A data plot </w:t>
      </w:r>
      <w:proofErr w:type="gramStart"/>
      <w:r w:rsidR="009C572F">
        <w:t>of</w:t>
      </w:r>
      <w:r w:rsidR="009C572F">
        <w:rPr>
          <w:rFonts w:eastAsiaTheme="minorEastAsia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total</m:t>
            </m:r>
          </m:sub>
        </m:sSub>
      </m:oMath>
      <w:r>
        <w:t>, the sum of the two load cells throughout the 32 grasp cycles</w:t>
      </w:r>
      <w:r w:rsidR="00CC3D25">
        <w:t>,</w:t>
      </w:r>
      <w:r>
        <w:t xml:space="preserve"> is shown in Figure 4.  The </w:t>
      </w:r>
      <w:r w:rsidR="00350421">
        <w:t xml:space="preserve">mean quasi-static </w:t>
      </w:r>
      <w:r w:rsidR="005A12D5">
        <w:t>grasp</w:t>
      </w:r>
      <w:r w:rsidR="00350421">
        <w:t xml:space="preserve"> forces were extracted for each data set</w:t>
      </w:r>
      <w:r>
        <w:t xml:space="preserve">.   Next, the mean and 95% confidence intervals for the force data collected in both orientations (0 degrees and 90 degrees) </w:t>
      </w:r>
      <w:r w:rsidR="00350421">
        <w:t>and</w:t>
      </w:r>
      <w:r>
        <w:t xml:space="preserve"> the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norm</w:t>
      </w:r>
      <w:r w:rsidR="00350421">
        <w:rPr>
          <w:rFonts w:eastAsiaTheme="minorEastAsia"/>
        </w:rPr>
        <w:t>s</w:t>
      </w:r>
      <w:r>
        <w:rPr>
          <w:rFonts w:eastAsiaTheme="minorEastAsia"/>
        </w:rPr>
        <w:t xml:space="preserve"> </w:t>
      </w:r>
      <w:r w:rsidR="00350421">
        <w:rPr>
          <w:rFonts w:eastAsiaTheme="minorEastAsia"/>
        </w:rPr>
        <w:t>are</w:t>
      </w:r>
      <w:r>
        <w:rPr>
          <w:rFonts w:eastAsiaTheme="minorEastAsia"/>
        </w:rPr>
        <w:t xml:space="preserve"> computed</w:t>
      </w:r>
      <w:r w:rsidR="00350421">
        <w:rPr>
          <w:rFonts w:eastAsiaTheme="minorEastAsia"/>
        </w:rPr>
        <w:t xml:space="preserve"> for both hands.</w:t>
      </w:r>
      <w:r>
        <w:rPr>
          <w:rFonts w:eastAsiaTheme="minorEastAsia"/>
        </w:rPr>
        <w:t xml:space="preserve"> The results are shown for Hand 1 and Hand 2 in Table 1.</w:t>
      </w:r>
    </w:p>
    <w:p w14:paraId="05C4264A" w14:textId="77777777" w:rsidR="007729C1" w:rsidRDefault="007729C1" w:rsidP="007F7AC5">
      <w:pPr>
        <w:rPr>
          <w:rFonts w:eastAsiaTheme="minorEastAsia"/>
          <w:u w:val="single"/>
        </w:rPr>
      </w:pPr>
    </w:p>
    <w:p w14:paraId="29A2EBED" w14:textId="58A3D4BF" w:rsidR="007729C1" w:rsidRDefault="002C6C46" w:rsidP="007F7AC5">
      <w:pPr>
        <w:rPr>
          <w:rFonts w:eastAsiaTheme="minorEastAsia"/>
          <w:u w:val="single"/>
        </w:rPr>
      </w:pPr>
      <w:r>
        <w:rPr>
          <w:rFonts w:eastAsiaTheme="minorEastAsia"/>
          <w:u w:val="single"/>
        </w:rPr>
        <w:t>Data: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6830"/>
      </w:tblGrid>
      <w:tr w:rsidR="007729C1" w:rsidRPr="00ED2B32" w14:paraId="5E90D057" w14:textId="77777777" w:rsidTr="00320FD6">
        <w:tc>
          <w:tcPr>
            <w:tcW w:w="2520" w:type="dxa"/>
          </w:tcPr>
          <w:p w14:paraId="495106A3" w14:textId="77777777" w:rsidR="007729C1" w:rsidRPr="00ED2B32" w:rsidRDefault="007729C1" w:rsidP="00320FD6">
            <w:pPr>
              <w:jc w:val="right"/>
            </w:pPr>
            <w:r w:rsidRPr="00ED2B32">
              <w:rPr>
                <w:i/>
              </w:rPr>
              <w:t xml:space="preserve">Data File Archive:  </w:t>
            </w:r>
            <w:r w:rsidRPr="00ED2B32">
              <w:t xml:space="preserve"> </w:t>
            </w:r>
          </w:p>
        </w:tc>
        <w:tc>
          <w:tcPr>
            <w:tcW w:w="6830" w:type="dxa"/>
          </w:tcPr>
          <w:p w14:paraId="447884F0" w14:textId="0B58A211" w:rsidR="007729C1" w:rsidRPr="00ED2B32" w:rsidRDefault="00461AA2" w:rsidP="007729C1">
            <w:pPr>
              <w:rPr>
                <w:i/>
              </w:rPr>
            </w:pPr>
            <w:hyperlink r:id="rId12" w:history="1">
              <w:r w:rsidR="007729C1">
                <w:rPr>
                  <w:rStyle w:val="Hyperlink"/>
                </w:rPr>
                <w:t>Grasp</w:t>
              </w:r>
              <w:r w:rsidR="007729C1" w:rsidRPr="00ED2B32">
                <w:rPr>
                  <w:rStyle w:val="Hyperlink"/>
                </w:rPr>
                <w:t xml:space="preserve"> Strength.zip</w:t>
              </w:r>
            </w:hyperlink>
            <w:bookmarkStart w:id="0" w:name="_GoBack"/>
            <w:bookmarkEnd w:id="0"/>
          </w:p>
        </w:tc>
      </w:tr>
      <w:tr w:rsidR="00055287" w:rsidRPr="00ED2B32" w14:paraId="73B6DB5A" w14:textId="77777777" w:rsidTr="00320FD6">
        <w:tc>
          <w:tcPr>
            <w:tcW w:w="2520" w:type="dxa"/>
          </w:tcPr>
          <w:p w14:paraId="74957BAF" w14:textId="77777777" w:rsidR="00055287" w:rsidRPr="00ED2B32" w:rsidRDefault="00055287" w:rsidP="00055287">
            <w:pPr>
              <w:jc w:val="right"/>
            </w:pPr>
            <w:r w:rsidRPr="00ED2B32">
              <w:rPr>
                <w:i/>
              </w:rPr>
              <w:t>Data Files:</w:t>
            </w:r>
            <w:r w:rsidRPr="00ED2B32">
              <w:t xml:space="preserve"> </w:t>
            </w:r>
          </w:p>
        </w:tc>
        <w:tc>
          <w:tcPr>
            <w:tcW w:w="6830" w:type="dxa"/>
          </w:tcPr>
          <w:p w14:paraId="25B6DFDD" w14:textId="643A6ACF" w:rsidR="00055287" w:rsidRPr="00ED2B32" w:rsidRDefault="00055287" w:rsidP="00E73AE0">
            <w:pPr>
              <w:rPr>
                <w:i/>
              </w:rPr>
            </w:pPr>
            <w:r w:rsidRPr="00ED2B32">
              <w:t>Hand</w:t>
            </w:r>
            <w:r w:rsidR="000832D7">
              <w:t xml:space="preserve"> </w:t>
            </w:r>
            <w:r w:rsidRPr="00ED2B32">
              <w:t>1</w:t>
            </w:r>
            <w:r>
              <w:t>/C</w:t>
            </w:r>
            <w:r w:rsidRPr="00A67324">
              <w:rPr>
                <w:i/>
                <w:sz w:val="20"/>
                <w:szCs w:val="20"/>
              </w:rPr>
              <w:t>[</w:t>
            </w:r>
            <w:r>
              <w:rPr>
                <w:i/>
                <w:sz w:val="20"/>
                <w:szCs w:val="20"/>
              </w:rPr>
              <w:t xml:space="preserve">cylinder </w:t>
            </w:r>
            <w:r w:rsidR="00E73AE0">
              <w:rPr>
                <w:i/>
                <w:sz w:val="20"/>
                <w:szCs w:val="20"/>
              </w:rPr>
              <w:t>diameter</w:t>
            </w:r>
            <w:r w:rsidRPr="00A67324">
              <w:rPr>
                <w:i/>
                <w:sz w:val="20"/>
                <w:szCs w:val="20"/>
              </w:rPr>
              <w:t>]</w:t>
            </w:r>
            <w:r>
              <w:t>_</w:t>
            </w:r>
            <w:r w:rsidRPr="00A67324">
              <w:rPr>
                <w:i/>
                <w:sz w:val="20"/>
                <w:szCs w:val="20"/>
              </w:rPr>
              <w:t>[</w:t>
            </w:r>
            <w:r>
              <w:rPr>
                <w:i/>
                <w:sz w:val="20"/>
                <w:szCs w:val="20"/>
              </w:rPr>
              <w:t>Orientation</w:t>
            </w:r>
            <w:r w:rsidRPr="00A67324">
              <w:rPr>
                <w:i/>
                <w:sz w:val="20"/>
                <w:szCs w:val="20"/>
              </w:rPr>
              <w:t>]</w:t>
            </w:r>
          </w:p>
        </w:tc>
      </w:tr>
      <w:tr w:rsidR="00055287" w:rsidRPr="00ED2B32" w14:paraId="11F20CFF" w14:textId="77777777" w:rsidTr="00320FD6">
        <w:tc>
          <w:tcPr>
            <w:tcW w:w="2520" w:type="dxa"/>
          </w:tcPr>
          <w:p w14:paraId="490A0321" w14:textId="77777777" w:rsidR="00055287" w:rsidRPr="00ED2B32" w:rsidRDefault="00055287" w:rsidP="00055287">
            <w:pPr>
              <w:jc w:val="right"/>
            </w:pPr>
          </w:p>
        </w:tc>
        <w:tc>
          <w:tcPr>
            <w:tcW w:w="6830" w:type="dxa"/>
          </w:tcPr>
          <w:p w14:paraId="2026F783" w14:textId="69819CE6" w:rsidR="00055287" w:rsidRPr="00ED2B32" w:rsidRDefault="00055287" w:rsidP="000832D7">
            <w:r>
              <w:t>Hand</w:t>
            </w:r>
            <w:r w:rsidR="000832D7">
              <w:t xml:space="preserve"> </w:t>
            </w:r>
            <w:r>
              <w:t>2/C</w:t>
            </w:r>
            <w:r w:rsidRPr="00A67324">
              <w:rPr>
                <w:i/>
                <w:sz w:val="20"/>
                <w:szCs w:val="20"/>
              </w:rPr>
              <w:t>[</w:t>
            </w:r>
            <w:r>
              <w:rPr>
                <w:i/>
                <w:sz w:val="20"/>
                <w:szCs w:val="20"/>
              </w:rPr>
              <w:t xml:space="preserve">cylinder </w:t>
            </w:r>
            <w:r w:rsidR="00E73AE0">
              <w:rPr>
                <w:i/>
                <w:sz w:val="20"/>
                <w:szCs w:val="20"/>
              </w:rPr>
              <w:t>diameter</w:t>
            </w:r>
            <w:r w:rsidRPr="00A67324">
              <w:rPr>
                <w:i/>
                <w:sz w:val="20"/>
                <w:szCs w:val="20"/>
              </w:rPr>
              <w:t>]</w:t>
            </w:r>
            <w:r>
              <w:t>_</w:t>
            </w:r>
            <w:r w:rsidRPr="00A67324">
              <w:rPr>
                <w:i/>
                <w:sz w:val="20"/>
                <w:szCs w:val="20"/>
              </w:rPr>
              <w:t>[</w:t>
            </w:r>
            <w:r>
              <w:rPr>
                <w:i/>
                <w:sz w:val="20"/>
                <w:szCs w:val="20"/>
              </w:rPr>
              <w:t>Orientation</w:t>
            </w:r>
            <w:r w:rsidRPr="00A67324">
              <w:rPr>
                <w:i/>
                <w:sz w:val="20"/>
                <w:szCs w:val="20"/>
              </w:rPr>
              <w:t>]</w:t>
            </w:r>
          </w:p>
        </w:tc>
      </w:tr>
      <w:tr w:rsidR="00055287" w:rsidRPr="00ED2B32" w14:paraId="4F3EFB9E" w14:textId="77777777" w:rsidTr="00320FD6">
        <w:tc>
          <w:tcPr>
            <w:tcW w:w="2520" w:type="dxa"/>
          </w:tcPr>
          <w:p w14:paraId="0DE95327" w14:textId="77777777" w:rsidR="00055287" w:rsidRPr="00ED2B32" w:rsidRDefault="00055287" w:rsidP="00055287">
            <w:pPr>
              <w:jc w:val="right"/>
            </w:pPr>
            <w:r w:rsidRPr="00ED2B32">
              <w:rPr>
                <w:i/>
              </w:rPr>
              <w:t>File Format:</w:t>
            </w:r>
            <w:r w:rsidRPr="00ED2B32">
              <w:t xml:space="preserve">  </w:t>
            </w:r>
          </w:p>
        </w:tc>
        <w:tc>
          <w:tcPr>
            <w:tcW w:w="6830" w:type="dxa"/>
          </w:tcPr>
          <w:p w14:paraId="4B27C1B4" w14:textId="77777777" w:rsidR="00055287" w:rsidRPr="00ED2B32" w:rsidRDefault="00055287" w:rsidP="00055287">
            <w:pPr>
              <w:rPr>
                <w:i/>
              </w:rPr>
            </w:pPr>
            <w:r w:rsidRPr="00ED2B32">
              <w:t>ASCII, comma delimited</w:t>
            </w:r>
          </w:p>
        </w:tc>
      </w:tr>
      <w:tr w:rsidR="00055287" w:rsidRPr="00ED2B32" w14:paraId="4806A393" w14:textId="77777777" w:rsidTr="00320FD6">
        <w:tc>
          <w:tcPr>
            <w:tcW w:w="2520" w:type="dxa"/>
          </w:tcPr>
          <w:p w14:paraId="3E47C573" w14:textId="77777777" w:rsidR="00055287" w:rsidRPr="00ED2B32" w:rsidRDefault="00055287" w:rsidP="00055287">
            <w:pPr>
              <w:jc w:val="right"/>
            </w:pPr>
            <w:r w:rsidRPr="00ED2B32">
              <w:rPr>
                <w:i/>
              </w:rPr>
              <w:t>Data Values:</w:t>
            </w:r>
            <w:r w:rsidRPr="00ED2B32">
              <w:t xml:space="preserve"> </w:t>
            </w:r>
          </w:p>
        </w:tc>
        <w:tc>
          <w:tcPr>
            <w:tcW w:w="6830" w:type="dxa"/>
          </w:tcPr>
          <w:p w14:paraId="626E9994" w14:textId="3FAB71A8" w:rsidR="00055287" w:rsidRPr="00ED2B32" w:rsidRDefault="00055287" w:rsidP="00055287">
            <w:pPr>
              <w:rPr>
                <w:i/>
              </w:rPr>
            </w:pPr>
            <w:r w:rsidRPr="00ED2B32">
              <w:t>F</w:t>
            </w:r>
            <w:r>
              <w:rPr>
                <w:vertAlign w:val="subscript"/>
              </w:rPr>
              <w:t>1</w:t>
            </w:r>
            <w:r>
              <w:t xml:space="preserve"> and F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 w:rsidRPr="00ED2B32">
              <w:t>(one set per line)</w:t>
            </w:r>
          </w:p>
        </w:tc>
      </w:tr>
      <w:tr w:rsidR="00055287" w:rsidRPr="00ED2B32" w14:paraId="2D22227F" w14:textId="77777777" w:rsidTr="00320FD6">
        <w:tc>
          <w:tcPr>
            <w:tcW w:w="2520" w:type="dxa"/>
          </w:tcPr>
          <w:p w14:paraId="0140C07E" w14:textId="11923067" w:rsidR="00055287" w:rsidRPr="00ED2B32" w:rsidRDefault="00055287" w:rsidP="00055287">
            <w:pPr>
              <w:jc w:val="right"/>
              <w:rPr>
                <w:i/>
              </w:rPr>
            </w:pPr>
            <w:r>
              <w:rPr>
                <w:i/>
              </w:rPr>
              <w:t>Units:</w:t>
            </w:r>
          </w:p>
        </w:tc>
        <w:tc>
          <w:tcPr>
            <w:tcW w:w="6830" w:type="dxa"/>
          </w:tcPr>
          <w:p w14:paraId="2C254704" w14:textId="146F8D60" w:rsidR="00055287" w:rsidRPr="00ED2B32" w:rsidRDefault="00055287" w:rsidP="00055287">
            <w:proofErr w:type="spellStart"/>
            <w:r>
              <w:t>Newtons</w:t>
            </w:r>
            <w:proofErr w:type="spellEnd"/>
            <w:r w:rsidR="00F11425">
              <w:t>, Millimeter</w:t>
            </w:r>
          </w:p>
        </w:tc>
      </w:tr>
      <w:tr w:rsidR="00055287" w:rsidRPr="00ED2B32" w14:paraId="7321857B" w14:textId="77777777" w:rsidTr="00320FD6">
        <w:tc>
          <w:tcPr>
            <w:tcW w:w="2520" w:type="dxa"/>
          </w:tcPr>
          <w:p w14:paraId="41BE0BF4" w14:textId="77777777" w:rsidR="00055287" w:rsidRPr="00ED2B32" w:rsidRDefault="00055287" w:rsidP="00055287">
            <w:pPr>
              <w:jc w:val="right"/>
              <w:rPr>
                <w:i/>
              </w:rPr>
            </w:pPr>
            <w:r w:rsidRPr="00ED2B32">
              <w:rPr>
                <w:i/>
              </w:rPr>
              <w:t>Data Sample Rate:</w:t>
            </w:r>
          </w:p>
        </w:tc>
        <w:tc>
          <w:tcPr>
            <w:tcW w:w="6830" w:type="dxa"/>
          </w:tcPr>
          <w:p w14:paraId="32DD6968" w14:textId="77777777" w:rsidR="00055287" w:rsidRPr="00ED2B32" w:rsidRDefault="00055287" w:rsidP="00055287">
            <w:pPr>
              <w:rPr>
                <w:i/>
              </w:rPr>
            </w:pPr>
            <w:r w:rsidRPr="00ED2B32">
              <w:t>3 kHz</w:t>
            </w:r>
          </w:p>
        </w:tc>
      </w:tr>
    </w:tbl>
    <w:p w14:paraId="0521769E" w14:textId="369FA1AD" w:rsidR="00430124" w:rsidRDefault="0079188D" w:rsidP="0001456F">
      <w:pPr>
        <w:jc w:val="center"/>
      </w:pPr>
      <w:r w:rsidRPr="0079188D">
        <w:rPr>
          <w:noProof/>
        </w:rPr>
        <w:drawing>
          <wp:inline distT="0" distB="0" distL="0" distR="0" wp14:anchorId="250A27AA" wp14:editId="04EFB2F2">
            <wp:extent cx="4824046" cy="30521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32626" cy="305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04D08" w14:textId="18C39A75" w:rsidR="0001456F" w:rsidRPr="00350421" w:rsidRDefault="0080065B" w:rsidP="0001456F">
      <w:pPr>
        <w:jc w:val="center"/>
        <w:rPr>
          <w:sz w:val="22"/>
        </w:rPr>
      </w:pPr>
      <w:r w:rsidRPr="00350421">
        <w:rPr>
          <w:sz w:val="22"/>
        </w:rPr>
        <w:t xml:space="preserve">Figure </w:t>
      </w:r>
      <w:r w:rsidR="00816D61">
        <w:rPr>
          <w:sz w:val="22"/>
        </w:rPr>
        <w:t>4</w:t>
      </w:r>
      <w:r w:rsidR="0001456F" w:rsidRPr="00350421">
        <w:rPr>
          <w:sz w:val="22"/>
        </w:rPr>
        <w:t xml:space="preserve">. </w:t>
      </w:r>
      <w:r w:rsidR="00430124" w:rsidRPr="00350421">
        <w:rPr>
          <w:sz w:val="22"/>
        </w:rPr>
        <w:t>Shows the load cell force for Hand 2 wrap grasping the 50 mm cylinder in the 90 degree orientation.</w:t>
      </w:r>
    </w:p>
    <w:p w14:paraId="2528309B" w14:textId="77777777" w:rsidR="00CB3E8B" w:rsidRDefault="00CB3E8B" w:rsidP="0001456F">
      <w:pPr>
        <w:jc w:val="center"/>
      </w:pPr>
    </w:p>
    <w:p w14:paraId="407C76FE" w14:textId="77777777" w:rsidR="00350421" w:rsidRDefault="00350421" w:rsidP="002C6C46"/>
    <w:p w14:paraId="11DD782A" w14:textId="77777777" w:rsidR="0001456F" w:rsidRPr="00350421" w:rsidRDefault="00CB3E8B" w:rsidP="0001456F">
      <w:pPr>
        <w:jc w:val="center"/>
        <w:rPr>
          <w:sz w:val="22"/>
        </w:rPr>
      </w:pPr>
      <w:r>
        <w:t xml:space="preserve"> </w:t>
      </w:r>
      <w:r w:rsidRPr="00350421">
        <w:rPr>
          <w:sz w:val="22"/>
        </w:rPr>
        <w:t>Table 1. The mean and 95% confidence intervals of the internal grasp force for Hand 1 and Hand 2.</w:t>
      </w:r>
    </w:p>
    <w:p w14:paraId="7703438B" w14:textId="62D44863" w:rsidR="009A10F3" w:rsidRPr="00CB3E8B" w:rsidRDefault="001566F7" w:rsidP="002C6C46">
      <w:pPr>
        <w:jc w:val="center"/>
      </w:pPr>
      <w:r>
        <w:rPr>
          <w:noProof/>
        </w:rPr>
        <w:drawing>
          <wp:inline distT="0" distB="0" distL="0" distR="0" wp14:anchorId="04E9DDBA" wp14:editId="7990B02C">
            <wp:extent cx="4114800" cy="130082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30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0F3" w:rsidRPr="00CB3E8B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B24AD" w14:textId="77777777" w:rsidR="00461AA2" w:rsidRDefault="00461AA2" w:rsidP="00B45510">
      <w:pPr>
        <w:spacing w:line="240" w:lineRule="auto"/>
      </w:pPr>
      <w:r>
        <w:separator/>
      </w:r>
    </w:p>
  </w:endnote>
  <w:endnote w:type="continuationSeparator" w:id="0">
    <w:p w14:paraId="0D94EC4B" w14:textId="77777777" w:rsidR="00461AA2" w:rsidRDefault="00461AA2" w:rsidP="00B45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F57F6" w14:textId="77777777" w:rsidR="00B45510" w:rsidRDefault="00B45510" w:rsidP="00B45510">
    <w:pPr>
      <w:autoSpaceDE w:val="0"/>
      <w:autoSpaceDN w:val="0"/>
      <w:adjustRightInd w:val="0"/>
      <w:spacing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DRAFT 2/1/2015</w:t>
    </w:r>
  </w:p>
  <w:p w14:paraId="56FC6424" w14:textId="74B78DE7" w:rsidR="00B45510" w:rsidRPr="00B45510" w:rsidRDefault="00B45510" w:rsidP="00B45510">
    <w:pPr>
      <w:pStyle w:val="Footer"/>
      <w:jc w:val="center"/>
    </w:pPr>
    <w:r>
      <w:rPr>
        <w:rFonts w:ascii="Arial" w:hAnsi="Arial" w:cs="Arial"/>
        <w:sz w:val="16"/>
        <w:szCs w:val="16"/>
      </w:rPr>
      <w:t>Downloaded from http://www.nist.gov/el/isd/grasp.cfm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49F2B" w14:textId="77777777" w:rsidR="00461AA2" w:rsidRDefault="00461AA2" w:rsidP="00B45510">
      <w:pPr>
        <w:spacing w:line="240" w:lineRule="auto"/>
      </w:pPr>
      <w:r>
        <w:separator/>
      </w:r>
    </w:p>
  </w:footnote>
  <w:footnote w:type="continuationSeparator" w:id="0">
    <w:p w14:paraId="303AD4EB" w14:textId="77777777" w:rsidR="00461AA2" w:rsidRDefault="00461AA2" w:rsidP="00B455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5F401" w14:textId="77777777" w:rsidR="00B45510" w:rsidRDefault="00B45510" w:rsidP="00B45510">
    <w:pPr>
      <w:autoSpaceDE w:val="0"/>
      <w:autoSpaceDN w:val="0"/>
      <w:adjustRightInd w:val="0"/>
      <w:spacing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Preliminary Document - For Review Only</w:t>
    </w:r>
  </w:p>
  <w:p w14:paraId="1F835FB5" w14:textId="0353258F" w:rsidR="00B45510" w:rsidRDefault="00B45510" w:rsidP="00B45510">
    <w:pPr>
      <w:pStyle w:val="Header"/>
      <w:jc w:val="center"/>
    </w:pPr>
    <w:r>
      <w:rPr>
        <w:rFonts w:ascii="Arial" w:hAnsi="Arial" w:cs="Arial"/>
        <w:sz w:val="16"/>
        <w:szCs w:val="16"/>
      </w:rPr>
      <w:t>National Institute of Standards &amp; Technology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FB558F" wp14:editId="7E0E084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0FBDE315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</w:p>
  <w:p w14:paraId="66D9B94C" w14:textId="219D02DB" w:rsidR="00B45510" w:rsidRDefault="00B45510" w:rsidP="00B455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55622"/>
    <w:multiLevelType w:val="hybridMultilevel"/>
    <w:tmpl w:val="25E41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05951"/>
    <w:multiLevelType w:val="hybridMultilevel"/>
    <w:tmpl w:val="666CA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4C"/>
    <w:rsid w:val="000058DA"/>
    <w:rsid w:val="0001456F"/>
    <w:rsid w:val="00055287"/>
    <w:rsid w:val="000552CA"/>
    <w:rsid w:val="000832D7"/>
    <w:rsid w:val="000A7746"/>
    <w:rsid w:val="000D1CE9"/>
    <w:rsid w:val="000D302B"/>
    <w:rsid w:val="000F3977"/>
    <w:rsid w:val="001075C0"/>
    <w:rsid w:val="001259D3"/>
    <w:rsid w:val="00132B3E"/>
    <w:rsid w:val="00133E07"/>
    <w:rsid w:val="00144AD7"/>
    <w:rsid w:val="001566F7"/>
    <w:rsid w:val="00163654"/>
    <w:rsid w:val="0016659F"/>
    <w:rsid w:val="0017059F"/>
    <w:rsid w:val="00175518"/>
    <w:rsid w:val="001979D0"/>
    <w:rsid w:val="001B731E"/>
    <w:rsid w:val="001D3498"/>
    <w:rsid w:val="001D79F0"/>
    <w:rsid w:val="001F2F96"/>
    <w:rsid w:val="00201CFD"/>
    <w:rsid w:val="0020447E"/>
    <w:rsid w:val="00214F8D"/>
    <w:rsid w:val="00231EB1"/>
    <w:rsid w:val="002361A9"/>
    <w:rsid w:val="00236275"/>
    <w:rsid w:val="00264590"/>
    <w:rsid w:val="002705DB"/>
    <w:rsid w:val="0027097A"/>
    <w:rsid w:val="002B53EA"/>
    <w:rsid w:val="002C6C46"/>
    <w:rsid w:val="002D3DFB"/>
    <w:rsid w:val="002D75E8"/>
    <w:rsid w:val="00325EB2"/>
    <w:rsid w:val="00331AF9"/>
    <w:rsid w:val="00336721"/>
    <w:rsid w:val="00350421"/>
    <w:rsid w:val="00356E96"/>
    <w:rsid w:val="00361733"/>
    <w:rsid w:val="003768F7"/>
    <w:rsid w:val="00385357"/>
    <w:rsid w:val="00387570"/>
    <w:rsid w:val="00387E4B"/>
    <w:rsid w:val="003A2985"/>
    <w:rsid w:val="003B6858"/>
    <w:rsid w:val="003D6006"/>
    <w:rsid w:val="00406B9C"/>
    <w:rsid w:val="00410354"/>
    <w:rsid w:val="00430124"/>
    <w:rsid w:val="00430F88"/>
    <w:rsid w:val="00444C01"/>
    <w:rsid w:val="00461AA2"/>
    <w:rsid w:val="00466830"/>
    <w:rsid w:val="004669EB"/>
    <w:rsid w:val="004830EC"/>
    <w:rsid w:val="00485FE3"/>
    <w:rsid w:val="0049101B"/>
    <w:rsid w:val="00492274"/>
    <w:rsid w:val="00495ED4"/>
    <w:rsid w:val="004A69DF"/>
    <w:rsid w:val="004D05D9"/>
    <w:rsid w:val="004F20C0"/>
    <w:rsid w:val="00500958"/>
    <w:rsid w:val="00510337"/>
    <w:rsid w:val="00524329"/>
    <w:rsid w:val="005476ED"/>
    <w:rsid w:val="00551617"/>
    <w:rsid w:val="00572579"/>
    <w:rsid w:val="00573A12"/>
    <w:rsid w:val="00574499"/>
    <w:rsid w:val="005A12D5"/>
    <w:rsid w:val="005A555E"/>
    <w:rsid w:val="005D4D33"/>
    <w:rsid w:val="005E3446"/>
    <w:rsid w:val="006166D2"/>
    <w:rsid w:val="00623082"/>
    <w:rsid w:val="00645A19"/>
    <w:rsid w:val="006478CC"/>
    <w:rsid w:val="0067106C"/>
    <w:rsid w:val="006827A7"/>
    <w:rsid w:val="00690154"/>
    <w:rsid w:val="00695158"/>
    <w:rsid w:val="006B4996"/>
    <w:rsid w:val="006B5597"/>
    <w:rsid w:val="006E1D1D"/>
    <w:rsid w:val="006E2703"/>
    <w:rsid w:val="006E4DB7"/>
    <w:rsid w:val="006E59EA"/>
    <w:rsid w:val="006F0C14"/>
    <w:rsid w:val="00715E72"/>
    <w:rsid w:val="00727D5D"/>
    <w:rsid w:val="00731273"/>
    <w:rsid w:val="007638AA"/>
    <w:rsid w:val="007729C1"/>
    <w:rsid w:val="00772EB0"/>
    <w:rsid w:val="0079188D"/>
    <w:rsid w:val="007C0D15"/>
    <w:rsid w:val="007C6A8A"/>
    <w:rsid w:val="007D47D3"/>
    <w:rsid w:val="007E0980"/>
    <w:rsid w:val="007E48DA"/>
    <w:rsid w:val="007F7AC5"/>
    <w:rsid w:val="0080065B"/>
    <w:rsid w:val="0080601D"/>
    <w:rsid w:val="00806272"/>
    <w:rsid w:val="00813EF7"/>
    <w:rsid w:val="00816D61"/>
    <w:rsid w:val="00834668"/>
    <w:rsid w:val="0084125D"/>
    <w:rsid w:val="00845144"/>
    <w:rsid w:val="008500E6"/>
    <w:rsid w:val="00871241"/>
    <w:rsid w:val="00881203"/>
    <w:rsid w:val="008B6BEE"/>
    <w:rsid w:val="008C11A4"/>
    <w:rsid w:val="008C407A"/>
    <w:rsid w:val="008F6B66"/>
    <w:rsid w:val="00913287"/>
    <w:rsid w:val="00942E04"/>
    <w:rsid w:val="009733DE"/>
    <w:rsid w:val="00981C6C"/>
    <w:rsid w:val="009A10F3"/>
    <w:rsid w:val="009A5F5A"/>
    <w:rsid w:val="009B1366"/>
    <w:rsid w:val="009B50AB"/>
    <w:rsid w:val="009C572F"/>
    <w:rsid w:val="009E274C"/>
    <w:rsid w:val="009E2793"/>
    <w:rsid w:val="009F222C"/>
    <w:rsid w:val="00A64938"/>
    <w:rsid w:val="00A902C5"/>
    <w:rsid w:val="00AA4878"/>
    <w:rsid w:val="00AA7970"/>
    <w:rsid w:val="00AB2444"/>
    <w:rsid w:val="00AD4678"/>
    <w:rsid w:val="00AE031E"/>
    <w:rsid w:val="00B1441C"/>
    <w:rsid w:val="00B25300"/>
    <w:rsid w:val="00B255C8"/>
    <w:rsid w:val="00B42B22"/>
    <w:rsid w:val="00B44023"/>
    <w:rsid w:val="00B45510"/>
    <w:rsid w:val="00B45821"/>
    <w:rsid w:val="00B76F7D"/>
    <w:rsid w:val="00B84A75"/>
    <w:rsid w:val="00B91494"/>
    <w:rsid w:val="00BB064D"/>
    <w:rsid w:val="00BC393D"/>
    <w:rsid w:val="00BD116C"/>
    <w:rsid w:val="00BE509E"/>
    <w:rsid w:val="00C0284B"/>
    <w:rsid w:val="00C20B6C"/>
    <w:rsid w:val="00C26259"/>
    <w:rsid w:val="00C3486A"/>
    <w:rsid w:val="00C52C8B"/>
    <w:rsid w:val="00C54AE3"/>
    <w:rsid w:val="00C761AF"/>
    <w:rsid w:val="00C83CB9"/>
    <w:rsid w:val="00C87AD4"/>
    <w:rsid w:val="00CB3E8B"/>
    <w:rsid w:val="00CC3D25"/>
    <w:rsid w:val="00CD1AEC"/>
    <w:rsid w:val="00CF1927"/>
    <w:rsid w:val="00CF52DD"/>
    <w:rsid w:val="00CF59E8"/>
    <w:rsid w:val="00D30B5C"/>
    <w:rsid w:val="00D808AD"/>
    <w:rsid w:val="00D978F1"/>
    <w:rsid w:val="00DA5E8A"/>
    <w:rsid w:val="00DA651F"/>
    <w:rsid w:val="00DB528B"/>
    <w:rsid w:val="00DB5D53"/>
    <w:rsid w:val="00DF1FD0"/>
    <w:rsid w:val="00E229A2"/>
    <w:rsid w:val="00E47CA4"/>
    <w:rsid w:val="00E569E7"/>
    <w:rsid w:val="00E56D26"/>
    <w:rsid w:val="00E73AE0"/>
    <w:rsid w:val="00E9035D"/>
    <w:rsid w:val="00EE245D"/>
    <w:rsid w:val="00EF366A"/>
    <w:rsid w:val="00F11425"/>
    <w:rsid w:val="00F40F13"/>
    <w:rsid w:val="00F5682B"/>
    <w:rsid w:val="00F75F98"/>
    <w:rsid w:val="00F84FF4"/>
    <w:rsid w:val="00F856F0"/>
    <w:rsid w:val="00F87F38"/>
    <w:rsid w:val="00FA5271"/>
    <w:rsid w:val="00FA7FE9"/>
    <w:rsid w:val="00FB4618"/>
    <w:rsid w:val="00FB64C6"/>
    <w:rsid w:val="00FD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FB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337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9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99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5F9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D4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7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7D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7D3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29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1EB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2C8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55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51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55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51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337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9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99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5F9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D4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7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7D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7D3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29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1EB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2C8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55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51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55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51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ist.gov/el/isd/upload/Grasp-Strength.zi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Wyk, Karl</dc:creator>
  <cp:lastModifiedBy>Russell, Debra L. F.</cp:lastModifiedBy>
  <cp:revision>15</cp:revision>
  <cp:lastPrinted>2015-02-04T14:40:00Z</cp:lastPrinted>
  <dcterms:created xsi:type="dcterms:W3CDTF">2015-02-10T16:45:00Z</dcterms:created>
  <dcterms:modified xsi:type="dcterms:W3CDTF">2015-02-19T18:02:00Z</dcterms:modified>
</cp:coreProperties>
</file>