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99B" w:rsidRDefault="006C399B">
      <w:pPr>
        <w:pStyle w:val="Style14ptBoldCenteredBefore12ptAfter6pt"/>
      </w:pPr>
      <w:bookmarkStart w:id="0" w:name="IV_B_UniformRegulation"/>
      <w:bookmarkStart w:id="1" w:name="_Toc174455581"/>
      <w:bookmarkStart w:id="2" w:name="_Toc174456005"/>
      <w:bookmarkStart w:id="3" w:name="_Toc205967822"/>
      <w:bookmarkStart w:id="4" w:name="_GoBack"/>
      <w:bookmarkEnd w:id="0"/>
      <w:bookmarkEnd w:id="4"/>
      <w:r w:rsidRPr="006C399B">
        <w:t>Draft NIST Handbook 130 Method of Sale</w:t>
      </w:r>
      <w:r w:rsidR="00F560EE">
        <w:t xml:space="preserve"> </w:t>
      </w:r>
      <w:r w:rsidR="00F560EE">
        <w:br/>
      </w:r>
      <w:r w:rsidR="00F560EE" w:rsidRPr="006C399B">
        <w:t>for</w:t>
      </w:r>
      <w:r w:rsidRPr="006C399B">
        <w:t xml:space="preserve"> </w:t>
      </w:r>
      <w:r w:rsidR="00F560EE">
        <w:t>Electrical Energy</w:t>
      </w:r>
      <w:r w:rsidRPr="006C399B">
        <w:t xml:space="preserve"> as Vehicle Fuel</w:t>
      </w:r>
    </w:p>
    <w:p w:rsidR="006C399B" w:rsidRDefault="006C399B">
      <w:pPr>
        <w:pStyle w:val="Style14ptBoldCenteredBefore12ptAfter6pt"/>
      </w:pPr>
    </w:p>
    <w:p w:rsidR="00D728AB" w:rsidRDefault="00D728AB">
      <w:pPr>
        <w:pStyle w:val="Style14ptBoldCenteredBefore12ptAfter6pt"/>
      </w:pPr>
    </w:p>
    <w:p w:rsidR="006C399B" w:rsidRDefault="006C399B">
      <w:pPr>
        <w:pStyle w:val="Style14ptBoldCenteredBefore12ptAfter6pt"/>
      </w:pPr>
    </w:p>
    <w:p w:rsidR="005A6C37" w:rsidRPr="00E51437" w:rsidRDefault="005A6C37">
      <w:pPr>
        <w:pStyle w:val="Style14ptBoldCenteredBefore12ptAfter6pt"/>
      </w:pPr>
      <w:r w:rsidRPr="00E51437">
        <w:t>B.  Uniform Regulation for the Method of Sale of Commodities</w:t>
      </w:r>
      <w:bookmarkEnd w:id="1"/>
      <w:bookmarkEnd w:id="2"/>
      <w:bookmarkEnd w:id="3"/>
    </w:p>
    <w:p w:rsidR="005A6C37" w:rsidRPr="00E51437" w:rsidRDefault="00C95209" w:rsidP="006E3669">
      <w:pPr>
        <w:jc w:val="center"/>
      </w:pPr>
      <w:r w:rsidRPr="00E51437">
        <w:fldChar w:fldCharType="begin"/>
      </w:r>
      <w:r w:rsidR="005A6C37" w:rsidRPr="00E51437">
        <w:instrText>xe "Method of sale</w:instrText>
      </w:r>
      <w:r w:rsidR="006271AD" w:rsidRPr="00E51437">
        <w:instrText>:Uniform regulation</w:instrText>
      </w:r>
      <w:r w:rsidR="005A6C37" w:rsidRPr="00E51437">
        <w:instrText>"</w:instrText>
      </w:r>
      <w:r w:rsidRPr="00E51437">
        <w:fldChar w:fldCharType="end"/>
      </w:r>
      <w:r w:rsidRPr="00E51437">
        <w:fldChar w:fldCharType="begin"/>
      </w:r>
      <w:r w:rsidR="005A6C37" w:rsidRPr="00E51437">
        <w:instrText>xe "Uniform Regulation for the Method of Sale of Commodities"</w:instrText>
      </w:r>
      <w:r w:rsidRPr="00E51437">
        <w:fldChar w:fldCharType="end"/>
      </w:r>
    </w:p>
    <w:p w:rsidR="005A6C37" w:rsidRPr="00E51437" w:rsidRDefault="005A6C37">
      <w:pPr>
        <w:jc w:val="center"/>
      </w:pPr>
      <w:r w:rsidRPr="00E51437">
        <w:t>as adopted by</w:t>
      </w:r>
    </w:p>
    <w:p w:rsidR="005A6C37" w:rsidRPr="00E51437" w:rsidRDefault="005A6C37">
      <w:pPr>
        <w:jc w:val="center"/>
      </w:pPr>
      <w:r w:rsidRPr="00E51437">
        <w:t>The National Conference on Weights and Measures*</w:t>
      </w:r>
    </w:p>
    <w:p w:rsidR="005A6C37" w:rsidRPr="00E51437" w:rsidRDefault="005A6C37"/>
    <w:p w:rsidR="005A6C37" w:rsidRPr="00E51437" w:rsidRDefault="005A6C37">
      <w:pPr>
        <w:pStyle w:val="StyleHeading6After0pt"/>
      </w:pPr>
      <w:bookmarkStart w:id="5" w:name="_Toc173470308"/>
      <w:bookmarkStart w:id="6" w:name="_Toc173470680"/>
      <w:bookmarkStart w:id="7" w:name="_Toc173471496"/>
      <w:bookmarkStart w:id="8" w:name="_Toc173474144"/>
      <w:bookmarkStart w:id="9" w:name="_Toc173771786"/>
      <w:r w:rsidRPr="00E51437">
        <w:t>1.  Background</w:t>
      </w:r>
      <w:bookmarkEnd w:id="5"/>
      <w:bookmarkEnd w:id="6"/>
      <w:bookmarkEnd w:id="7"/>
      <w:bookmarkEnd w:id="8"/>
      <w:bookmarkEnd w:id="9"/>
    </w:p>
    <w:p w:rsidR="005A6C37" w:rsidRPr="00E51437" w:rsidRDefault="005A6C37"/>
    <w:p w:rsidR="005A6C37" w:rsidRPr="00E51437" w:rsidRDefault="005A6C37">
      <w:r w:rsidRPr="00E51437">
        <w:t>The National Conference on Weights and Measures (NCWM) has long been concerned with the proper units of measurement to be used in the sale of all commodities.  This approach has gradually broadened to concerns of standardized package sizes and general identity of particular commodities.  Requirements for individual products were at one time made a part of the Weights and Measures Law or were embodied in separate individual Model Regulations.  In 1971</w:t>
      </w:r>
      <w:r w:rsidR="00976931" w:rsidRPr="00E51437">
        <w:t>,</w:t>
      </w:r>
      <w:r w:rsidRPr="00E51437">
        <w:t xml:space="preserve"> this “Model State Method of Sale</w:t>
      </w:r>
      <w:r w:rsidR="00C95209" w:rsidRPr="00E51437">
        <w:fldChar w:fldCharType="begin"/>
      </w:r>
      <w:r w:rsidRPr="00E51437">
        <w:instrText>xe "Method of sale</w:instrText>
      </w:r>
      <w:r w:rsidR="00535CC4" w:rsidRPr="00E51437">
        <w:instrText>:Model state method of sale</w:instrText>
      </w:r>
      <w:r w:rsidRPr="00E51437">
        <w:instrText>"</w:instrText>
      </w:r>
      <w:r w:rsidR="00C95209" w:rsidRPr="00E51437">
        <w:fldChar w:fldCharType="end"/>
      </w:r>
      <w:r w:rsidRPr="00E51437">
        <w:t xml:space="preserve"> of Commodities Regulation” was established (renamed in 1983); amendments have been adopted by the Conference almost annually since that time.</w:t>
      </w:r>
    </w:p>
    <w:p w:rsidR="005A6C37" w:rsidRPr="00E51437" w:rsidRDefault="005A6C37"/>
    <w:p w:rsidR="005A6C37" w:rsidRPr="00E51437" w:rsidRDefault="005A6C37">
      <w:r w:rsidRPr="00E51437">
        <w:t>Sections with “added 1971” dates refer to those sections that were originally incorporated in the Weights and Measures Law or in individual Model Regulations recommended by the NCWM.  Subsequent dates reflect the actual amendment or addition dates.</w:t>
      </w:r>
    </w:p>
    <w:p w:rsidR="005A6C37" w:rsidRPr="00E51437" w:rsidRDefault="005A6C37"/>
    <w:p w:rsidR="005A6C37" w:rsidRPr="00E51437" w:rsidRDefault="005A6C37">
      <w:r w:rsidRPr="00E51437">
        <w:t>The 1979 edition included for the first time requirements for items packaged in quantities of the International System of Units (SI), the modernized metric system, as well as continuing to present requirements for inch-pound quantities.  It should be stressed that nothing in this Regulation requires changing to the SI system of measurement.  SI values are given for the guidance of those wishing to adopt new SI quantities of the commodities governed by this Regulation.  SI means the International System of Units as established in 1960 by the General Conference on Weights and Measures and interpreted or modified for the United States by the Secretary of Commerce.</w:t>
      </w:r>
    </w:p>
    <w:p w:rsidR="005A6C37" w:rsidRPr="00E51437" w:rsidRDefault="005A6C37"/>
    <w:p w:rsidR="005A6C37" w:rsidRPr="00E51437" w:rsidRDefault="005A6C37">
      <w:r w:rsidRPr="00E51437">
        <w:t>This Regulation assimilates all of the actions periodically taken by the Conference with respect to certain food items, non-food items, and general method of sale</w:t>
      </w:r>
      <w:r w:rsidR="00C95209" w:rsidRPr="00E51437">
        <w:fldChar w:fldCharType="begin"/>
      </w:r>
      <w:r w:rsidRPr="00E51437">
        <w:instrText>xe "Method of sale</w:instrText>
      </w:r>
      <w:r w:rsidR="00023B5A" w:rsidRPr="00E51437">
        <w:instrText>:General concepts</w:instrText>
      </w:r>
      <w:r w:rsidRPr="00E51437">
        <w:instrText>"</w:instrText>
      </w:r>
      <w:r w:rsidR="00C95209" w:rsidRPr="00E51437">
        <w:fldChar w:fldCharType="end"/>
      </w:r>
      <w:r w:rsidRPr="00E51437">
        <w:t xml:space="preserv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 process.</w:t>
      </w:r>
    </w:p>
    <w:p w:rsidR="005A6C37" w:rsidRPr="00E51437" w:rsidRDefault="005A6C37">
      <w:pPr>
        <w:pStyle w:val="StyleHeading6After0pt"/>
      </w:pPr>
      <w:bookmarkStart w:id="10" w:name="_Toc173470309"/>
      <w:bookmarkStart w:id="11" w:name="_Toc173470681"/>
      <w:bookmarkStart w:id="12" w:name="_Toc173471497"/>
      <w:bookmarkStart w:id="13" w:name="_Toc173474145"/>
      <w:bookmarkStart w:id="14" w:name="_Toc173771787"/>
      <w:r w:rsidRPr="00E51437">
        <w:t>2.  Status of Promulgation</w:t>
      </w:r>
      <w:bookmarkEnd w:id="10"/>
      <w:bookmarkEnd w:id="11"/>
      <w:bookmarkEnd w:id="12"/>
      <w:bookmarkEnd w:id="13"/>
      <w:bookmarkEnd w:id="14"/>
    </w:p>
    <w:p w:rsidR="005A6C37" w:rsidRPr="00E51437" w:rsidRDefault="005A6C37"/>
    <w:p w:rsidR="005A6C37" w:rsidRPr="00E51437" w:rsidRDefault="005A6C37">
      <w:r w:rsidRPr="00E51437">
        <w:t>The table beginning on page 10 shows the status of adoption of the Uniform Regulation for the Method of Sale</w:t>
      </w:r>
      <w:r w:rsidR="00C95209" w:rsidRPr="00E51437">
        <w:fldChar w:fldCharType="begin"/>
      </w:r>
      <w:r w:rsidRPr="00E51437">
        <w:instrText>xe "Method of sale</w:instrText>
      </w:r>
      <w:r w:rsidR="00023B5A" w:rsidRPr="00E51437">
        <w:instrText>:Commodities</w:instrText>
      </w:r>
      <w:r w:rsidRPr="00E51437">
        <w:instrText>"</w:instrText>
      </w:r>
      <w:r w:rsidR="00C95209" w:rsidRPr="00E51437">
        <w:fldChar w:fldCharType="end"/>
      </w:r>
      <w:r w:rsidRPr="00E51437">
        <w:t xml:space="preserve"> of Commodities.</w:t>
      </w:r>
    </w:p>
    <w:p w:rsidR="005A6C37" w:rsidRPr="00E51437" w:rsidRDefault="005A6C37"/>
    <w:p w:rsidR="005A6C37" w:rsidRPr="00E51437" w:rsidRDefault="005A6C37"/>
    <w:p w:rsidR="005A6C37" w:rsidRPr="00E51437" w:rsidRDefault="005A6C37"/>
    <w:p w:rsidR="005A6C37" w:rsidRPr="00E51437" w:rsidRDefault="005A6C37"/>
    <w:p w:rsidR="005A6C37" w:rsidRPr="00E51437" w:rsidRDefault="005A6C37"/>
    <w:p w:rsidR="005A6C37" w:rsidRPr="00E51437" w:rsidRDefault="005A6C37">
      <w:pPr>
        <w:pStyle w:val="Style1"/>
        <w:rPr>
          <w:iCs/>
        </w:rPr>
      </w:pPr>
      <w:r w:rsidRPr="00E51437">
        <w:rPr>
          <w:iCs/>
        </w:rPr>
        <w:t>*The National Conference on Weights and Measures</w:t>
      </w:r>
      <w:r w:rsidR="00FF17C0" w:rsidRPr="00E51437">
        <w:rPr>
          <w:iCs/>
        </w:rPr>
        <w:t xml:space="preserve"> (</w:t>
      </w:r>
      <w:r w:rsidR="00C512BD" w:rsidRPr="00E51437">
        <w:rPr>
          <w:iCs/>
        </w:rPr>
        <w:t>NCWM</w:t>
      </w:r>
      <w:r w:rsidR="00CD5C10" w:rsidRPr="00E51437">
        <w:rPr>
          <w:iCs/>
        </w:rPr>
        <w:t>) is</w:t>
      </w:r>
      <w:r w:rsidRPr="00E51437">
        <w:rPr>
          <w:iCs/>
        </w:rPr>
        <w:t xml:space="preserve"> supported by the National Institute of Standards and Technology</w:t>
      </w:r>
      <w:r w:rsidR="00FF17C0" w:rsidRPr="00E51437">
        <w:rPr>
          <w:iCs/>
        </w:rPr>
        <w:t xml:space="preserve"> (</w:t>
      </w:r>
      <w:r w:rsidR="00C512BD" w:rsidRPr="00E51437">
        <w:rPr>
          <w:iCs/>
        </w:rPr>
        <w:t>NIST</w:t>
      </w:r>
      <w:r w:rsidR="00FF17C0" w:rsidRPr="00E51437">
        <w:rPr>
          <w:iCs/>
        </w:rPr>
        <w:t>)</w:t>
      </w:r>
      <w:r w:rsidRPr="00E51437">
        <w:rPr>
          <w:iCs/>
        </w:rPr>
        <w:t xml:space="preserve"> in partial implementation of its statutory responsibility for “cooperation with the states in securing uniformity in weights and measures laws and methods of inspection.”</w:t>
      </w:r>
    </w:p>
    <w:p w:rsidR="005A6C37" w:rsidRPr="00E51437" w:rsidRDefault="005A6C37">
      <w:pPr>
        <w:pStyle w:val="Style1"/>
        <w:rPr>
          <w:iCs/>
        </w:rPr>
      </w:pPr>
      <w:r w:rsidRPr="00E51437">
        <w:rPr>
          <w:iCs/>
        </w:rPr>
        <w:br w:type="page"/>
      </w:r>
    </w:p>
    <w:p w:rsidR="005A6C37" w:rsidRPr="00E51437" w:rsidRDefault="005A6C37"/>
    <w:p w:rsidR="005A6C37" w:rsidRPr="00E51437" w:rsidRDefault="005A6C37" w:rsidP="00883D39">
      <w:pPr>
        <w:tabs>
          <w:tab w:val="left" w:pos="475"/>
          <w:tab w:val="right" w:leader="dot" w:pos="9576"/>
        </w:tabs>
        <w:jc w:val="center"/>
        <w:rPr>
          <w:szCs w:val="20"/>
        </w:rPr>
      </w:pPr>
      <w:bookmarkStart w:id="15" w:name="_Toc173388111"/>
      <w:r w:rsidRPr="00E51437">
        <w:rPr>
          <w:b/>
          <w:sz w:val="28"/>
        </w:rPr>
        <w:t>Uniform Regulation for the Method of Sale of Commodities</w:t>
      </w:r>
      <w:bookmarkEnd w:id="15"/>
      <w:r w:rsidR="00C95209" w:rsidRPr="00E51437">
        <w:rPr>
          <w:szCs w:val="20"/>
        </w:rPr>
        <w:fldChar w:fldCharType="begin"/>
      </w:r>
      <w:r w:rsidRPr="00E51437">
        <w:rPr>
          <w:szCs w:val="20"/>
        </w:rPr>
        <w:instrText>xe "Method of sale</w:instrText>
      </w:r>
      <w:r w:rsidR="00023B5A" w:rsidRPr="00E51437">
        <w:rPr>
          <w:szCs w:val="20"/>
        </w:rPr>
        <w:instrText>:Commodities</w:instrText>
      </w:r>
      <w:r w:rsidRPr="00E51437">
        <w:rPr>
          <w:szCs w:val="20"/>
        </w:rPr>
        <w:instrText>"</w:instrText>
      </w:r>
      <w:r w:rsidR="00C95209" w:rsidRPr="00E51437">
        <w:rPr>
          <w:szCs w:val="20"/>
        </w:rPr>
        <w:fldChar w:fldCharType="end"/>
      </w:r>
      <w:r w:rsidR="00C95209" w:rsidRPr="00E51437">
        <w:fldChar w:fldCharType="begin"/>
      </w:r>
      <w:r w:rsidRPr="00E51437">
        <w:instrText>xe "Uniform Regulation for the Method of Sale of Commodities"</w:instrText>
      </w:r>
      <w:r w:rsidR="00C95209" w:rsidRPr="00E51437">
        <w:fldChar w:fldCharType="end"/>
      </w:r>
    </w:p>
    <w:p w:rsidR="005A6C37" w:rsidRPr="00E51437" w:rsidRDefault="005A6C37">
      <w:pPr>
        <w:ind w:left="360"/>
      </w:pPr>
    </w:p>
    <w:p w:rsidR="005A6C37" w:rsidRPr="00E51437" w:rsidRDefault="005A6C37" w:rsidP="004563B2">
      <w:pPr>
        <w:rPr>
          <w:vertAlign w:val="superscript"/>
        </w:rPr>
      </w:pPr>
      <w:bookmarkStart w:id="16" w:name="_Toc324853633"/>
      <w:bookmarkStart w:id="17" w:name="_Toc173472854"/>
      <w:r w:rsidRPr="00E51437">
        <w:rPr>
          <w:rStyle w:val="UniformLevel1Char"/>
          <w:sz w:val="24"/>
        </w:rPr>
        <w:t>Section 2.  Non-food Products</w:t>
      </w:r>
      <w:bookmarkEnd w:id="16"/>
      <w:r w:rsidRPr="00E51437">
        <w:t xml:space="preserve"> </w:t>
      </w:r>
      <w:r w:rsidRPr="00E51437">
        <w:rPr>
          <w:vertAlign w:val="superscript"/>
        </w:rPr>
        <w:t>[</w:t>
      </w:r>
      <w:r w:rsidRPr="00E51437">
        <w:rPr>
          <w:b/>
          <w:i/>
          <w:vertAlign w:val="superscript"/>
        </w:rPr>
        <w:t>NOTE 1</w:t>
      </w:r>
      <w:r w:rsidRPr="00E51437">
        <w:rPr>
          <w:vertAlign w:val="superscript"/>
        </w:rPr>
        <w:t>, page 107]</w:t>
      </w:r>
      <w:bookmarkEnd w:id="17"/>
    </w:p>
    <w:p w:rsidR="005A6C37" w:rsidRPr="00E51437" w:rsidRDefault="005A6C37" w:rsidP="001F1871">
      <w:pPr>
        <w:pStyle w:val="UniformLevel2"/>
        <w:spacing w:after="0"/>
        <w:rPr>
          <w:b/>
          <w:bCs/>
          <w:u w:val="single"/>
        </w:rPr>
      </w:pPr>
      <w:bookmarkStart w:id="18" w:name="_Toc324853634"/>
      <w:r w:rsidRPr="00E51437">
        <w:rPr>
          <w:b/>
          <w:bCs/>
          <w:u w:val="single"/>
        </w:rPr>
        <w:t>2.</w:t>
      </w:r>
      <w:r w:rsidR="00006DCC" w:rsidRPr="00E51437">
        <w:rPr>
          <w:b/>
          <w:bCs/>
          <w:u w:val="single"/>
        </w:rPr>
        <w:t>XX</w:t>
      </w:r>
      <w:r w:rsidRPr="00E51437">
        <w:rPr>
          <w:b/>
          <w:bCs/>
          <w:u w:val="single"/>
        </w:rPr>
        <w:t xml:space="preserve">.  Retail Sales of </w:t>
      </w:r>
      <w:r w:rsidR="00F560EE">
        <w:rPr>
          <w:b/>
          <w:bCs/>
          <w:u w:val="single"/>
        </w:rPr>
        <w:t>Electrical Energy</w:t>
      </w:r>
      <w:r w:rsidR="00647F65" w:rsidRPr="00E51437">
        <w:rPr>
          <w:b/>
          <w:bCs/>
          <w:u w:val="single"/>
        </w:rPr>
        <w:t xml:space="preserve"> Sold as a Vehicle Fuel</w:t>
      </w:r>
      <w:r w:rsidRPr="00E51437">
        <w:rPr>
          <w:b/>
          <w:bCs/>
          <w:u w:val="single"/>
        </w:rPr>
        <w:t>.</w:t>
      </w:r>
      <w:bookmarkEnd w:id="18"/>
    </w:p>
    <w:p w:rsidR="00365E4E" w:rsidRPr="00E51437" w:rsidRDefault="00365E4E" w:rsidP="00365E4E">
      <w:pPr>
        <w:pStyle w:val="UniformLevel2"/>
        <w:spacing w:before="0" w:after="0"/>
        <w:rPr>
          <w:b/>
          <w:bCs/>
          <w:u w:val="single"/>
        </w:rPr>
      </w:pPr>
    </w:p>
    <w:p w:rsidR="00115C59" w:rsidRPr="00E51437" w:rsidRDefault="005A6C37" w:rsidP="00CA4603">
      <w:pPr>
        <w:tabs>
          <w:tab w:val="left" w:pos="1080"/>
        </w:tabs>
        <w:ind w:left="360"/>
        <w:rPr>
          <w:rStyle w:val="UniformLevel3Char"/>
          <w:b/>
          <w:bCs w:val="0"/>
          <w:sz w:val="20"/>
          <w:u w:val="single"/>
          <w:lang w:val="fr-FR"/>
        </w:rPr>
      </w:pPr>
      <w:bookmarkStart w:id="19" w:name="_Toc324853635"/>
      <w:r w:rsidRPr="00E51437">
        <w:rPr>
          <w:rStyle w:val="UniformLevel3Char"/>
          <w:b/>
          <w:bCs w:val="0"/>
          <w:sz w:val="20"/>
          <w:u w:val="single"/>
          <w:lang w:val="fr-FR"/>
        </w:rPr>
        <w:t>2.</w:t>
      </w:r>
      <w:r w:rsidR="00006DCC" w:rsidRPr="00E51437">
        <w:rPr>
          <w:rStyle w:val="UniformLevel3Char"/>
          <w:b/>
          <w:bCs w:val="0"/>
          <w:sz w:val="20"/>
          <w:u w:val="single"/>
          <w:lang w:val="fr-FR"/>
        </w:rPr>
        <w:t>XX</w:t>
      </w:r>
      <w:r w:rsidR="00CD5C10" w:rsidRPr="00E51437">
        <w:rPr>
          <w:rStyle w:val="UniformLevel3Char"/>
          <w:b/>
          <w:bCs w:val="0"/>
          <w:sz w:val="20"/>
          <w:u w:val="single"/>
          <w:lang w:val="fr-FR"/>
        </w:rPr>
        <w:t>.1.</w:t>
      </w:r>
      <w:r w:rsidR="00CD5C10" w:rsidRPr="00E51437">
        <w:rPr>
          <w:rStyle w:val="UniformLevel3Char"/>
          <w:b/>
          <w:bCs w:val="0"/>
          <w:sz w:val="20"/>
          <w:u w:val="single"/>
          <w:lang w:val="fr-FR"/>
        </w:rPr>
        <w:tab/>
      </w:r>
      <w:r w:rsidRPr="00E51437">
        <w:rPr>
          <w:rStyle w:val="UniformLevel3Char"/>
          <w:b/>
          <w:bCs w:val="0"/>
          <w:sz w:val="20"/>
          <w:u w:val="single"/>
        </w:rPr>
        <w:t>Definition</w:t>
      </w:r>
      <w:r w:rsidR="00115C59" w:rsidRPr="00E51437">
        <w:rPr>
          <w:rStyle w:val="UniformLevel3Char"/>
          <w:b/>
          <w:bCs w:val="0"/>
          <w:sz w:val="20"/>
          <w:u w:val="single"/>
        </w:rPr>
        <w:t>s</w:t>
      </w:r>
      <w:r w:rsidR="00115C59" w:rsidRPr="00E51437">
        <w:rPr>
          <w:rStyle w:val="UniformLevel3Char"/>
          <w:b/>
          <w:bCs w:val="0"/>
          <w:sz w:val="20"/>
          <w:u w:val="single"/>
          <w:lang w:val="fr-FR"/>
        </w:rPr>
        <w:t>.</w:t>
      </w:r>
    </w:p>
    <w:p w:rsidR="00115C59" w:rsidRPr="00E51437" w:rsidRDefault="00115C59" w:rsidP="00CA4603">
      <w:pPr>
        <w:tabs>
          <w:tab w:val="left" w:pos="1080"/>
        </w:tabs>
        <w:ind w:left="360"/>
        <w:rPr>
          <w:rStyle w:val="UniformLevel3Char"/>
          <w:b/>
          <w:bCs w:val="0"/>
          <w:sz w:val="20"/>
          <w:u w:val="single"/>
          <w:lang w:val="fr-FR"/>
        </w:rPr>
      </w:pPr>
    </w:p>
    <w:p w:rsidR="00115C59" w:rsidRPr="00E51437" w:rsidRDefault="00115C59" w:rsidP="00115C59">
      <w:pPr>
        <w:tabs>
          <w:tab w:val="left" w:pos="1620"/>
        </w:tabs>
        <w:ind w:left="720"/>
        <w:rPr>
          <w:b/>
          <w:szCs w:val="20"/>
          <w:u w:val="single"/>
        </w:rPr>
      </w:pPr>
      <w:r w:rsidRPr="00E51437">
        <w:rPr>
          <w:rStyle w:val="UniformLevel3Char"/>
          <w:b/>
          <w:bCs w:val="0"/>
          <w:sz w:val="20"/>
          <w:u w:val="single"/>
          <w:lang w:val="fr-FR"/>
        </w:rPr>
        <w:t>2.XX.1.1.</w:t>
      </w:r>
      <w:r w:rsidRPr="00E51437">
        <w:rPr>
          <w:rStyle w:val="UniformLevel3Char"/>
          <w:b/>
          <w:bCs w:val="0"/>
          <w:sz w:val="20"/>
          <w:u w:val="single"/>
          <w:lang w:val="fr-FR"/>
        </w:rPr>
        <w:tab/>
      </w:r>
      <w:r w:rsidR="00F560EE">
        <w:rPr>
          <w:rStyle w:val="UniformLevel3Char"/>
          <w:b/>
          <w:bCs w:val="0"/>
          <w:sz w:val="20"/>
          <w:u w:val="single"/>
        </w:rPr>
        <w:t>Electrical Energy</w:t>
      </w:r>
      <w:r w:rsidR="00647F65" w:rsidRPr="00E51437">
        <w:rPr>
          <w:rStyle w:val="UniformLevel3Char"/>
          <w:b/>
          <w:bCs w:val="0"/>
          <w:sz w:val="20"/>
          <w:u w:val="single"/>
          <w:lang w:val="fr-FR"/>
        </w:rPr>
        <w:t xml:space="preserve"> </w:t>
      </w:r>
      <w:r w:rsidRPr="00E51437">
        <w:rPr>
          <w:rStyle w:val="UniformLevel3Char"/>
          <w:b/>
          <w:bCs w:val="0"/>
          <w:sz w:val="20"/>
          <w:u w:val="single"/>
        </w:rPr>
        <w:t>sold</w:t>
      </w:r>
      <w:r w:rsidRPr="00E51437">
        <w:rPr>
          <w:rStyle w:val="UniformLevel3Char"/>
          <w:b/>
          <w:bCs w:val="0"/>
          <w:sz w:val="20"/>
          <w:u w:val="single"/>
          <w:lang w:val="fr-FR"/>
        </w:rPr>
        <w:t xml:space="preserve"> </w:t>
      </w:r>
      <w:r w:rsidR="00647F65" w:rsidRPr="00E51437">
        <w:rPr>
          <w:rStyle w:val="UniformLevel3Char"/>
          <w:b/>
          <w:bCs w:val="0"/>
          <w:sz w:val="20"/>
          <w:u w:val="single"/>
          <w:lang w:val="fr-FR"/>
        </w:rPr>
        <w:t xml:space="preserve">as </w:t>
      </w:r>
      <w:r w:rsidRPr="00E51437">
        <w:rPr>
          <w:rStyle w:val="UniformLevel3Char"/>
          <w:b/>
          <w:bCs w:val="0"/>
          <w:sz w:val="20"/>
          <w:u w:val="single"/>
        </w:rPr>
        <w:t>v</w:t>
      </w:r>
      <w:r w:rsidR="00647F65" w:rsidRPr="00E51437">
        <w:rPr>
          <w:rStyle w:val="UniformLevel3Char"/>
          <w:b/>
          <w:bCs w:val="0"/>
          <w:sz w:val="20"/>
          <w:u w:val="single"/>
        </w:rPr>
        <w:t>ehicle</w:t>
      </w:r>
      <w:r w:rsidR="005A6C37" w:rsidRPr="00E51437">
        <w:rPr>
          <w:rStyle w:val="UniformLevel3Char"/>
          <w:b/>
          <w:bCs w:val="0"/>
          <w:sz w:val="20"/>
          <w:u w:val="single"/>
          <w:lang w:val="fr-FR"/>
        </w:rPr>
        <w:t xml:space="preserve"> </w:t>
      </w:r>
      <w:r w:rsidRPr="00E51437">
        <w:rPr>
          <w:rStyle w:val="UniformLevel3Char"/>
          <w:b/>
          <w:bCs w:val="0"/>
          <w:sz w:val="20"/>
          <w:u w:val="single"/>
          <w:lang w:val="fr-FR"/>
        </w:rPr>
        <w:t>f</w:t>
      </w:r>
      <w:r w:rsidR="005A6C37" w:rsidRPr="00E51437">
        <w:rPr>
          <w:rStyle w:val="UniformLevel3Char"/>
          <w:b/>
          <w:bCs w:val="0"/>
          <w:sz w:val="20"/>
          <w:u w:val="single"/>
          <w:lang w:val="fr-FR"/>
        </w:rPr>
        <w:t>uel.</w:t>
      </w:r>
      <w:bookmarkEnd w:id="19"/>
      <w:r w:rsidR="005A6C37" w:rsidRPr="00E51437">
        <w:rPr>
          <w:u w:val="single"/>
        </w:rPr>
        <w:t xml:space="preserve"> – </w:t>
      </w:r>
      <w:r w:rsidR="00C95209" w:rsidRPr="00E51437">
        <w:rPr>
          <w:u w:val="single"/>
        </w:rPr>
        <w:fldChar w:fldCharType="begin"/>
      </w:r>
      <w:r w:rsidR="005A6C37" w:rsidRPr="00E51437">
        <w:rPr>
          <w:u w:val="single"/>
        </w:rPr>
        <w:instrText>xe "</w:instrText>
      </w:r>
      <w:r w:rsidR="002F7F29" w:rsidRPr="00E51437">
        <w:rPr>
          <w:u w:val="single"/>
        </w:rPr>
        <w:instrText>Engine fuels</w:instrText>
      </w:r>
      <w:r w:rsidR="00F043BE" w:rsidRPr="00E51437">
        <w:rPr>
          <w:u w:val="single"/>
        </w:rPr>
        <w:instrText>:Hydrogen</w:instrText>
      </w:r>
      <w:r w:rsidR="005A6C37" w:rsidRPr="00E51437">
        <w:rPr>
          <w:u w:val="single"/>
        </w:rPr>
        <w:instrText>"</w:instrText>
      </w:r>
      <w:r w:rsidR="00C95209" w:rsidRPr="00E51437">
        <w:rPr>
          <w:u w:val="single"/>
        </w:rPr>
        <w:fldChar w:fldCharType="end"/>
      </w:r>
      <w:r w:rsidR="00C95209" w:rsidRPr="00E51437">
        <w:rPr>
          <w:u w:val="single"/>
        </w:rPr>
        <w:fldChar w:fldCharType="begin"/>
      </w:r>
      <w:r w:rsidR="002F7F29" w:rsidRPr="00E51437">
        <w:rPr>
          <w:u w:val="single"/>
        </w:rPr>
        <w:instrText xml:space="preserve"> XE "Definitions:Hydrogen fuel" </w:instrText>
      </w:r>
      <w:r w:rsidR="00C95209" w:rsidRPr="00E51437">
        <w:rPr>
          <w:u w:val="single"/>
        </w:rPr>
        <w:fldChar w:fldCharType="end"/>
      </w:r>
      <w:r w:rsidR="00647F65" w:rsidRPr="00E51437">
        <w:rPr>
          <w:u w:val="single"/>
        </w:rPr>
        <w:t>Electrical energy transferred to and/or stored onboard an electric vehicle primarily for the purpose of propulsion</w:t>
      </w:r>
      <w:r w:rsidR="00AE016B" w:rsidRPr="00E51437">
        <w:rPr>
          <w:u w:val="single"/>
        </w:rPr>
        <w:t>.</w:t>
      </w:r>
      <w:r w:rsidRPr="00E51437">
        <w:rPr>
          <w:b/>
          <w:szCs w:val="20"/>
          <w:u w:val="single"/>
        </w:rPr>
        <w:t xml:space="preserve"> </w:t>
      </w:r>
    </w:p>
    <w:p w:rsidR="00115C59" w:rsidRPr="00E51437" w:rsidRDefault="00115C59" w:rsidP="00115C59">
      <w:pPr>
        <w:tabs>
          <w:tab w:val="left" w:pos="1620"/>
        </w:tabs>
        <w:ind w:left="720"/>
        <w:rPr>
          <w:b/>
          <w:szCs w:val="20"/>
          <w:u w:val="single"/>
        </w:rPr>
      </w:pPr>
    </w:p>
    <w:p w:rsidR="0060444C" w:rsidRPr="00E51437" w:rsidRDefault="00115C59" w:rsidP="0060444C">
      <w:pPr>
        <w:tabs>
          <w:tab w:val="left" w:pos="1620"/>
        </w:tabs>
        <w:ind w:left="720"/>
        <w:rPr>
          <w:szCs w:val="20"/>
          <w:u w:val="single"/>
        </w:rPr>
      </w:pPr>
      <w:r w:rsidRPr="00E51437">
        <w:rPr>
          <w:b/>
          <w:iCs/>
          <w:szCs w:val="20"/>
          <w:u w:val="single"/>
          <w:lang w:val="fr-FR"/>
        </w:rPr>
        <w:t>2.XX.1.2.</w:t>
      </w:r>
      <w:r w:rsidRPr="00E51437">
        <w:rPr>
          <w:b/>
          <w:iCs/>
          <w:szCs w:val="20"/>
          <w:u w:val="single"/>
          <w:lang w:val="fr-FR"/>
        </w:rPr>
        <w:tab/>
      </w:r>
      <w:r w:rsidRPr="00E51437">
        <w:rPr>
          <w:b/>
          <w:szCs w:val="20"/>
          <w:u w:val="single"/>
        </w:rPr>
        <w:t xml:space="preserve">Electric vehicle supply equipment (EVSE). – </w:t>
      </w:r>
      <w:r w:rsidR="00E7570C" w:rsidRPr="00E51437">
        <w:rPr>
          <w:szCs w:val="20"/>
          <w:u w:val="single"/>
        </w:rPr>
        <w:t>The conductors, including the ungrounded, grounded, and equipment grounding conductors</w:t>
      </w:r>
      <w:r w:rsidR="00F52D13" w:rsidRPr="00E51437">
        <w:rPr>
          <w:szCs w:val="20"/>
          <w:u w:val="single"/>
        </w:rPr>
        <w:t>;</w:t>
      </w:r>
      <w:r w:rsidR="00E7570C" w:rsidRPr="00E51437">
        <w:rPr>
          <w:szCs w:val="20"/>
          <w:u w:val="single"/>
        </w:rPr>
        <w:t xml:space="preserve"> the electric vehicle connectors</w:t>
      </w:r>
      <w:r w:rsidR="00F52D13" w:rsidRPr="00E51437">
        <w:rPr>
          <w:szCs w:val="20"/>
          <w:u w:val="single"/>
        </w:rPr>
        <w:t>;</w:t>
      </w:r>
      <w:r w:rsidR="00E7570C" w:rsidRPr="00E51437">
        <w:rPr>
          <w:szCs w:val="20"/>
          <w:u w:val="single"/>
        </w:rPr>
        <w:t xml:space="preserve"> attachment plugs</w:t>
      </w:r>
      <w:r w:rsidR="00F52D13" w:rsidRPr="00E51437">
        <w:rPr>
          <w:szCs w:val="20"/>
          <w:u w:val="single"/>
        </w:rPr>
        <w:t>;</w:t>
      </w:r>
      <w:r w:rsidR="00E7570C" w:rsidRPr="00E51437">
        <w:rPr>
          <w:szCs w:val="20"/>
          <w:u w:val="single"/>
        </w:rPr>
        <w:t xml:space="preserve"> and all other fittings, devices, power outlets, or apparatuses installed specifically for the purpose of </w:t>
      </w:r>
      <w:r w:rsidR="005A0A33" w:rsidRPr="00E51437">
        <w:rPr>
          <w:szCs w:val="20"/>
          <w:u w:val="single"/>
        </w:rPr>
        <w:t xml:space="preserve">measuring, </w:t>
      </w:r>
      <w:r w:rsidR="00E7570C" w:rsidRPr="00E51437">
        <w:rPr>
          <w:szCs w:val="20"/>
          <w:u w:val="single"/>
        </w:rPr>
        <w:t>delivering</w:t>
      </w:r>
      <w:r w:rsidR="005A0A33" w:rsidRPr="00E51437">
        <w:rPr>
          <w:szCs w:val="20"/>
          <w:u w:val="single"/>
        </w:rPr>
        <w:t>, and computing the price of</w:t>
      </w:r>
      <w:r w:rsidR="00E7570C" w:rsidRPr="00E51437">
        <w:rPr>
          <w:szCs w:val="20"/>
          <w:u w:val="single"/>
        </w:rPr>
        <w:t xml:space="preserve"> </w:t>
      </w:r>
      <w:r w:rsidR="00223908" w:rsidRPr="00E51437">
        <w:rPr>
          <w:szCs w:val="20"/>
          <w:u w:val="single"/>
        </w:rPr>
        <w:t>electrical energy</w:t>
      </w:r>
      <w:r w:rsidR="00C9279F" w:rsidRPr="00E51437">
        <w:rPr>
          <w:szCs w:val="20"/>
          <w:u w:val="single"/>
        </w:rPr>
        <w:t xml:space="preserve"> delivered</w:t>
      </w:r>
      <w:r w:rsidR="00E7570C" w:rsidRPr="00E51437">
        <w:rPr>
          <w:szCs w:val="20"/>
          <w:u w:val="single"/>
        </w:rPr>
        <w:t xml:space="preserve"> to</w:t>
      </w:r>
      <w:r w:rsidR="00C9279F" w:rsidRPr="00E51437">
        <w:rPr>
          <w:szCs w:val="20"/>
          <w:u w:val="single"/>
        </w:rPr>
        <w:t xml:space="preserve"> </w:t>
      </w:r>
      <w:r w:rsidR="00E7570C" w:rsidRPr="00E51437">
        <w:rPr>
          <w:szCs w:val="20"/>
          <w:u w:val="single"/>
        </w:rPr>
        <w:t>the electric vehicle.</w:t>
      </w:r>
    </w:p>
    <w:p w:rsidR="0060444C" w:rsidRPr="00E51437" w:rsidRDefault="0060444C" w:rsidP="00115C59">
      <w:pPr>
        <w:tabs>
          <w:tab w:val="left" w:pos="1620"/>
        </w:tabs>
        <w:ind w:left="720"/>
        <w:rPr>
          <w:b/>
          <w:szCs w:val="20"/>
          <w:u w:val="single"/>
        </w:rPr>
      </w:pPr>
    </w:p>
    <w:p w:rsidR="00115C59" w:rsidRPr="00E51437" w:rsidRDefault="004843D6" w:rsidP="00115C59">
      <w:pPr>
        <w:tabs>
          <w:tab w:val="left" w:pos="1620"/>
        </w:tabs>
        <w:ind w:left="720"/>
        <w:rPr>
          <w:szCs w:val="20"/>
          <w:u w:val="single"/>
        </w:rPr>
      </w:pPr>
      <w:r w:rsidRPr="00E51437">
        <w:rPr>
          <w:b/>
          <w:szCs w:val="20"/>
          <w:u w:val="single"/>
        </w:rPr>
        <w:t>2.XX.1.3</w:t>
      </w:r>
      <w:r w:rsidR="00115C59" w:rsidRPr="00E51437">
        <w:rPr>
          <w:b/>
          <w:szCs w:val="20"/>
          <w:u w:val="single"/>
        </w:rPr>
        <w:t>.</w:t>
      </w:r>
      <w:r w:rsidRPr="00E51437">
        <w:rPr>
          <w:b/>
          <w:szCs w:val="20"/>
          <w:u w:val="single"/>
        </w:rPr>
        <w:t xml:space="preserve">  Fixed </w:t>
      </w:r>
      <w:r w:rsidR="00FF3376" w:rsidRPr="00E51437">
        <w:rPr>
          <w:b/>
          <w:szCs w:val="20"/>
          <w:u w:val="single"/>
        </w:rPr>
        <w:t>service</w:t>
      </w:r>
      <w:r w:rsidR="00BC5A9C" w:rsidRPr="00E51437">
        <w:rPr>
          <w:b/>
          <w:szCs w:val="20"/>
          <w:u w:val="single"/>
        </w:rPr>
        <w:t>.</w:t>
      </w:r>
      <w:r w:rsidR="00BC5A9C" w:rsidRPr="00E51437">
        <w:rPr>
          <w:szCs w:val="20"/>
          <w:u w:val="single"/>
        </w:rPr>
        <w:t xml:space="preserve"> – Service that continuously provides the </w:t>
      </w:r>
      <w:r w:rsidR="00410538" w:rsidRPr="00E51437">
        <w:rPr>
          <w:szCs w:val="20"/>
          <w:u w:val="single"/>
        </w:rPr>
        <w:t>nominal</w:t>
      </w:r>
      <w:r w:rsidR="00BC5A9C" w:rsidRPr="00E51437">
        <w:rPr>
          <w:szCs w:val="20"/>
          <w:u w:val="single"/>
        </w:rPr>
        <w:t xml:space="preserve"> </w:t>
      </w:r>
      <w:r w:rsidR="00FF3376" w:rsidRPr="00E51437">
        <w:rPr>
          <w:szCs w:val="20"/>
          <w:u w:val="single"/>
        </w:rPr>
        <w:t>power</w:t>
      </w:r>
      <w:r w:rsidR="00BC5A9C" w:rsidRPr="00E51437">
        <w:rPr>
          <w:szCs w:val="20"/>
          <w:u w:val="single"/>
        </w:rPr>
        <w:t xml:space="preserve"> </w:t>
      </w:r>
      <w:r w:rsidR="00550C6A" w:rsidRPr="00E51437">
        <w:rPr>
          <w:szCs w:val="20"/>
          <w:u w:val="single"/>
        </w:rPr>
        <w:t xml:space="preserve">that is </w:t>
      </w:r>
      <w:r w:rsidR="00BC5A9C" w:rsidRPr="00E51437">
        <w:rPr>
          <w:szCs w:val="20"/>
          <w:u w:val="single"/>
        </w:rPr>
        <w:t xml:space="preserve">possible with the equipment </w:t>
      </w:r>
      <w:r w:rsidR="00550C6A" w:rsidRPr="00E51437">
        <w:rPr>
          <w:szCs w:val="20"/>
          <w:u w:val="single"/>
        </w:rPr>
        <w:t>as it is</w:t>
      </w:r>
      <w:r w:rsidR="00BC5A9C" w:rsidRPr="00E51437">
        <w:rPr>
          <w:szCs w:val="20"/>
          <w:u w:val="single"/>
        </w:rPr>
        <w:t xml:space="preserve"> ins</w:t>
      </w:r>
      <w:r w:rsidR="00550C6A" w:rsidRPr="00E51437">
        <w:rPr>
          <w:szCs w:val="20"/>
          <w:u w:val="single"/>
        </w:rPr>
        <w:t>talled</w:t>
      </w:r>
      <w:r w:rsidR="00BC5A9C" w:rsidRPr="00E51437">
        <w:rPr>
          <w:szCs w:val="20"/>
          <w:u w:val="single"/>
        </w:rPr>
        <w:t>.</w:t>
      </w:r>
    </w:p>
    <w:p w:rsidR="00BC5A9C" w:rsidRPr="00E51437" w:rsidRDefault="00BC5A9C" w:rsidP="00115C59">
      <w:pPr>
        <w:tabs>
          <w:tab w:val="left" w:pos="1620"/>
        </w:tabs>
        <w:ind w:left="720"/>
        <w:rPr>
          <w:szCs w:val="20"/>
          <w:u w:val="single"/>
        </w:rPr>
      </w:pPr>
    </w:p>
    <w:p w:rsidR="0060444C" w:rsidRPr="00E51437" w:rsidRDefault="00BC5A9C">
      <w:pPr>
        <w:tabs>
          <w:tab w:val="left" w:pos="1620"/>
        </w:tabs>
        <w:ind w:left="720"/>
        <w:rPr>
          <w:szCs w:val="20"/>
          <w:u w:val="single"/>
        </w:rPr>
      </w:pPr>
      <w:r w:rsidRPr="00E51437">
        <w:rPr>
          <w:b/>
          <w:szCs w:val="20"/>
          <w:u w:val="single"/>
        </w:rPr>
        <w:t xml:space="preserve">2.XX.1.4 Variable </w:t>
      </w:r>
      <w:r w:rsidR="00FF3376" w:rsidRPr="00E51437">
        <w:rPr>
          <w:b/>
          <w:szCs w:val="20"/>
          <w:u w:val="single"/>
        </w:rPr>
        <w:t>service</w:t>
      </w:r>
      <w:r w:rsidRPr="00E51437">
        <w:rPr>
          <w:b/>
          <w:szCs w:val="20"/>
          <w:u w:val="single"/>
        </w:rPr>
        <w:t>.</w:t>
      </w:r>
      <w:r w:rsidRPr="00E51437">
        <w:rPr>
          <w:szCs w:val="20"/>
          <w:u w:val="single"/>
        </w:rPr>
        <w:t xml:space="preserve"> – Service that may be controlled resulting in </w:t>
      </w:r>
      <w:r w:rsidR="00550C6A" w:rsidRPr="00E51437">
        <w:rPr>
          <w:szCs w:val="20"/>
          <w:u w:val="single"/>
        </w:rPr>
        <w:t>periods of reduced</w:t>
      </w:r>
      <w:r w:rsidR="005E0987" w:rsidRPr="00E51437">
        <w:rPr>
          <w:szCs w:val="20"/>
          <w:u w:val="single"/>
        </w:rPr>
        <w:t>,</w:t>
      </w:r>
      <w:r w:rsidRPr="00E51437">
        <w:rPr>
          <w:szCs w:val="20"/>
          <w:u w:val="single"/>
        </w:rPr>
        <w:t xml:space="preserve"> and/or interrupted transfer of </w:t>
      </w:r>
      <w:r w:rsidR="00223908" w:rsidRPr="00E51437">
        <w:rPr>
          <w:szCs w:val="20"/>
          <w:u w:val="single"/>
        </w:rPr>
        <w:t>electrical energy</w:t>
      </w:r>
      <w:r w:rsidRPr="00E51437">
        <w:rPr>
          <w:szCs w:val="20"/>
          <w:u w:val="single"/>
        </w:rPr>
        <w:t>.</w:t>
      </w:r>
    </w:p>
    <w:p w:rsidR="00ED5566" w:rsidRPr="00E51437" w:rsidRDefault="00ED5566">
      <w:pPr>
        <w:tabs>
          <w:tab w:val="left" w:pos="1620"/>
        </w:tabs>
        <w:ind w:left="720"/>
        <w:rPr>
          <w:szCs w:val="20"/>
          <w:u w:val="single"/>
        </w:rPr>
      </w:pPr>
    </w:p>
    <w:p w:rsidR="00ED5566" w:rsidRPr="00E51437" w:rsidRDefault="00ED5566">
      <w:pPr>
        <w:tabs>
          <w:tab w:val="left" w:pos="1620"/>
        </w:tabs>
        <w:ind w:left="720"/>
        <w:rPr>
          <w:szCs w:val="20"/>
          <w:u w:val="single"/>
        </w:rPr>
      </w:pPr>
      <w:r w:rsidRPr="00E51437">
        <w:rPr>
          <w:b/>
          <w:szCs w:val="20"/>
          <w:u w:val="single"/>
        </w:rPr>
        <w:t xml:space="preserve">2.XX.1.5 </w:t>
      </w:r>
      <w:r w:rsidR="00FF3376" w:rsidRPr="00E51437">
        <w:rPr>
          <w:b/>
          <w:szCs w:val="20"/>
          <w:u w:val="single"/>
        </w:rPr>
        <w:t xml:space="preserve"> </w:t>
      </w:r>
      <w:r w:rsidRPr="00E51437">
        <w:rPr>
          <w:b/>
          <w:szCs w:val="20"/>
          <w:u w:val="single"/>
        </w:rPr>
        <w:t xml:space="preserve">Nominal </w:t>
      </w:r>
      <w:r w:rsidR="005F1A83">
        <w:rPr>
          <w:b/>
          <w:szCs w:val="20"/>
          <w:u w:val="single"/>
        </w:rPr>
        <w:t>p</w:t>
      </w:r>
      <w:r w:rsidRPr="00E51437">
        <w:rPr>
          <w:b/>
          <w:szCs w:val="20"/>
          <w:u w:val="single"/>
        </w:rPr>
        <w:t>ower.</w:t>
      </w:r>
      <w:r w:rsidRPr="00E51437">
        <w:rPr>
          <w:szCs w:val="20"/>
          <w:u w:val="single"/>
        </w:rPr>
        <w:t xml:space="preserve">  – Refers to the “intended” or “named” or “stated” as opposed to “actual” rate of transfer of </w:t>
      </w:r>
      <w:r w:rsidR="00223908" w:rsidRPr="00E51437">
        <w:rPr>
          <w:szCs w:val="20"/>
          <w:u w:val="single"/>
        </w:rPr>
        <w:t>electrical energy</w:t>
      </w:r>
      <w:r w:rsidRPr="00E51437">
        <w:rPr>
          <w:szCs w:val="20"/>
          <w:u w:val="single"/>
        </w:rPr>
        <w:t xml:space="preserve"> (i.e., power).</w:t>
      </w:r>
    </w:p>
    <w:p w:rsidR="00115C59" w:rsidRPr="00E51437" w:rsidRDefault="00115C59" w:rsidP="00115C59">
      <w:pPr>
        <w:tabs>
          <w:tab w:val="left" w:pos="1620"/>
        </w:tabs>
        <w:ind w:left="720"/>
        <w:rPr>
          <w:b/>
          <w:u w:val="single"/>
        </w:rPr>
      </w:pPr>
    </w:p>
    <w:p w:rsidR="005A6C37" w:rsidRPr="00E51437" w:rsidRDefault="005A6C37" w:rsidP="003B11CD">
      <w:pPr>
        <w:tabs>
          <w:tab w:val="left" w:pos="1080"/>
        </w:tabs>
        <w:ind w:left="360"/>
        <w:rPr>
          <w:u w:val="single"/>
        </w:rPr>
      </w:pPr>
      <w:bookmarkStart w:id="20" w:name="_Toc324853636"/>
      <w:r w:rsidRPr="00E51437">
        <w:rPr>
          <w:rStyle w:val="UniformLevel3Char"/>
          <w:b/>
          <w:sz w:val="20"/>
          <w:u w:val="single"/>
          <w:lang w:val="fr-FR"/>
        </w:rPr>
        <w:t>2.</w:t>
      </w:r>
      <w:r w:rsidR="00006DCC" w:rsidRPr="00E51437">
        <w:rPr>
          <w:rStyle w:val="UniformLevel3Char"/>
          <w:b/>
          <w:sz w:val="20"/>
          <w:u w:val="single"/>
          <w:lang w:val="fr-FR"/>
        </w:rPr>
        <w:t>XX</w:t>
      </w:r>
      <w:r w:rsidRPr="00E51437">
        <w:rPr>
          <w:rStyle w:val="UniformLevel3Char"/>
          <w:b/>
          <w:sz w:val="20"/>
          <w:u w:val="single"/>
          <w:lang w:val="fr-FR"/>
        </w:rPr>
        <w:t>.2.</w:t>
      </w:r>
      <w:r w:rsidR="00CD5C10" w:rsidRPr="00E51437">
        <w:rPr>
          <w:rStyle w:val="UniformLevel3Char"/>
          <w:b/>
          <w:sz w:val="20"/>
          <w:u w:val="single"/>
          <w:lang w:val="fr-FR"/>
        </w:rPr>
        <w:tab/>
      </w:r>
      <w:r w:rsidRPr="00E51437">
        <w:rPr>
          <w:rStyle w:val="UniformLevel3Char"/>
          <w:b/>
          <w:sz w:val="20"/>
          <w:u w:val="single"/>
        </w:rPr>
        <w:t>Method</w:t>
      </w:r>
      <w:r w:rsidRPr="00E51437">
        <w:rPr>
          <w:rStyle w:val="UniformLevel3Char"/>
          <w:b/>
          <w:sz w:val="20"/>
          <w:u w:val="single"/>
          <w:lang w:val="fr-FR"/>
        </w:rPr>
        <w:t xml:space="preserve"> of </w:t>
      </w:r>
      <w:r w:rsidRPr="00E51437">
        <w:rPr>
          <w:rStyle w:val="UniformLevel3Char"/>
          <w:b/>
          <w:sz w:val="20"/>
          <w:u w:val="single"/>
        </w:rPr>
        <w:t>Retail</w:t>
      </w:r>
      <w:r w:rsidRPr="00E51437">
        <w:rPr>
          <w:rStyle w:val="UniformLevel3Char"/>
          <w:b/>
          <w:sz w:val="20"/>
          <w:u w:val="single"/>
          <w:lang w:val="fr-FR"/>
        </w:rPr>
        <w:t xml:space="preserve"> Sale</w:t>
      </w:r>
      <w:bookmarkEnd w:id="20"/>
      <w:r w:rsidR="00C95209" w:rsidRPr="00E51437">
        <w:rPr>
          <w:rStyle w:val="UniformLevel3Char"/>
          <w:sz w:val="20"/>
          <w:u w:val="single"/>
          <w:lang w:val="fr-FR"/>
        </w:rPr>
        <w:fldChar w:fldCharType="begin"/>
      </w:r>
      <w:r w:rsidRPr="00E51437">
        <w:rPr>
          <w:rStyle w:val="UniformLevel3Char"/>
          <w:sz w:val="20"/>
          <w:u w:val="single"/>
          <w:lang w:val="fr-FR"/>
        </w:rPr>
        <w:instrText>xe "</w:instrText>
      </w:r>
      <w:r w:rsidR="002F7F29" w:rsidRPr="00E51437">
        <w:rPr>
          <w:rStyle w:val="UniformLevel3Char"/>
          <w:sz w:val="20"/>
          <w:u w:val="single"/>
          <w:lang w:val="fr-FR"/>
        </w:rPr>
        <w:instrText>Engine fuels</w:instrText>
      </w:r>
      <w:r w:rsidR="00F043BE" w:rsidRPr="00E51437">
        <w:rPr>
          <w:rStyle w:val="UniformLevel3Char"/>
          <w:sz w:val="20"/>
          <w:u w:val="single"/>
          <w:lang w:val="fr-FR"/>
        </w:rPr>
        <w:instrText>:</w:instrText>
      </w:r>
      <w:r w:rsidR="00050DC0" w:rsidRPr="00E51437">
        <w:rPr>
          <w:rStyle w:val="UniformLevel3Char"/>
          <w:sz w:val="20"/>
          <w:u w:val="single"/>
          <w:lang w:val="fr-FR"/>
        </w:rPr>
        <w:instrText>Hydrogen:Dispenser l</w:instrText>
      </w:r>
      <w:r w:rsidR="00F043BE" w:rsidRPr="00E51437">
        <w:rPr>
          <w:rStyle w:val="UniformLevel3Char"/>
          <w:sz w:val="20"/>
          <w:u w:val="single"/>
          <w:lang w:val="fr-FR"/>
        </w:rPr>
        <w:instrText>abeling</w:instrText>
      </w:r>
      <w:r w:rsidRPr="00E51437">
        <w:rPr>
          <w:rStyle w:val="UniformLevel3Char"/>
          <w:sz w:val="20"/>
          <w:u w:val="single"/>
          <w:lang w:val="fr-FR"/>
        </w:rPr>
        <w:instrText>"</w:instrText>
      </w:r>
      <w:r w:rsidR="00C95209" w:rsidRPr="00E51437">
        <w:rPr>
          <w:rStyle w:val="UniformLevel3Char"/>
          <w:sz w:val="20"/>
          <w:u w:val="single"/>
          <w:lang w:val="fr-FR"/>
        </w:rPr>
        <w:fldChar w:fldCharType="end"/>
      </w:r>
      <w:r w:rsidR="00C95209" w:rsidRPr="00E51437">
        <w:rPr>
          <w:rStyle w:val="UniformLevel3Char"/>
          <w:sz w:val="20"/>
          <w:u w:val="single"/>
          <w:lang w:val="fr-FR"/>
        </w:rPr>
        <w:fldChar w:fldCharType="begin"/>
      </w:r>
      <w:r w:rsidR="002F7F29" w:rsidRPr="00E51437">
        <w:rPr>
          <w:u w:val="single"/>
        </w:rPr>
        <w:instrText xml:space="preserve"> XE "Method of sale:Hydrogen fuel" </w:instrText>
      </w:r>
      <w:r w:rsidR="00C95209" w:rsidRPr="00E51437">
        <w:rPr>
          <w:rStyle w:val="UniformLevel3Char"/>
          <w:sz w:val="20"/>
          <w:u w:val="single"/>
          <w:lang w:val="fr-FR"/>
        </w:rPr>
        <w:fldChar w:fldCharType="end"/>
      </w:r>
      <w:r w:rsidR="00C95209" w:rsidRPr="00E51437">
        <w:rPr>
          <w:rStyle w:val="UniformLevel3Char"/>
          <w:sz w:val="20"/>
          <w:u w:val="single"/>
          <w:lang w:val="fr-FR"/>
        </w:rPr>
        <w:fldChar w:fldCharType="begin"/>
      </w:r>
      <w:r w:rsidR="002F7F29" w:rsidRPr="00E51437">
        <w:rPr>
          <w:u w:val="single"/>
        </w:rPr>
        <w:instrText xml:space="preserve"> XE "Engine fuel</w:instrText>
      </w:r>
      <w:r w:rsidR="008D2C47" w:rsidRPr="00E51437">
        <w:rPr>
          <w:u w:val="single"/>
        </w:rPr>
        <w:instrText>s</w:instrText>
      </w:r>
      <w:r w:rsidR="002F7F29" w:rsidRPr="00E51437">
        <w:rPr>
          <w:u w:val="single"/>
        </w:rPr>
        <w:instrText xml:space="preserve">:Hydrogen:Method of sale" </w:instrText>
      </w:r>
      <w:r w:rsidR="00C95209" w:rsidRPr="00E51437">
        <w:rPr>
          <w:rStyle w:val="UniformLevel3Char"/>
          <w:sz w:val="20"/>
          <w:u w:val="single"/>
          <w:lang w:val="fr-FR"/>
        </w:rPr>
        <w:fldChar w:fldCharType="end"/>
      </w:r>
      <w:r w:rsidRPr="00E51437">
        <w:rPr>
          <w:rStyle w:val="UniformLevel3Char"/>
          <w:b/>
          <w:sz w:val="20"/>
          <w:u w:val="single"/>
          <w:lang w:val="fr-FR"/>
        </w:rPr>
        <w:t>.</w:t>
      </w:r>
      <w:r w:rsidRPr="00E51437">
        <w:rPr>
          <w:u w:val="single"/>
        </w:rPr>
        <w:t xml:space="preserve"> – All </w:t>
      </w:r>
      <w:r w:rsidR="00914CF3" w:rsidRPr="00E51437">
        <w:rPr>
          <w:u w:val="single"/>
        </w:rPr>
        <w:t xml:space="preserve">electrical energy </w:t>
      </w:r>
      <w:r w:rsidRPr="00E51437">
        <w:rPr>
          <w:u w:val="single"/>
        </w:rPr>
        <w:t xml:space="preserve">kept, offered, or exposed for sale and sold at retail </w:t>
      </w:r>
      <w:r w:rsidR="00647F65" w:rsidRPr="00E51437">
        <w:rPr>
          <w:u w:val="single"/>
        </w:rPr>
        <w:t xml:space="preserve">as a vehicle fuel </w:t>
      </w:r>
      <w:r w:rsidRPr="00E51437">
        <w:rPr>
          <w:u w:val="single"/>
        </w:rPr>
        <w:t xml:space="preserve">shall be in </w:t>
      </w:r>
      <w:r w:rsidR="004A2E29" w:rsidRPr="00E51437">
        <w:rPr>
          <w:u w:val="single"/>
        </w:rPr>
        <w:t xml:space="preserve">units in terms of the </w:t>
      </w:r>
      <w:r w:rsidR="000700DA" w:rsidRPr="00E51437">
        <w:rPr>
          <w:u w:val="single"/>
        </w:rPr>
        <w:t>mega</w:t>
      </w:r>
      <w:r w:rsidR="00D27BA3" w:rsidRPr="00E51437">
        <w:rPr>
          <w:u w:val="single"/>
        </w:rPr>
        <w:t>joule</w:t>
      </w:r>
      <w:r w:rsidR="000700DA" w:rsidRPr="00E51437">
        <w:rPr>
          <w:u w:val="single"/>
        </w:rPr>
        <w:t xml:space="preserve"> (MJ)</w:t>
      </w:r>
      <w:r w:rsidR="00D27BA3" w:rsidRPr="00E51437">
        <w:rPr>
          <w:u w:val="single"/>
        </w:rPr>
        <w:t xml:space="preserve"> or </w:t>
      </w:r>
      <w:r w:rsidR="00D520C6" w:rsidRPr="00E51437">
        <w:rPr>
          <w:u w:val="single"/>
        </w:rPr>
        <w:t>kilowatt-hour (kW</w:t>
      </w:r>
      <w:r w:rsidR="00860CA3">
        <w:rPr>
          <w:u w:val="single"/>
        </w:rPr>
        <w:t>·</w:t>
      </w:r>
      <w:r w:rsidR="00D520C6" w:rsidRPr="00E51437">
        <w:rPr>
          <w:u w:val="single"/>
        </w:rPr>
        <w:t>h)</w:t>
      </w:r>
      <w:r w:rsidR="004A2E29" w:rsidRPr="00E51437">
        <w:rPr>
          <w:u w:val="single"/>
        </w:rPr>
        <w:t>.</w:t>
      </w:r>
      <w:r w:rsidR="00C769A7" w:rsidRPr="00E51437">
        <w:rPr>
          <w:u w:val="single"/>
        </w:rPr>
        <w:t xml:space="preserve"> </w:t>
      </w:r>
      <w:r w:rsidR="00550C6A" w:rsidRPr="00E51437">
        <w:rPr>
          <w:u w:val="single"/>
        </w:rPr>
        <w:t xml:space="preserve"> </w:t>
      </w:r>
      <w:r w:rsidR="008F7B4B" w:rsidRPr="00E51437">
        <w:rPr>
          <w:u w:val="single"/>
        </w:rPr>
        <w:t xml:space="preserve">In addition to the fee assessed for the quantity of </w:t>
      </w:r>
      <w:r w:rsidR="00223908" w:rsidRPr="00E51437">
        <w:rPr>
          <w:u w:val="single"/>
        </w:rPr>
        <w:t>electrical energy</w:t>
      </w:r>
      <w:r w:rsidR="008F7B4B" w:rsidRPr="00E51437">
        <w:rPr>
          <w:u w:val="single"/>
        </w:rPr>
        <w:t xml:space="preserve"> sold, fees may be assessed for other services; such fees may be based on time measurement and/or a fixed</w:t>
      </w:r>
      <w:r w:rsidR="001E2A03" w:rsidRPr="00E51437">
        <w:rPr>
          <w:u w:val="single"/>
        </w:rPr>
        <w:t xml:space="preserve"> fee</w:t>
      </w:r>
      <w:r w:rsidR="001D3BC8" w:rsidRPr="00E51437">
        <w:rPr>
          <w:u w:val="single"/>
        </w:rPr>
        <w:t>.</w:t>
      </w:r>
    </w:p>
    <w:p w:rsidR="005A6C37" w:rsidRPr="00E51437" w:rsidRDefault="005A6C37" w:rsidP="00CA4603">
      <w:pPr>
        <w:pStyle w:val="UniformLevel3"/>
        <w:tabs>
          <w:tab w:val="left" w:pos="1080"/>
        </w:tabs>
        <w:spacing w:after="0"/>
        <w:rPr>
          <w:b/>
          <w:iCs w:val="0"/>
          <w:u w:val="single"/>
          <w:lang w:val="fr-FR"/>
        </w:rPr>
      </w:pPr>
      <w:bookmarkStart w:id="21" w:name="_Toc324853637"/>
      <w:r w:rsidRPr="00E51437">
        <w:rPr>
          <w:b/>
          <w:iCs w:val="0"/>
          <w:u w:val="single"/>
          <w:lang w:val="fr-FR"/>
        </w:rPr>
        <w:t>2.</w:t>
      </w:r>
      <w:r w:rsidR="00006DCC" w:rsidRPr="00E51437">
        <w:rPr>
          <w:b/>
          <w:iCs w:val="0"/>
          <w:u w:val="single"/>
          <w:lang w:val="fr-FR"/>
        </w:rPr>
        <w:t>XX</w:t>
      </w:r>
      <w:r w:rsidR="00CD5C10" w:rsidRPr="00E51437">
        <w:rPr>
          <w:b/>
          <w:iCs w:val="0"/>
          <w:u w:val="single"/>
          <w:lang w:val="fr-FR"/>
        </w:rPr>
        <w:t>.3.</w:t>
      </w:r>
      <w:r w:rsidR="00CD5C10" w:rsidRPr="00E51437">
        <w:rPr>
          <w:b/>
          <w:iCs w:val="0"/>
          <w:u w:val="single"/>
          <w:lang w:val="fr-FR"/>
        </w:rPr>
        <w:tab/>
      </w:r>
      <w:r w:rsidRPr="00E51437">
        <w:rPr>
          <w:b/>
          <w:iCs w:val="0"/>
          <w:u w:val="single"/>
        </w:rPr>
        <w:t>Retail</w:t>
      </w:r>
      <w:r w:rsidRPr="00E51437">
        <w:rPr>
          <w:b/>
          <w:iCs w:val="0"/>
          <w:u w:val="single"/>
          <w:lang w:val="fr-FR"/>
        </w:rPr>
        <w:t xml:space="preserve"> </w:t>
      </w:r>
      <w:r w:rsidR="006D5A73" w:rsidRPr="00E51437">
        <w:rPr>
          <w:b/>
          <w:iCs w:val="0"/>
          <w:u w:val="single"/>
        </w:rPr>
        <w:t xml:space="preserve">Electric Vehicle Supply Equipment (EVSE) </w:t>
      </w:r>
      <w:r w:rsidRPr="00E51437">
        <w:rPr>
          <w:b/>
          <w:iCs w:val="0"/>
          <w:u w:val="single"/>
        </w:rPr>
        <w:t>Labeling</w:t>
      </w:r>
      <w:r w:rsidR="00C95209" w:rsidRPr="00E51437">
        <w:rPr>
          <w:u w:val="single"/>
        </w:rPr>
        <w:fldChar w:fldCharType="begin"/>
      </w:r>
      <w:r w:rsidRPr="00E51437">
        <w:rPr>
          <w:u w:val="single"/>
        </w:rPr>
        <w:instrText>xe "</w:instrText>
      </w:r>
      <w:r w:rsidR="002F7F29" w:rsidRPr="00E51437">
        <w:rPr>
          <w:u w:val="single"/>
        </w:rPr>
        <w:instrText>Engine fuels</w:instrText>
      </w:r>
      <w:r w:rsidR="00050DC0" w:rsidRPr="00E51437">
        <w:rPr>
          <w:u w:val="single"/>
        </w:rPr>
        <w:instrText>:</w:instrText>
      </w:r>
      <w:r w:rsidRPr="00E51437">
        <w:rPr>
          <w:bCs w:val="0"/>
          <w:u w:val="single"/>
        </w:rPr>
        <w:instrText xml:space="preserve">Hydrogen:Retail </w:instrText>
      </w:r>
      <w:r w:rsidR="00050DC0" w:rsidRPr="00E51437">
        <w:rPr>
          <w:bCs w:val="0"/>
          <w:u w:val="single"/>
        </w:rPr>
        <w:instrText>s</w:instrText>
      </w:r>
      <w:r w:rsidRPr="00E51437">
        <w:rPr>
          <w:bCs w:val="0"/>
          <w:u w:val="single"/>
        </w:rPr>
        <w:instrText>ale</w:instrText>
      </w:r>
      <w:r w:rsidRPr="00E51437">
        <w:rPr>
          <w:u w:val="single"/>
        </w:rPr>
        <w:instrText>"</w:instrText>
      </w:r>
      <w:r w:rsidR="00C95209" w:rsidRPr="00E51437">
        <w:rPr>
          <w:u w:val="single"/>
        </w:rPr>
        <w:fldChar w:fldCharType="end"/>
      </w:r>
      <w:r w:rsidR="00C95209" w:rsidRPr="00E51437">
        <w:rPr>
          <w:u w:val="single"/>
        </w:rPr>
        <w:fldChar w:fldCharType="begin"/>
      </w:r>
      <w:r w:rsidRPr="00E51437">
        <w:rPr>
          <w:u w:val="single"/>
        </w:rPr>
        <w:instrText>xe "</w:instrText>
      </w:r>
      <w:r w:rsidR="002F7F29" w:rsidRPr="00E51437">
        <w:rPr>
          <w:u w:val="single"/>
        </w:rPr>
        <w:instrText>Engine fuels</w:instrText>
      </w:r>
      <w:r w:rsidR="00050DC0" w:rsidRPr="00E51437">
        <w:rPr>
          <w:u w:val="single"/>
        </w:rPr>
        <w:instrText>:</w:instrText>
      </w:r>
      <w:r w:rsidRPr="00E51437">
        <w:rPr>
          <w:bCs w:val="0"/>
          <w:u w:val="single"/>
        </w:rPr>
        <w:instrText xml:space="preserve">Hydrogen:Dispenser </w:instrText>
      </w:r>
      <w:r w:rsidR="00050DC0" w:rsidRPr="00E51437">
        <w:rPr>
          <w:bCs w:val="0"/>
          <w:u w:val="single"/>
        </w:rPr>
        <w:instrText>l</w:instrText>
      </w:r>
      <w:r w:rsidRPr="00E51437">
        <w:rPr>
          <w:bCs w:val="0"/>
          <w:u w:val="single"/>
        </w:rPr>
        <w:instrText>abeling</w:instrText>
      </w:r>
      <w:r w:rsidRPr="00E51437">
        <w:rPr>
          <w:u w:val="single"/>
        </w:rPr>
        <w:instrText>"</w:instrText>
      </w:r>
      <w:r w:rsidR="00C95209" w:rsidRPr="00E51437">
        <w:rPr>
          <w:u w:val="single"/>
        </w:rPr>
        <w:fldChar w:fldCharType="end"/>
      </w:r>
      <w:r w:rsidRPr="00E51437">
        <w:rPr>
          <w:b/>
          <w:iCs w:val="0"/>
          <w:u w:val="single"/>
          <w:lang w:val="fr-FR"/>
        </w:rPr>
        <w:t>.</w:t>
      </w:r>
      <w:bookmarkEnd w:id="21"/>
    </w:p>
    <w:p w:rsidR="005A6C37" w:rsidRPr="00E51437" w:rsidRDefault="005A6C37" w:rsidP="002B1B86">
      <w:pPr>
        <w:keepNext/>
        <w:ind w:left="720"/>
        <w:rPr>
          <w:u w:val="single"/>
          <w:lang w:val="fr-FR"/>
        </w:rPr>
      </w:pPr>
    </w:p>
    <w:p w:rsidR="00F5563C" w:rsidRPr="00E51437" w:rsidRDefault="005A6C37" w:rsidP="00BF5079">
      <w:pPr>
        <w:numPr>
          <w:ilvl w:val="0"/>
          <w:numId w:val="114"/>
        </w:numPr>
        <w:ind w:left="1080"/>
        <w:rPr>
          <w:u w:val="single"/>
        </w:rPr>
      </w:pPr>
      <w:r w:rsidRPr="00E51437">
        <w:rPr>
          <w:u w:val="single"/>
        </w:rPr>
        <w:t xml:space="preserve">A computing </w:t>
      </w:r>
      <w:r w:rsidR="006D5A73" w:rsidRPr="00E51437">
        <w:rPr>
          <w:u w:val="single"/>
        </w:rPr>
        <w:t>EVSE</w:t>
      </w:r>
      <w:r w:rsidRPr="00E51437">
        <w:rPr>
          <w:u w:val="single"/>
        </w:rPr>
        <w:t xml:space="preserve"> </w:t>
      </w:r>
      <w:r w:rsidR="00BF5079" w:rsidRPr="00E51437">
        <w:rPr>
          <w:u w:val="single"/>
        </w:rPr>
        <w:t>shall</w:t>
      </w:r>
      <w:r w:rsidRPr="00E51437">
        <w:rPr>
          <w:u w:val="single"/>
        </w:rPr>
        <w:t xml:space="preserve"> display the unit price in whole cents </w:t>
      </w:r>
      <w:r w:rsidR="00C21840" w:rsidRPr="00E51437">
        <w:rPr>
          <w:u w:val="single"/>
        </w:rPr>
        <w:t xml:space="preserve">(e.g., $0.12) </w:t>
      </w:r>
      <w:r w:rsidR="00ED1789" w:rsidRPr="00E51437">
        <w:rPr>
          <w:u w:val="single"/>
        </w:rPr>
        <w:t xml:space="preserve">or tenths of one cent </w:t>
      </w:r>
      <w:r w:rsidR="00135307" w:rsidRPr="00E51437">
        <w:rPr>
          <w:u w:val="single"/>
        </w:rPr>
        <w:t>(e.g., </w:t>
      </w:r>
      <w:r w:rsidR="00C21840" w:rsidRPr="00E51437">
        <w:rPr>
          <w:u w:val="single"/>
        </w:rPr>
        <w:t xml:space="preserve">$0.119) </w:t>
      </w:r>
      <w:r w:rsidRPr="00E51437">
        <w:rPr>
          <w:u w:val="single"/>
        </w:rPr>
        <w:t xml:space="preserve">on the basis of price per </w:t>
      </w:r>
      <w:r w:rsidR="000700DA" w:rsidRPr="00E51437">
        <w:rPr>
          <w:u w:val="single"/>
        </w:rPr>
        <w:t>mega</w:t>
      </w:r>
      <w:r w:rsidR="00D27BA3" w:rsidRPr="00E51437">
        <w:rPr>
          <w:u w:val="single"/>
        </w:rPr>
        <w:t>joule</w:t>
      </w:r>
      <w:r w:rsidR="000700DA" w:rsidRPr="00E51437">
        <w:rPr>
          <w:u w:val="single"/>
        </w:rPr>
        <w:t xml:space="preserve"> (MJ)</w:t>
      </w:r>
      <w:r w:rsidR="00D27BA3" w:rsidRPr="00E51437">
        <w:rPr>
          <w:u w:val="single"/>
        </w:rPr>
        <w:t xml:space="preserve"> or </w:t>
      </w:r>
      <w:r w:rsidR="00D520C6" w:rsidRPr="00E51437">
        <w:rPr>
          <w:u w:val="single"/>
        </w:rPr>
        <w:t>kilowatt</w:t>
      </w:r>
      <w:r w:rsidR="00D520C6" w:rsidRPr="00E51437">
        <w:rPr>
          <w:u w:val="single"/>
        </w:rPr>
        <w:noBreakHyphen/>
        <w:t>hour (kW</w:t>
      </w:r>
      <w:r w:rsidR="00860CA3">
        <w:rPr>
          <w:u w:val="single"/>
        </w:rPr>
        <w:t>·</w:t>
      </w:r>
      <w:r w:rsidR="00D520C6" w:rsidRPr="00E51437">
        <w:rPr>
          <w:u w:val="single"/>
        </w:rPr>
        <w:t>h)</w:t>
      </w:r>
      <w:r w:rsidR="00F5563C" w:rsidRPr="00E51437">
        <w:rPr>
          <w:u w:val="single"/>
        </w:rPr>
        <w:t>.  In cases where the</w:t>
      </w:r>
      <w:r w:rsidR="00D22D90" w:rsidRPr="00E51437">
        <w:rPr>
          <w:u w:val="single"/>
        </w:rPr>
        <w:t xml:space="preserve"> </w:t>
      </w:r>
      <w:r w:rsidR="00223908" w:rsidRPr="00E51437">
        <w:rPr>
          <w:u w:val="single"/>
        </w:rPr>
        <w:t>electrical energy</w:t>
      </w:r>
      <w:r w:rsidR="00D22D90" w:rsidRPr="00E51437">
        <w:rPr>
          <w:u w:val="single"/>
        </w:rPr>
        <w:t xml:space="preserve"> is unlimited or free of charge</w:t>
      </w:r>
      <w:r w:rsidR="00F5563C" w:rsidRPr="00E51437">
        <w:rPr>
          <w:u w:val="single"/>
        </w:rPr>
        <w:t xml:space="preserve">, this fact </w:t>
      </w:r>
      <w:r w:rsidR="00BF5079" w:rsidRPr="00E51437">
        <w:rPr>
          <w:u w:val="single"/>
        </w:rPr>
        <w:t>shall</w:t>
      </w:r>
      <w:r w:rsidR="00F5563C" w:rsidRPr="00E51437">
        <w:rPr>
          <w:u w:val="single"/>
        </w:rPr>
        <w:t xml:space="preserve"> be clearly indicated in place of the unit price</w:t>
      </w:r>
      <w:r w:rsidRPr="00E51437">
        <w:rPr>
          <w:u w:val="single"/>
        </w:rPr>
        <w:t>.</w:t>
      </w:r>
    </w:p>
    <w:p w:rsidR="0068109D" w:rsidRPr="00E51437" w:rsidRDefault="0068109D" w:rsidP="00BF5079">
      <w:pPr>
        <w:pStyle w:val="ListParagraph"/>
        <w:rPr>
          <w:u w:val="single"/>
        </w:rPr>
      </w:pPr>
    </w:p>
    <w:p w:rsidR="004843D6" w:rsidRPr="00E51437" w:rsidRDefault="00DD44A8" w:rsidP="00727EC3">
      <w:pPr>
        <w:numPr>
          <w:ilvl w:val="0"/>
          <w:numId w:val="114"/>
        </w:numPr>
        <w:ind w:left="1080"/>
        <w:rPr>
          <w:u w:val="single"/>
        </w:rPr>
      </w:pPr>
      <w:r w:rsidRPr="00E51437">
        <w:rPr>
          <w:u w:val="single"/>
        </w:rPr>
        <w:t xml:space="preserve">For </w:t>
      </w:r>
      <w:r w:rsidR="004843D6" w:rsidRPr="00E51437">
        <w:rPr>
          <w:u w:val="single"/>
        </w:rPr>
        <w:t>f</w:t>
      </w:r>
      <w:r w:rsidRPr="00E51437">
        <w:rPr>
          <w:u w:val="single"/>
        </w:rPr>
        <w:t>ixed service</w:t>
      </w:r>
      <w:r w:rsidR="004843D6" w:rsidRPr="00E51437">
        <w:rPr>
          <w:u w:val="single"/>
        </w:rPr>
        <w:t xml:space="preserve"> applications, the following information </w:t>
      </w:r>
      <w:r w:rsidR="00BF5079" w:rsidRPr="00E51437">
        <w:rPr>
          <w:u w:val="single"/>
        </w:rPr>
        <w:t>shall</w:t>
      </w:r>
      <w:r w:rsidR="004843D6" w:rsidRPr="00E51437">
        <w:rPr>
          <w:u w:val="single"/>
        </w:rPr>
        <w:t xml:space="preserve"> be conspicuously displayed </w:t>
      </w:r>
      <w:r w:rsidR="00CC5E4D" w:rsidRPr="00E51437">
        <w:rPr>
          <w:u w:val="single"/>
        </w:rPr>
        <w:t xml:space="preserve">or posted </w:t>
      </w:r>
      <w:r w:rsidR="004843D6" w:rsidRPr="00E51437">
        <w:rPr>
          <w:u w:val="single"/>
        </w:rPr>
        <w:t>on the face of the device:</w:t>
      </w:r>
    </w:p>
    <w:p w:rsidR="004843D6" w:rsidRPr="00E51437" w:rsidRDefault="00DD44A8" w:rsidP="00BF5079">
      <w:pPr>
        <w:numPr>
          <w:ilvl w:val="1"/>
          <w:numId w:val="114"/>
        </w:numPr>
        <w:ind w:left="1440"/>
        <w:rPr>
          <w:u w:val="single"/>
        </w:rPr>
      </w:pPr>
      <w:r w:rsidRPr="00E51437">
        <w:rPr>
          <w:u w:val="single"/>
        </w:rPr>
        <w:t>t</w:t>
      </w:r>
      <w:r w:rsidR="005A6C37" w:rsidRPr="00E51437">
        <w:rPr>
          <w:u w:val="single"/>
        </w:rPr>
        <w:t xml:space="preserve">he </w:t>
      </w:r>
      <w:r w:rsidR="003C28E2" w:rsidRPr="00E51437">
        <w:rPr>
          <w:u w:val="single"/>
        </w:rPr>
        <w:t xml:space="preserve">level of EV Service expressed as the </w:t>
      </w:r>
      <w:r w:rsidR="0060444C" w:rsidRPr="00E51437">
        <w:rPr>
          <w:u w:val="single"/>
        </w:rPr>
        <w:t>nominal</w:t>
      </w:r>
      <w:r w:rsidR="00C43E46" w:rsidRPr="00E51437">
        <w:rPr>
          <w:u w:val="single"/>
        </w:rPr>
        <w:t xml:space="preserve"> </w:t>
      </w:r>
      <w:r w:rsidR="00C8059F" w:rsidRPr="00E51437">
        <w:rPr>
          <w:u w:val="single"/>
        </w:rPr>
        <w:t>power</w:t>
      </w:r>
      <w:r w:rsidR="00C43E46" w:rsidRPr="00E51437">
        <w:rPr>
          <w:u w:val="single"/>
        </w:rPr>
        <w:t xml:space="preserve"> transfer (i.e., </w:t>
      </w:r>
      <w:r w:rsidR="0060444C" w:rsidRPr="00E51437">
        <w:rPr>
          <w:u w:val="single"/>
        </w:rPr>
        <w:t>nominal</w:t>
      </w:r>
      <w:r w:rsidR="00C43E46" w:rsidRPr="00E51437">
        <w:rPr>
          <w:u w:val="single"/>
        </w:rPr>
        <w:t xml:space="preserve"> </w:t>
      </w:r>
      <w:r w:rsidR="00C8059F" w:rsidRPr="00E51437">
        <w:rPr>
          <w:u w:val="single"/>
        </w:rPr>
        <w:t xml:space="preserve">rate of </w:t>
      </w:r>
      <w:r w:rsidR="00223908" w:rsidRPr="00E51437">
        <w:rPr>
          <w:u w:val="single"/>
        </w:rPr>
        <w:t>electrical energy</w:t>
      </w:r>
      <w:r w:rsidR="00C8059F" w:rsidRPr="00E51437">
        <w:rPr>
          <w:u w:val="single"/>
        </w:rPr>
        <w:t xml:space="preserve"> transfer</w:t>
      </w:r>
      <w:r w:rsidR="00C43E46" w:rsidRPr="00E51437">
        <w:rPr>
          <w:u w:val="single"/>
        </w:rPr>
        <w:t>)</w:t>
      </w:r>
      <w:r w:rsidR="004843D6" w:rsidRPr="00E51437">
        <w:rPr>
          <w:u w:val="single"/>
        </w:rPr>
        <w:t>,</w:t>
      </w:r>
      <w:r w:rsidR="00C43E46" w:rsidRPr="00E51437">
        <w:rPr>
          <w:u w:val="single"/>
        </w:rPr>
        <w:t xml:space="preserve"> and</w:t>
      </w:r>
    </w:p>
    <w:p w:rsidR="00727EC3" w:rsidRPr="00E51437" w:rsidRDefault="00B82DEC" w:rsidP="00BF5079">
      <w:pPr>
        <w:numPr>
          <w:ilvl w:val="1"/>
          <w:numId w:val="114"/>
        </w:numPr>
        <w:ind w:left="1440"/>
        <w:rPr>
          <w:u w:val="single"/>
        </w:rPr>
      </w:pPr>
      <w:r>
        <w:rPr>
          <w:u w:val="single"/>
        </w:rPr>
        <w:t xml:space="preserve">the </w:t>
      </w:r>
      <w:r w:rsidR="00C43E46" w:rsidRPr="00E51437">
        <w:rPr>
          <w:u w:val="single"/>
        </w:rPr>
        <w:t xml:space="preserve">type of </w:t>
      </w:r>
      <w:r w:rsidRPr="00B82DEC">
        <w:rPr>
          <w:u w:val="single"/>
        </w:rPr>
        <w:t xml:space="preserve">electrical energy transfer </w:t>
      </w:r>
      <w:r w:rsidR="005A6C37" w:rsidRPr="00E51437">
        <w:rPr>
          <w:u w:val="single"/>
        </w:rPr>
        <w:t>(</w:t>
      </w:r>
      <w:r w:rsidR="004843D6" w:rsidRPr="00E51437">
        <w:rPr>
          <w:u w:val="single"/>
        </w:rPr>
        <w:t xml:space="preserve">e.g., </w:t>
      </w:r>
      <w:r w:rsidR="00C43E46" w:rsidRPr="00E51437">
        <w:rPr>
          <w:u w:val="single"/>
        </w:rPr>
        <w:t xml:space="preserve">AC, </w:t>
      </w:r>
      <w:r w:rsidR="004843D6" w:rsidRPr="00E51437">
        <w:rPr>
          <w:u w:val="single"/>
        </w:rPr>
        <w:t>DC, wireless</w:t>
      </w:r>
      <w:r w:rsidR="002B1DC4" w:rsidRPr="00E51437">
        <w:rPr>
          <w:u w:val="single"/>
        </w:rPr>
        <w:t xml:space="preserve">, </w:t>
      </w:r>
      <w:r w:rsidR="00C43E46" w:rsidRPr="00E51437">
        <w:rPr>
          <w:u w:val="single"/>
        </w:rPr>
        <w:t>etc.</w:t>
      </w:r>
      <w:r w:rsidR="005A6C37" w:rsidRPr="00E51437">
        <w:rPr>
          <w:u w:val="single"/>
        </w:rPr>
        <w:t>).</w:t>
      </w:r>
    </w:p>
    <w:p w:rsidR="00DD44A8" w:rsidRPr="00E51437" w:rsidRDefault="00DD44A8" w:rsidP="00BF5079">
      <w:pPr>
        <w:pStyle w:val="ListParagraph"/>
        <w:rPr>
          <w:u w:val="single"/>
        </w:rPr>
      </w:pPr>
    </w:p>
    <w:p w:rsidR="00DD44A8" w:rsidRPr="00E51437" w:rsidRDefault="00DD44A8" w:rsidP="00BF5079">
      <w:pPr>
        <w:numPr>
          <w:ilvl w:val="0"/>
          <w:numId w:val="114"/>
        </w:numPr>
        <w:ind w:left="1080"/>
        <w:rPr>
          <w:u w:val="single"/>
        </w:rPr>
      </w:pPr>
      <w:r w:rsidRPr="00E51437">
        <w:rPr>
          <w:u w:val="single"/>
        </w:rPr>
        <w:t>For variable service</w:t>
      </w:r>
      <w:r w:rsidR="004843D6" w:rsidRPr="00E51437">
        <w:rPr>
          <w:u w:val="single"/>
        </w:rPr>
        <w:t xml:space="preserve"> applications, the following information </w:t>
      </w:r>
      <w:r w:rsidR="00BF5079" w:rsidRPr="00E51437">
        <w:rPr>
          <w:u w:val="single"/>
        </w:rPr>
        <w:t>shall</w:t>
      </w:r>
      <w:r w:rsidR="004843D6" w:rsidRPr="00E51437">
        <w:rPr>
          <w:u w:val="single"/>
        </w:rPr>
        <w:t xml:space="preserve"> be conspicuously displayed </w:t>
      </w:r>
      <w:r w:rsidR="00CC5E4D" w:rsidRPr="00E51437">
        <w:rPr>
          <w:u w:val="single"/>
        </w:rPr>
        <w:t xml:space="preserve">or posted </w:t>
      </w:r>
      <w:r w:rsidR="004843D6" w:rsidRPr="00E51437">
        <w:rPr>
          <w:u w:val="single"/>
        </w:rPr>
        <w:t>on the face of the device:</w:t>
      </w:r>
    </w:p>
    <w:p w:rsidR="00BC5A9C" w:rsidRPr="00E51437" w:rsidRDefault="00BC5A9C" w:rsidP="00BF5079">
      <w:pPr>
        <w:pStyle w:val="ListParagraph"/>
        <w:numPr>
          <w:ilvl w:val="1"/>
          <w:numId w:val="114"/>
        </w:numPr>
        <w:ind w:left="1440"/>
        <w:rPr>
          <w:u w:val="single"/>
        </w:rPr>
      </w:pPr>
      <w:r w:rsidRPr="00E51437">
        <w:rPr>
          <w:u w:val="single"/>
        </w:rPr>
        <w:t xml:space="preserve">the type of </w:t>
      </w:r>
      <w:r w:rsidR="00EA24AB" w:rsidRPr="00E51437">
        <w:rPr>
          <w:u w:val="single"/>
        </w:rPr>
        <w:t>service</w:t>
      </w:r>
      <w:r w:rsidR="00B82DEC">
        <w:rPr>
          <w:u w:val="single"/>
        </w:rPr>
        <w:t xml:space="preserve"> (i.e., “Variable”);</w:t>
      </w:r>
    </w:p>
    <w:p w:rsidR="00BC5A9C" w:rsidRPr="00E51437" w:rsidRDefault="004836C6" w:rsidP="00BF5079">
      <w:pPr>
        <w:pStyle w:val="ListParagraph"/>
        <w:numPr>
          <w:ilvl w:val="1"/>
          <w:numId w:val="114"/>
        </w:numPr>
        <w:ind w:left="1440"/>
        <w:rPr>
          <w:u w:val="single"/>
        </w:rPr>
      </w:pPr>
      <w:r w:rsidRPr="00E51437">
        <w:rPr>
          <w:u w:val="single"/>
        </w:rPr>
        <w:t>t</w:t>
      </w:r>
      <w:r w:rsidR="00BC5A9C" w:rsidRPr="00E51437">
        <w:rPr>
          <w:u w:val="single"/>
        </w:rPr>
        <w:t>he minimum</w:t>
      </w:r>
      <w:r w:rsidR="00D030B0" w:rsidRPr="00E51437">
        <w:rPr>
          <w:u w:val="single"/>
        </w:rPr>
        <w:t xml:space="preserve"> and maximum</w:t>
      </w:r>
      <w:r w:rsidR="00BC5A9C" w:rsidRPr="00E51437">
        <w:rPr>
          <w:u w:val="single"/>
        </w:rPr>
        <w:t xml:space="preserve"> </w:t>
      </w:r>
      <w:r w:rsidR="00C8059F" w:rsidRPr="00E51437">
        <w:rPr>
          <w:u w:val="single"/>
        </w:rPr>
        <w:t>power</w:t>
      </w:r>
      <w:r w:rsidR="00D030B0" w:rsidRPr="00E51437">
        <w:rPr>
          <w:u w:val="single"/>
        </w:rPr>
        <w:t xml:space="preserve"> </w:t>
      </w:r>
      <w:r w:rsidR="00BC5A9C" w:rsidRPr="00E51437">
        <w:rPr>
          <w:u w:val="single"/>
        </w:rPr>
        <w:t xml:space="preserve">transfer that </w:t>
      </w:r>
      <w:r w:rsidR="00ED5566" w:rsidRPr="00E51437">
        <w:rPr>
          <w:u w:val="single"/>
        </w:rPr>
        <w:t>can</w:t>
      </w:r>
      <w:r w:rsidR="00BC5A9C" w:rsidRPr="00E51437">
        <w:rPr>
          <w:u w:val="single"/>
        </w:rPr>
        <w:t xml:space="preserve"> occur during a transaction, including whether</w:t>
      </w:r>
      <w:r w:rsidR="00ED5566" w:rsidRPr="00E51437">
        <w:rPr>
          <w:u w:val="single"/>
        </w:rPr>
        <w:t xml:space="preserve"> service can be </w:t>
      </w:r>
      <w:r w:rsidR="00C1459A" w:rsidRPr="00E51437">
        <w:rPr>
          <w:u w:val="single"/>
        </w:rPr>
        <w:t>reduced to zero</w:t>
      </w:r>
      <w:r w:rsidR="00B82DEC">
        <w:rPr>
          <w:u w:val="single"/>
        </w:rPr>
        <w:t>;</w:t>
      </w:r>
    </w:p>
    <w:p w:rsidR="004843D6" w:rsidRPr="00E51437" w:rsidRDefault="004836C6" w:rsidP="00BF5079">
      <w:pPr>
        <w:numPr>
          <w:ilvl w:val="1"/>
          <w:numId w:val="114"/>
        </w:numPr>
        <w:ind w:left="1440"/>
        <w:rPr>
          <w:u w:val="single"/>
        </w:rPr>
      </w:pPr>
      <w:r w:rsidRPr="00E51437">
        <w:rPr>
          <w:u w:val="single"/>
        </w:rPr>
        <w:t>t</w:t>
      </w:r>
      <w:r w:rsidR="00D030B0" w:rsidRPr="00E51437">
        <w:rPr>
          <w:u w:val="single"/>
        </w:rPr>
        <w:t xml:space="preserve">he conditions under which variations in </w:t>
      </w:r>
      <w:r w:rsidR="00223908" w:rsidRPr="00E51437">
        <w:rPr>
          <w:u w:val="single"/>
        </w:rPr>
        <w:t>electrical energy</w:t>
      </w:r>
      <w:r w:rsidR="00B82DEC">
        <w:rPr>
          <w:u w:val="single"/>
        </w:rPr>
        <w:t xml:space="preserve"> transfer will occur; and</w:t>
      </w:r>
    </w:p>
    <w:p w:rsidR="00F5563C" w:rsidRPr="00E51437" w:rsidRDefault="00B82DEC" w:rsidP="00BF5079">
      <w:pPr>
        <w:numPr>
          <w:ilvl w:val="1"/>
          <w:numId w:val="114"/>
        </w:numPr>
        <w:ind w:left="1440"/>
        <w:rPr>
          <w:u w:val="single"/>
        </w:rPr>
      </w:pPr>
      <w:r>
        <w:rPr>
          <w:u w:val="single"/>
        </w:rPr>
        <w:t xml:space="preserve">the </w:t>
      </w:r>
      <w:r w:rsidR="00ED391D" w:rsidRPr="00E51437">
        <w:rPr>
          <w:u w:val="single"/>
        </w:rPr>
        <w:t xml:space="preserve">type of </w:t>
      </w:r>
      <w:r>
        <w:rPr>
          <w:u w:val="single"/>
        </w:rPr>
        <w:t xml:space="preserve">electrical energy transfer </w:t>
      </w:r>
      <w:r w:rsidR="00ED391D" w:rsidRPr="00E51437">
        <w:rPr>
          <w:u w:val="single"/>
        </w:rPr>
        <w:t>(e.g., AC, DC, wireless, etc.).</w:t>
      </w:r>
      <w:r w:rsidR="00F5563C" w:rsidRPr="00E51437">
        <w:rPr>
          <w:u w:val="single"/>
        </w:rPr>
        <w:t xml:space="preserve"> </w:t>
      </w:r>
    </w:p>
    <w:p w:rsidR="00F5563C" w:rsidRPr="00E51437" w:rsidRDefault="00F5563C" w:rsidP="00BF5079">
      <w:pPr>
        <w:rPr>
          <w:u w:val="single"/>
        </w:rPr>
      </w:pPr>
    </w:p>
    <w:p w:rsidR="00ED391D" w:rsidRPr="00E51437" w:rsidRDefault="00F5563C" w:rsidP="00BF5079">
      <w:pPr>
        <w:numPr>
          <w:ilvl w:val="0"/>
          <w:numId w:val="114"/>
        </w:numPr>
        <w:ind w:left="1080"/>
        <w:rPr>
          <w:u w:val="single"/>
        </w:rPr>
      </w:pPr>
      <w:r w:rsidRPr="00E51437">
        <w:rPr>
          <w:u w:val="single"/>
        </w:rPr>
        <w:t xml:space="preserve">Where fees will be assessed </w:t>
      </w:r>
      <w:r w:rsidR="0048295E" w:rsidRPr="00E51437">
        <w:rPr>
          <w:u w:val="single"/>
        </w:rPr>
        <w:t xml:space="preserve">for other services </w:t>
      </w:r>
      <w:r w:rsidRPr="00E51437">
        <w:rPr>
          <w:u w:val="single"/>
        </w:rPr>
        <w:t xml:space="preserve">in direct connection with the fueling of the vehicle, such as fees based on time measurement and/or a fixed fee, </w:t>
      </w:r>
      <w:r w:rsidRPr="00E51437">
        <w:rPr>
          <w:bCs/>
          <w:u w:val="single"/>
        </w:rPr>
        <w:t xml:space="preserve">the additional fees </w:t>
      </w:r>
      <w:r w:rsidR="00BF5079" w:rsidRPr="00E51437">
        <w:rPr>
          <w:bCs/>
          <w:u w:val="single"/>
        </w:rPr>
        <w:t>shall</w:t>
      </w:r>
      <w:r w:rsidRPr="00E51437">
        <w:rPr>
          <w:bCs/>
          <w:u w:val="single"/>
        </w:rPr>
        <w:t xml:space="preserve"> be displayed.</w:t>
      </w:r>
    </w:p>
    <w:p w:rsidR="005A6C37" w:rsidRPr="00E51437" w:rsidRDefault="005A6C37" w:rsidP="001F7B99">
      <w:pPr>
        <w:ind w:left="1080" w:hanging="360"/>
        <w:rPr>
          <w:u w:val="single"/>
        </w:rPr>
      </w:pPr>
    </w:p>
    <w:p w:rsidR="000B6326" w:rsidRPr="00E51437" w:rsidRDefault="000B6326" w:rsidP="00282590">
      <w:pPr>
        <w:numPr>
          <w:ilvl w:val="0"/>
          <w:numId w:val="114"/>
        </w:numPr>
        <w:ind w:left="1080"/>
        <w:rPr>
          <w:u w:val="single"/>
        </w:rPr>
      </w:pPr>
      <w:r w:rsidRPr="00E51437">
        <w:rPr>
          <w:u w:val="single"/>
        </w:rPr>
        <w:lastRenderedPageBreak/>
        <w:t>The EVSE shall be labeled in accordance with 16 CFR, PART 309 – FTC Labeling Requirements for Alternative Fuels and Alternative Fueled Vehicles.</w:t>
      </w:r>
    </w:p>
    <w:p w:rsidR="000B6326" w:rsidRPr="00E51437" w:rsidRDefault="000B6326" w:rsidP="000B6326">
      <w:pPr>
        <w:pStyle w:val="ListParagraph"/>
        <w:rPr>
          <w:u w:val="single"/>
        </w:rPr>
      </w:pPr>
    </w:p>
    <w:p w:rsidR="005A6C37" w:rsidRPr="00E51437" w:rsidRDefault="000B6326" w:rsidP="00282590">
      <w:pPr>
        <w:numPr>
          <w:ilvl w:val="0"/>
          <w:numId w:val="114"/>
        </w:numPr>
        <w:ind w:left="1080"/>
        <w:rPr>
          <w:u w:val="single"/>
        </w:rPr>
      </w:pPr>
      <w:r w:rsidRPr="00E51437">
        <w:rPr>
          <w:u w:val="single"/>
        </w:rPr>
        <w:t>The EVSE shall be listed and labeled in accordance with the National Electric Code</w:t>
      </w:r>
      <w:r w:rsidRPr="00E51437">
        <w:rPr>
          <w:u w:val="single"/>
          <w:vertAlign w:val="superscript"/>
        </w:rPr>
        <w:t>®</w:t>
      </w:r>
      <w:r w:rsidRPr="00E51437">
        <w:rPr>
          <w:u w:val="single"/>
        </w:rPr>
        <w:t xml:space="preserve"> (NEC) NFPA 70, Article 625 Electric Vehicle Charging System</w:t>
      </w:r>
      <w:r w:rsidR="00E9612D" w:rsidRPr="00E51437">
        <w:rPr>
          <w:u w:val="single"/>
        </w:rPr>
        <w:t>s</w:t>
      </w:r>
      <w:r w:rsidR="003E255A" w:rsidRPr="00E51437">
        <w:rPr>
          <w:u w:val="single"/>
        </w:rPr>
        <w:t xml:space="preserve"> (</w:t>
      </w:r>
      <w:hyperlink r:id="rId9" w:history="1">
        <w:r w:rsidR="003E255A" w:rsidRPr="00E51437">
          <w:rPr>
            <w:rStyle w:val="Hyperlink"/>
          </w:rPr>
          <w:t>www.nfpa.org</w:t>
        </w:r>
      </w:hyperlink>
      <w:r w:rsidR="003E255A" w:rsidRPr="00E51437">
        <w:rPr>
          <w:u w:val="single"/>
        </w:rPr>
        <w:t>)</w:t>
      </w:r>
      <w:r w:rsidRPr="00E51437">
        <w:rPr>
          <w:u w:val="single"/>
        </w:rPr>
        <w:t>.</w:t>
      </w:r>
    </w:p>
    <w:p w:rsidR="00233078" w:rsidRPr="00E51437" w:rsidRDefault="005A6C37">
      <w:pPr>
        <w:pStyle w:val="UniformLevel3"/>
        <w:spacing w:after="0"/>
        <w:rPr>
          <w:u w:val="single"/>
        </w:rPr>
      </w:pPr>
      <w:bookmarkStart w:id="22" w:name="_Toc324853638"/>
      <w:r w:rsidRPr="00E51437">
        <w:rPr>
          <w:b/>
          <w:iCs w:val="0"/>
          <w:u w:val="single"/>
          <w:lang w:val="fr-FR"/>
        </w:rPr>
        <w:t>2.</w:t>
      </w:r>
      <w:r w:rsidR="00006DCC" w:rsidRPr="00E51437">
        <w:rPr>
          <w:b/>
          <w:iCs w:val="0"/>
          <w:u w:val="single"/>
          <w:lang w:val="fr-FR"/>
        </w:rPr>
        <w:t>XX</w:t>
      </w:r>
      <w:r w:rsidR="00CD5C10" w:rsidRPr="00E51437">
        <w:rPr>
          <w:b/>
          <w:iCs w:val="0"/>
          <w:u w:val="single"/>
          <w:lang w:val="fr-FR"/>
        </w:rPr>
        <w:t xml:space="preserve">.4.  </w:t>
      </w:r>
      <w:r w:rsidRPr="00E51437">
        <w:rPr>
          <w:b/>
          <w:iCs w:val="0"/>
          <w:u w:val="single"/>
          <w:lang w:val="fr-FR"/>
        </w:rPr>
        <w:t xml:space="preserve">Street </w:t>
      </w:r>
      <w:r w:rsidRPr="00E51437">
        <w:rPr>
          <w:b/>
          <w:iCs w:val="0"/>
          <w:u w:val="single"/>
        </w:rPr>
        <w:t>Sign</w:t>
      </w:r>
      <w:r w:rsidRPr="00E51437">
        <w:rPr>
          <w:b/>
          <w:iCs w:val="0"/>
          <w:u w:val="single"/>
          <w:lang w:val="fr-FR"/>
        </w:rPr>
        <w:t xml:space="preserve"> </w:t>
      </w:r>
      <w:r w:rsidRPr="00E51437">
        <w:rPr>
          <w:b/>
          <w:iCs w:val="0"/>
          <w:u w:val="single"/>
        </w:rPr>
        <w:t>Prices</w:t>
      </w:r>
      <w:r w:rsidRPr="00E51437">
        <w:rPr>
          <w:b/>
          <w:iCs w:val="0"/>
          <w:u w:val="single"/>
          <w:lang w:val="fr-FR"/>
        </w:rPr>
        <w:t xml:space="preserve"> </w:t>
      </w:r>
      <w:r w:rsidR="004407D7" w:rsidRPr="00E51437">
        <w:rPr>
          <w:b/>
          <w:iCs w:val="0"/>
          <w:u w:val="single"/>
          <w:lang w:val="fr-FR"/>
        </w:rPr>
        <w:t xml:space="preserve">and </w:t>
      </w:r>
      <w:r w:rsidR="004407D7" w:rsidRPr="00E51437">
        <w:rPr>
          <w:b/>
          <w:iCs w:val="0"/>
          <w:u w:val="single"/>
        </w:rPr>
        <w:t>Other</w:t>
      </w:r>
      <w:r w:rsidR="004407D7" w:rsidRPr="00E51437">
        <w:rPr>
          <w:b/>
          <w:iCs w:val="0"/>
          <w:u w:val="single"/>
          <w:lang w:val="fr-FR"/>
        </w:rPr>
        <w:t xml:space="preserve"> </w:t>
      </w:r>
      <w:r w:rsidRPr="00E51437">
        <w:rPr>
          <w:b/>
          <w:iCs w:val="0"/>
          <w:u w:val="single"/>
        </w:rPr>
        <w:t>Advertisements</w:t>
      </w:r>
      <w:r w:rsidRPr="00E51437">
        <w:rPr>
          <w:b/>
          <w:iCs w:val="0"/>
          <w:u w:val="single"/>
          <w:lang w:val="fr-FR"/>
        </w:rPr>
        <w:t>.</w:t>
      </w:r>
      <w:bookmarkEnd w:id="22"/>
      <w:r w:rsidR="004407D7" w:rsidRPr="00E51437">
        <w:rPr>
          <w:u w:val="single"/>
        </w:rPr>
        <w:t xml:space="preserve"> </w:t>
      </w:r>
    </w:p>
    <w:p w:rsidR="005A6C37" w:rsidRPr="00E51437" w:rsidRDefault="00233078">
      <w:pPr>
        <w:pStyle w:val="UniformLevel3"/>
        <w:spacing w:after="0"/>
        <w:rPr>
          <w:u w:val="single"/>
        </w:rPr>
      </w:pPr>
      <w:r w:rsidRPr="00E51437">
        <w:rPr>
          <w:u w:val="single"/>
        </w:rPr>
        <w:t xml:space="preserve">Where </w:t>
      </w:r>
      <w:r w:rsidR="00797808" w:rsidRPr="00E51437">
        <w:rPr>
          <w:u w:val="single"/>
        </w:rPr>
        <w:t xml:space="preserve">electrical </w:t>
      </w:r>
      <w:r w:rsidR="001369ED" w:rsidRPr="00E51437">
        <w:rPr>
          <w:u w:val="single"/>
        </w:rPr>
        <w:t xml:space="preserve">energy </w:t>
      </w:r>
      <w:r w:rsidR="00797808" w:rsidRPr="00E51437">
        <w:rPr>
          <w:u w:val="single"/>
        </w:rPr>
        <w:t xml:space="preserve">unit </w:t>
      </w:r>
      <w:r w:rsidRPr="00E51437">
        <w:rPr>
          <w:u w:val="single"/>
        </w:rPr>
        <w:t>price information is presented on street signs or in advertising other than on the EVSE:</w:t>
      </w:r>
    </w:p>
    <w:p w:rsidR="005A6C37" w:rsidRPr="00E51437" w:rsidRDefault="005A6C37" w:rsidP="0062421B">
      <w:pPr>
        <w:keepNext/>
        <w:ind w:left="1440"/>
        <w:rPr>
          <w:u w:val="single"/>
        </w:rPr>
      </w:pPr>
    </w:p>
    <w:p w:rsidR="009C3C1A" w:rsidRPr="00E51437" w:rsidRDefault="0048295E" w:rsidP="0048295E">
      <w:pPr>
        <w:numPr>
          <w:ilvl w:val="0"/>
          <w:numId w:val="115"/>
        </w:numPr>
        <w:ind w:left="1080"/>
        <w:rPr>
          <w:u w:val="single"/>
        </w:rPr>
      </w:pPr>
      <w:r>
        <w:rPr>
          <w:u w:val="single"/>
        </w:rPr>
        <w:t>T</w:t>
      </w:r>
      <w:r w:rsidR="006C7D1F" w:rsidRPr="00E51437">
        <w:rPr>
          <w:u w:val="single"/>
        </w:rPr>
        <w:t xml:space="preserve">he </w:t>
      </w:r>
      <w:r w:rsidR="00223908" w:rsidRPr="00E51437">
        <w:rPr>
          <w:u w:val="single"/>
        </w:rPr>
        <w:t>electrical energy</w:t>
      </w:r>
      <w:r w:rsidR="006C7D1F" w:rsidRPr="00E51437">
        <w:rPr>
          <w:u w:val="single"/>
        </w:rPr>
        <w:t xml:space="preserve"> </w:t>
      </w:r>
      <w:r w:rsidR="005A6C37" w:rsidRPr="00E51437">
        <w:rPr>
          <w:u w:val="single"/>
        </w:rPr>
        <w:t xml:space="preserve">unit price </w:t>
      </w:r>
      <w:r w:rsidR="00BF5079" w:rsidRPr="00E51437">
        <w:rPr>
          <w:u w:val="single"/>
        </w:rPr>
        <w:t>shall</w:t>
      </w:r>
      <w:r w:rsidR="005A6C37" w:rsidRPr="00E51437">
        <w:rPr>
          <w:u w:val="single"/>
        </w:rPr>
        <w:t xml:space="preserve"> be in terms of price per </w:t>
      </w:r>
      <w:r w:rsidR="00351E68" w:rsidRPr="00E51437">
        <w:rPr>
          <w:u w:val="single"/>
        </w:rPr>
        <w:t xml:space="preserve">megajoule (MJ) or </w:t>
      </w:r>
      <w:r w:rsidR="00E9612D" w:rsidRPr="00E51437">
        <w:rPr>
          <w:u w:val="single"/>
        </w:rPr>
        <w:t>kilowatt</w:t>
      </w:r>
      <w:r w:rsidR="00E9612D" w:rsidRPr="00E51437">
        <w:rPr>
          <w:u w:val="single"/>
        </w:rPr>
        <w:noBreakHyphen/>
        <w:t>hour (kW</w:t>
      </w:r>
      <w:r w:rsidR="00860CA3">
        <w:rPr>
          <w:u w:val="single"/>
        </w:rPr>
        <w:t>·</w:t>
      </w:r>
      <w:r w:rsidR="00E9612D" w:rsidRPr="00E51437">
        <w:rPr>
          <w:u w:val="single"/>
        </w:rPr>
        <w:t xml:space="preserve">h) </w:t>
      </w:r>
      <w:r w:rsidR="005A6C37" w:rsidRPr="00E51437">
        <w:rPr>
          <w:u w:val="single"/>
        </w:rPr>
        <w:t xml:space="preserve">in </w:t>
      </w:r>
      <w:r w:rsidRPr="0048295E">
        <w:rPr>
          <w:u w:val="single"/>
        </w:rPr>
        <w:t>whole cents (e.g., $0.12) or te</w:t>
      </w:r>
      <w:r>
        <w:rPr>
          <w:u w:val="single"/>
        </w:rPr>
        <w:t>nths of one cent (e.g., $0.119).  I</w:t>
      </w:r>
      <w:r w:rsidRPr="0048295E">
        <w:rPr>
          <w:u w:val="single"/>
        </w:rPr>
        <w:t>n cases where the electrical energy is unlimited or free of charge, this fact shall be clearly indicated in place of the unit price.</w:t>
      </w:r>
    </w:p>
    <w:p w:rsidR="009C3C1A" w:rsidRPr="00E51437" w:rsidRDefault="009C3C1A" w:rsidP="00BF5079">
      <w:pPr>
        <w:rPr>
          <w:u w:val="single"/>
        </w:rPr>
      </w:pPr>
    </w:p>
    <w:p w:rsidR="009C3C1A" w:rsidRPr="00E51437" w:rsidRDefault="0048295E" w:rsidP="00282590">
      <w:pPr>
        <w:numPr>
          <w:ilvl w:val="0"/>
          <w:numId w:val="115"/>
        </w:numPr>
        <w:ind w:left="1080"/>
        <w:rPr>
          <w:u w:val="single"/>
        </w:rPr>
      </w:pPr>
      <w:r>
        <w:rPr>
          <w:u w:val="single"/>
        </w:rPr>
        <w:t>I</w:t>
      </w:r>
      <w:r w:rsidR="001369ED" w:rsidRPr="00E51437">
        <w:rPr>
          <w:u w:val="single"/>
        </w:rPr>
        <w:t xml:space="preserve">n cases where more than one </w:t>
      </w:r>
      <w:r w:rsidR="00223908" w:rsidRPr="00E51437">
        <w:rPr>
          <w:u w:val="single"/>
        </w:rPr>
        <w:t>electrical energy</w:t>
      </w:r>
      <w:r w:rsidR="001369ED" w:rsidRPr="00E51437">
        <w:rPr>
          <w:u w:val="single"/>
        </w:rPr>
        <w:t xml:space="preserve"> </w:t>
      </w:r>
      <w:r w:rsidR="00BC2186" w:rsidRPr="00E51437">
        <w:rPr>
          <w:u w:val="single"/>
        </w:rPr>
        <w:t>unit price may apply over the duration of a single transaction to sales to the general public</w:t>
      </w:r>
      <w:r w:rsidR="001369ED" w:rsidRPr="00E51437">
        <w:rPr>
          <w:u w:val="single"/>
        </w:rPr>
        <w:t xml:space="preserve">, the terms and conditions that will determine each unit price and when each unit price will apply </w:t>
      </w:r>
      <w:r w:rsidR="00BF5079" w:rsidRPr="00E51437">
        <w:rPr>
          <w:u w:val="single"/>
        </w:rPr>
        <w:t>shall</w:t>
      </w:r>
      <w:r w:rsidR="001369ED" w:rsidRPr="00E51437">
        <w:rPr>
          <w:u w:val="single"/>
        </w:rPr>
        <w:t xml:space="preserve"> be clearly </w:t>
      </w:r>
      <w:r w:rsidR="005C3AA4" w:rsidRPr="00E51437">
        <w:rPr>
          <w:u w:val="single"/>
        </w:rPr>
        <w:t>displayed.</w:t>
      </w:r>
    </w:p>
    <w:p w:rsidR="00797808" w:rsidRPr="00E51437" w:rsidRDefault="00797808" w:rsidP="00BF5079">
      <w:pPr>
        <w:pStyle w:val="ListParagraph"/>
        <w:rPr>
          <w:u w:val="single"/>
        </w:rPr>
      </w:pPr>
    </w:p>
    <w:p w:rsidR="00797808" w:rsidRPr="00E51437" w:rsidRDefault="00797808" w:rsidP="00BF5079">
      <w:pPr>
        <w:numPr>
          <w:ilvl w:val="0"/>
          <w:numId w:val="115"/>
        </w:numPr>
        <w:ind w:left="1080"/>
        <w:rPr>
          <w:u w:val="single"/>
        </w:rPr>
      </w:pPr>
      <w:r w:rsidRPr="00E51437">
        <w:rPr>
          <w:u w:val="single"/>
        </w:rPr>
        <w:t xml:space="preserve">For fixed service applications, the following information </w:t>
      </w:r>
      <w:r w:rsidR="00BF5079" w:rsidRPr="00E51437">
        <w:rPr>
          <w:u w:val="single"/>
        </w:rPr>
        <w:t>shall</w:t>
      </w:r>
      <w:r w:rsidRPr="00E51437">
        <w:rPr>
          <w:u w:val="single"/>
        </w:rPr>
        <w:t xml:space="preserve"> be conspicuously displayed or posted:</w:t>
      </w:r>
    </w:p>
    <w:p w:rsidR="00797808" w:rsidRPr="00E51437" w:rsidRDefault="00797808" w:rsidP="00797808">
      <w:pPr>
        <w:numPr>
          <w:ilvl w:val="1"/>
          <w:numId w:val="114"/>
        </w:numPr>
        <w:ind w:left="1440"/>
        <w:rPr>
          <w:u w:val="single"/>
        </w:rPr>
      </w:pPr>
      <w:r w:rsidRPr="00E51437">
        <w:rPr>
          <w:u w:val="single"/>
        </w:rPr>
        <w:t xml:space="preserve">the level of EV Service expressed as the nominal power transfer (i.e., nominal rate of </w:t>
      </w:r>
      <w:r w:rsidR="00223908" w:rsidRPr="00E51437">
        <w:rPr>
          <w:u w:val="single"/>
        </w:rPr>
        <w:t>electrical energy</w:t>
      </w:r>
      <w:r w:rsidRPr="00E51437">
        <w:rPr>
          <w:u w:val="single"/>
        </w:rPr>
        <w:t xml:space="preserve"> transfer), and</w:t>
      </w:r>
    </w:p>
    <w:p w:rsidR="00797808" w:rsidRPr="00E51437" w:rsidRDefault="0048295E" w:rsidP="00797808">
      <w:pPr>
        <w:numPr>
          <w:ilvl w:val="1"/>
          <w:numId w:val="114"/>
        </w:numPr>
        <w:ind w:left="1440"/>
        <w:rPr>
          <w:u w:val="single"/>
        </w:rPr>
      </w:pPr>
      <w:r>
        <w:rPr>
          <w:u w:val="single"/>
        </w:rPr>
        <w:t xml:space="preserve">the </w:t>
      </w:r>
      <w:r w:rsidR="00797808" w:rsidRPr="00E51437">
        <w:rPr>
          <w:u w:val="single"/>
        </w:rPr>
        <w:t xml:space="preserve">type of </w:t>
      </w:r>
      <w:r w:rsidRPr="0048295E">
        <w:rPr>
          <w:u w:val="single"/>
        </w:rPr>
        <w:t xml:space="preserve">electrical energy transfer </w:t>
      </w:r>
      <w:r w:rsidR="00797808" w:rsidRPr="00E51437">
        <w:rPr>
          <w:u w:val="single"/>
        </w:rPr>
        <w:t>(e.g., AC, DC, wireless, etc.).</w:t>
      </w:r>
    </w:p>
    <w:p w:rsidR="00797808" w:rsidRPr="00E51437" w:rsidRDefault="00797808" w:rsidP="00797808">
      <w:pPr>
        <w:pStyle w:val="ListParagraph"/>
        <w:rPr>
          <w:u w:val="single"/>
        </w:rPr>
      </w:pPr>
    </w:p>
    <w:p w:rsidR="00797808" w:rsidRPr="00E51437" w:rsidRDefault="00797808" w:rsidP="00BF5079">
      <w:pPr>
        <w:numPr>
          <w:ilvl w:val="0"/>
          <w:numId w:val="115"/>
        </w:numPr>
        <w:ind w:left="1080"/>
        <w:rPr>
          <w:u w:val="single"/>
        </w:rPr>
      </w:pPr>
      <w:r w:rsidRPr="00E51437">
        <w:rPr>
          <w:u w:val="single"/>
        </w:rPr>
        <w:t xml:space="preserve">For variable service applications, the following information </w:t>
      </w:r>
      <w:r w:rsidR="00BF5079" w:rsidRPr="00E51437">
        <w:rPr>
          <w:u w:val="single"/>
        </w:rPr>
        <w:t>shall</w:t>
      </w:r>
      <w:r w:rsidRPr="00E51437">
        <w:rPr>
          <w:u w:val="single"/>
        </w:rPr>
        <w:t xml:space="preserve"> be conspicuously displayed or posted:</w:t>
      </w:r>
    </w:p>
    <w:p w:rsidR="00797808" w:rsidRPr="00E51437" w:rsidRDefault="00797808" w:rsidP="00BF5079">
      <w:pPr>
        <w:pStyle w:val="ListParagraph"/>
        <w:numPr>
          <w:ilvl w:val="0"/>
          <w:numId w:val="120"/>
        </w:numPr>
        <w:ind w:left="1440"/>
        <w:rPr>
          <w:u w:val="single"/>
        </w:rPr>
      </w:pPr>
      <w:r w:rsidRPr="00E51437">
        <w:rPr>
          <w:u w:val="single"/>
        </w:rPr>
        <w:t>the type</w:t>
      </w:r>
      <w:r w:rsidR="0048295E">
        <w:rPr>
          <w:u w:val="single"/>
        </w:rPr>
        <w:t xml:space="preserve"> of delivery (i.e., “Variable”);</w:t>
      </w:r>
    </w:p>
    <w:p w:rsidR="00797808" w:rsidRPr="00E51437" w:rsidRDefault="00797808" w:rsidP="00BF5079">
      <w:pPr>
        <w:pStyle w:val="ListParagraph"/>
        <w:numPr>
          <w:ilvl w:val="0"/>
          <w:numId w:val="120"/>
        </w:numPr>
        <w:ind w:left="1440"/>
        <w:rPr>
          <w:u w:val="single"/>
        </w:rPr>
      </w:pPr>
      <w:r w:rsidRPr="00E51437">
        <w:rPr>
          <w:u w:val="single"/>
        </w:rPr>
        <w:t>the minimum and maximum power transfer that can occur during a transaction, including whether</w:t>
      </w:r>
      <w:r w:rsidR="0048295E">
        <w:rPr>
          <w:u w:val="single"/>
        </w:rPr>
        <w:t xml:space="preserve"> service can be reduced to zero;</w:t>
      </w:r>
    </w:p>
    <w:p w:rsidR="00797808" w:rsidRPr="00E51437" w:rsidRDefault="00797808" w:rsidP="00BF5079">
      <w:pPr>
        <w:numPr>
          <w:ilvl w:val="0"/>
          <w:numId w:val="120"/>
        </w:numPr>
        <w:ind w:left="1440"/>
        <w:rPr>
          <w:u w:val="single"/>
        </w:rPr>
      </w:pPr>
      <w:r w:rsidRPr="00E51437">
        <w:rPr>
          <w:u w:val="single"/>
        </w:rPr>
        <w:t xml:space="preserve">the conditions under which variations in </w:t>
      </w:r>
      <w:r w:rsidR="00223908" w:rsidRPr="00E51437">
        <w:rPr>
          <w:u w:val="single"/>
        </w:rPr>
        <w:t>electrical energy</w:t>
      </w:r>
      <w:r w:rsidR="0048295E">
        <w:rPr>
          <w:u w:val="single"/>
        </w:rPr>
        <w:t xml:space="preserve"> transfer will occur; and</w:t>
      </w:r>
    </w:p>
    <w:p w:rsidR="00797808" w:rsidRPr="00E51437" w:rsidRDefault="0048295E" w:rsidP="00BF5079">
      <w:pPr>
        <w:numPr>
          <w:ilvl w:val="0"/>
          <w:numId w:val="120"/>
        </w:numPr>
        <w:ind w:left="1440"/>
        <w:rPr>
          <w:u w:val="single"/>
        </w:rPr>
      </w:pPr>
      <w:r>
        <w:rPr>
          <w:u w:val="single"/>
        </w:rPr>
        <w:t xml:space="preserve">the </w:t>
      </w:r>
      <w:r w:rsidR="00797808" w:rsidRPr="00E51437">
        <w:rPr>
          <w:u w:val="single"/>
        </w:rPr>
        <w:t xml:space="preserve">type of </w:t>
      </w:r>
      <w:r w:rsidRPr="0048295E">
        <w:rPr>
          <w:u w:val="single"/>
        </w:rPr>
        <w:t xml:space="preserve">electrical energy transfer </w:t>
      </w:r>
      <w:r w:rsidR="00797808" w:rsidRPr="00E51437">
        <w:rPr>
          <w:u w:val="single"/>
        </w:rPr>
        <w:t>(e.g., AC, DC, wireless, etc.).</w:t>
      </w:r>
    </w:p>
    <w:p w:rsidR="009C3C1A" w:rsidRPr="00E51437" w:rsidRDefault="009C3C1A" w:rsidP="00BF5079">
      <w:pPr>
        <w:pStyle w:val="ListParagraph"/>
        <w:rPr>
          <w:u w:val="single"/>
        </w:rPr>
      </w:pPr>
    </w:p>
    <w:p w:rsidR="006C7D1F" w:rsidRPr="00E51437" w:rsidRDefault="009C3C1A" w:rsidP="00E51437">
      <w:pPr>
        <w:ind w:left="360"/>
        <w:rPr>
          <w:rStyle w:val="Style10ptBoldUnderline"/>
          <w:b w:val="0"/>
        </w:rPr>
      </w:pPr>
      <w:r w:rsidRPr="00E51437">
        <w:rPr>
          <w:u w:val="single"/>
        </w:rPr>
        <w:t xml:space="preserve">Where fees </w:t>
      </w:r>
      <w:r w:rsidR="000738B6" w:rsidRPr="00E51437">
        <w:rPr>
          <w:u w:val="single"/>
        </w:rPr>
        <w:t>will be</w:t>
      </w:r>
      <w:r w:rsidRPr="00E51437">
        <w:rPr>
          <w:u w:val="single"/>
        </w:rPr>
        <w:t xml:space="preserve"> assessed </w:t>
      </w:r>
      <w:r w:rsidR="0048295E" w:rsidRPr="00E51437">
        <w:rPr>
          <w:u w:val="single"/>
        </w:rPr>
        <w:t xml:space="preserve">for other services </w:t>
      </w:r>
      <w:r w:rsidR="000738B6" w:rsidRPr="00E51437">
        <w:rPr>
          <w:u w:val="single"/>
        </w:rPr>
        <w:t>in direct connection with the fueling of the vehicle</w:t>
      </w:r>
      <w:r w:rsidRPr="00E51437">
        <w:rPr>
          <w:u w:val="single"/>
        </w:rPr>
        <w:t xml:space="preserve">, such as fees based on time measurement and/or a fixed fee, </w:t>
      </w:r>
      <w:r w:rsidRPr="00E51437">
        <w:rPr>
          <w:bCs/>
          <w:u w:val="single"/>
        </w:rPr>
        <w:t xml:space="preserve">the </w:t>
      </w:r>
      <w:r w:rsidR="00233078" w:rsidRPr="00E51437">
        <w:rPr>
          <w:bCs/>
          <w:u w:val="single"/>
        </w:rPr>
        <w:t>ad</w:t>
      </w:r>
      <w:r w:rsidR="003A30CF" w:rsidRPr="00E51437">
        <w:rPr>
          <w:bCs/>
          <w:u w:val="single"/>
        </w:rPr>
        <w:t xml:space="preserve">ditional </w:t>
      </w:r>
      <w:r w:rsidRPr="00E51437">
        <w:rPr>
          <w:bCs/>
          <w:u w:val="single"/>
        </w:rPr>
        <w:t xml:space="preserve">fees </w:t>
      </w:r>
      <w:r w:rsidR="00BF5079" w:rsidRPr="00E51437">
        <w:rPr>
          <w:bCs/>
          <w:u w:val="single"/>
        </w:rPr>
        <w:t>shall</w:t>
      </w:r>
      <w:r w:rsidR="003A30CF" w:rsidRPr="00E51437">
        <w:rPr>
          <w:bCs/>
          <w:u w:val="single"/>
        </w:rPr>
        <w:t xml:space="preserve"> be </w:t>
      </w:r>
      <w:r w:rsidRPr="00E51437">
        <w:rPr>
          <w:bCs/>
          <w:u w:val="single"/>
        </w:rPr>
        <w:t>included on all street signs or other advertising</w:t>
      </w:r>
      <w:r w:rsidR="003A30CF" w:rsidRPr="00E51437">
        <w:rPr>
          <w:bCs/>
          <w:u w:val="single"/>
        </w:rPr>
        <w:t>.</w:t>
      </w:r>
    </w:p>
    <w:p w:rsidR="005A6C37" w:rsidRPr="00CD5C10" w:rsidRDefault="005A6C37" w:rsidP="002B1B86">
      <w:pPr>
        <w:spacing w:before="60"/>
        <w:rPr>
          <w:rStyle w:val="Style10ptBoldUnderline"/>
          <w:b w:val="0"/>
        </w:rPr>
      </w:pPr>
      <w:r w:rsidRPr="00E51437">
        <w:rPr>
          <w:rStyle w:val="Style10ptBoldUnderline"/>
          <w:b w:val="0"/>
        </w:rPr>
        <w:t>(Added 20</w:t>
      </w:r>
      <w:r w:rsidR="00006DCC" w:rsidRPr="00E51437">
        <w:rPr>
          <w:rStyle w:val="Style10ptBoldUnderline"/>
          <w:b w:val="0"/>
        </w:rPr>
        <w:t>XX</w:t>
      </w:r>
      <w:r w:rsidRPr="00E51437">
        <w:rPr>
          <w:rStyle w:val="Style10ptBoldUnderline"/>
          <w:b w:val="0"/>
        </w:rPr>
        <w:t>)</w:t>
      </w:r>
    </w:p>
    <w:p w:rsidR="005A6C37" w:rsidRDefault="00BC2186" w:rsidP="004A673F">
      <w:pPr>
        <w:tabs>
          <w:tab w:val="right" w:leader="dot" w:pos="9576"/>
        </w:tabs>
        <w:jc w:val="left"/>
      </w:pPr>
      <w:r>
        <w:t xml:space="preserve"> </w:t>
      </w:r>
    </w:p>
    <w:sectPr w:rsidR="005A6C37" w:rsidSect="001B3FBC">
      <w:headerReference w:type="even" r:id="rId10"/>
      <w:headerReference w:type="default" r:id="rId11"/>
      <w:type w:val="continuous"/>
      <w:pgSz w:w="12240" w:h="15840" w:code="1"/>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DF" w:rsidRDefault="00270ADF">
      <w:r>
        <w:separator/>
      </w:r>
    </w:p>
  </w:endnote>
  <w:endnote w:type="continuationSeparator" w:id="0">
    <w:p w:rsidR="00270ADF" w:rsidRDefault="0027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DF" w:rsidRDefault="00270ADF">
      <w:r>
        <w:separator/>
      </w:r>
    </w:p>
  </w:footnote>
  <w:footnote w:type="continuationSeparator" w:id="0">
    <w:p w:rsidR="00270ADF" w:rsidRDefault="00270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3" w:rsidRPr="001B3FBC" w:rsidRDefault="00500963" w:rsidP="007F399E">
    <w:pPr>
      <w:pStyle w:val="Header"/>
      <w:tabs>
        <w:tab w:val="clear" w:pos="4320"/>
        <w:tab w:val="clear" w:pos="8640"/>
        <w:tab w:val="right" w:pos="9360"/>
      </w:tabs>
      <w:jc w:val="right"/>
    </w:pPr>
    <w:r>
      <w:t xml:space="preserve">                                                                      Agenda Item 4                  </w:t>
    </w:r>
    <w:r w:rsidRPr="001B3FBC">
      <w:t>USNWG EVF&amp;S Agenda 26MAR2013</w:t>
    </w:r>
  </w:p>
  <w:p w:rsidR="00500963" w:rsidRDefault="00500963" w:rsidP="00500963">
    <w:pPr>
      <w:pStyle w:val="Header"/>
      <w:tabs>
        <w:tab w:val="clear" w:pos="4320"/>
        <w:tab w:val="clear" w:pos="8640"/>
        <w:tab w:val="right" w:pos="9360"/>
      </w:tabs>
      <w:jc w:val="right"/>
    </w:pPr>
    <w:r w:rsidRPr="001B3FBC">
      <w:t xml:space="preserve">Attachment </w:t>
    </w:r>
    <w:r>
      <w:t>5</w:t>
    </w:r>
  </w:p>
  <w:p w:rsidR="007F399E" w:rsidRDefault="007F399E" w:rsidP="00500963">
    <w:pPr>
      <w:pStyle w:val="Header"/>
      <w:tabs>
        <w:tab w:val="clear" w:pos="4320"/>
        <w:tab w:val="clear" w:pos="8640"/>
        <w:tab w:val="right" w:pos="9360"/>
      </w:tabs>
      <w:jc w:val="right"/>
    </w:pPr>
  </w:p>
  <w:p w:rsidR="00115C59" w:rsidRPr="001B3FBC" w:rsidRDefault="007F399E" w:rsidP="007F399E">
    <w:pPr>
      <w:tabs>
        <w:tab w:val="center" w:pos="4320"/>
        <w:tab w:val="right" w:pos="9360"/>
      </w:tabs>
    </w:pPr>
    <w:r w:rsidRPr="007F399E">
      <w:t xml:space="preserve">Handbook 130 – 20xx </w:t>
    </w:r>
    <w:r w:rsidRPr="007F399E">
      <w:tab/>
    </w:r>
    <w:r w:rsidRPr="007F399E">
      <w:tab/>
      <w:t>Method of Sale Regulation - 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BC" w:rsidRPr="001B3FBC" w:rsidRDefault="00500963" w:rsidP="007F399E">
    <w:pPr>
      <w:pStyle w:val="Header"/>
      <w:tabs>
        <w:tab w:val="clear" w:pos="4320"/>
        <w:tab w:val="clear" w:pos="8640"/>
        <w:tab w:val="right" w:pos="9360"/>
      </w:tabs>
      <w:jc w:val="right"/>
    </w:pPr>
    <w:r>
      <w:t xml:space="preserve">                                                                      </w:t>
    </w:r>
    <w:r w:rsidR="001B3FBC">
      <w:t>Agenda Item 4</w:t>
    </w:r>
    <w:r w:rsidR="007F399E">
      <w:t xml:space="preserve">               </w:t>
    </w:r>
    <w:r w:rsidR="001B3FBC" w:rsidRPr="001B3FBC">
      <w:t>USNWG EVF&amp;S Agenda 26MAR2013</w:t>
    </w:r>
  </w:p>
  <w:p w:rsidR="001B3FBC" w:rsidRDefault="001B3FBC" w:rsidP="001B3FBC">
    <w:pPr>
      <w:pStyle w:val="Header"/>
      <w:tabs>
        <w:tab w:val="clear" w:pos="4320"/>
        <w:tab w:val="clear" w:pos="8640"/>
        <w:tab w:val="right" w:pos="9360"/>
      </w:tabs>
      <w:jc w:val="right"/>
    </w:pPr>
    <w:r w:rsidRPr="001B3FBC">
      <w:t xml:space="preserve">Attachment </w:t>
    </w:r>
    <w:r>
      <w:t>5</w:t>
    </w:r>
  </w:p>
  <w:p w:rsidR="007F399E" w:rsidRDefault="007F399E" w:rsidP="001B3FBC">
    <w:pPr>
      <w:pStyle w:val="Header"/>
      <w:tabs>
        <w:tab w:val="clear" w:pos="4320"/>
        <w:tab w:val="clear" w:pos="8640"/>
        <w:tab w:val="right" w:pos="9360"/>
      </w:tabs>
      <w:jc w:val="right"/>
    </w:pPr>
  </w:p>
  <w:p w:rsidR="00115C59" w:rsidRDefault="00115C59" w:rsidP="00B157DD">
    <w:pPr>
      <w:pStyle w:val="Header"/>
      <w:tabs>
        <w:tab w:val="clear" w:pos="4320"/>
        <w:tab w:val="clear" w:pos="8640"/>
        <w:tab w:val="right" w:pos="9360"/>
      </w:tabs>
    </w:pPr>
    <w:r>
      <w:t>Method of Sale Regulation - DRAFT</w:t>
    </w:r>
    <w:r w:rsidR="00D728AB">
      <w:t xml:space="preserve">                       </w:t>
    </w:r>
    <w:r>
      <w:tab/>
      <w:t>Handbook 130 – 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5650BF3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481A9B20"/>
    <w:lvl w:ilvl="0" w:tplc="FFFFFFFF">
      <w:start w:val="1"/>
      <w:numFmt w:val="lowerLetter"/>
      <w:lvlText w:val="(%1)"/>
      <w:lvlJc w:val="left"/>
      <w:pPr>
        <w:ind w:left="1440" w:hanging="360"/>
      </w:pPr>
      <w:rPr>
        <w:rFonts w:cs="Times New Roman" w:hint="default"/>
      </w:rPr>
    </w:lvl>
    <w:lvl w:ilvl="1" w:tplc="CC268048">
      <w:start w:val="1"/>
      <w:numFmt w:val="decimal"/>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1E5DAB"/>
    <w:multiLevelType w:val="hybridMultilevel"/>
    <w:tmpl w:val="705613CC"/>
    <w:lvl w:ilvl="0" w:tplc="CC268048">
      <w:start w:val="1"/>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8">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4">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7">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8">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5">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7">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8">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9">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2">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3">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9">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7">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7"/>
  </w:num>
  <w:num w:numId="3">
    <w:abstractNumId w:val="70"/>
  </w:num>
  <w:num w:numId="4">
    <w:abstractNumId w:val="33"/>
  </w:num>
  <w:num w:numId="5">
    <w:abstractNumId w:val="37"/>
  </w:num>
  <w:num w:numId="6">
    <w:abstractNumId w:val="32"/>
  </w:num>
  <w:num w:numId="7">
    <w:abstractNumId w:val="116"/>
  </w:num>
  <w:num w:numId="8">
    <w:abstractNumId w:val="66"/>
  </w:num>
  <w:num w:numId="9">
    <w:abstractNumId w:val="119"/>
  </w:num>
  <w:num w:numId="10">
    <w:abstractNumId w:val="97"/>
  </w:num>
  <w:num w:numId="11">
    <w:abstractNumId w:val="115"/>
  </w:num>
  <w:num w:numId="12">
    <w:abstractNumId w:val="78"/>
  </w:num>
  <w:num w:numId="13">
    <w:abstractNumId w:val="94"/>
  </w:num>
  <w:num w:numId="14">
    <w:abstractNumId w:val="57"/>
  </w:num>
  <w:num w:numId="15">
    <w:abstractNumId w:val="102"/>
  </w:num>
  <w:num w:numId="16">
    <w:abstractNumId w:val="118"/>
  </w:num>
  <w:num w:numId="17">
    <w:abstractNumId w:val="53"/>
  </w:num>
  <w:num w:numId="18">
    <w:abstractNumId w:val="117"/>
  </w:num>
  <w:num w:numId="19">
    <w:abstractNumId w:val="46"/>
  </w:num>
  <w:num w:numId="20">
    <w:abstractNumId w:val="111"/>
  </w:num>
  <w:num w:numId="21">
    <w:abstractNumId w:val="11"/>
  </w:num>
  <w:num w:numId="22">
    <w:abstractNumId w:val="65"/>
  </w:num>
  <w:num w:numId="23">
    <w:abstractNumId w:val="38"/>
  </w:num>
  <w:num w:numId="24">
    <w:abstractNumId w:val="5"/>
  </w:num>
  <w:num w:numId="25">
    <w:abstractNumId w:val="71"/>
  </w:num>
  <w:num w:numId="26">
    <w:abstractNumId w:val="88"/>
  </w:num>
  <w:num w:numId="27">
    <w:abstractNumId w:val="112"/>
  </w:num>
  <w:num w:numId="28">
    <w:abstractNumId w:val="56"/>
  </w:num>
  <w:num w:numId="29">
    <w:abstractNumId w:val="93"/>
  </w:num>
  <w:num w:numId="30">
    <w:abstractNumId w:val="113"/>
  </w:num>
  <w:num w:numId="31">
    <w:abstractNumId w:val="6"/>
  </w:num>
  <w:num w:numId="32">
    <w:abstractNumId w:val="83"/>
  </w:num>
  <w:num w:numId="33">
    <w:abstractNumId w:val="110"/>
  </w:num>
  <w:num w:numId="34">
    <w:abstractNumId w:val="58"/>
  </w:num>
  <w:num w:numId="35">
    <w:abstractNumId w:val="108"/>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80"/>
  </w:num>
  <w:num w:numId="45">
    <w:abstractNumId w:val="18"/>
  </w:num>
  <w:num w:numId="46">
    <w:abstractNumId w:val="25"/>
  </w:num>
  <w:num w:numId="47">
    <w:abstractNumId w:val="100"/>
  </w:num>
  <w:num w:numId="48">
    <w:abstractNumId w:val="63"/>
  </w:num>
  <w:num w:numId="49">
    <w:abstractNumId w:val="3"/>
  </w:num>
  <w:num w:numId="50">
    <w:abstractNumId w:val="10"/>
  </w:num>
  <w:num w:numId="51">
    <w:abstractNumId w:val="0"/>
  </w:num>
  <w:num w:numId="52">
    <w:abstractNumId w:val="107"/>
  </w:num>
  <w:num w:numId="53">
    <w:abstractNumId w:val="7"/>
  </w:num>
  <w:num w:numId="54">
    <w:abstractNumId w:val="12"/>
  </w:num>
  <w:num w:numId="55">
    <w:abstractNumId w:val="40"/>
  </w:num>
  <w:num w:numId="56">
    <w:abstractNumId w:val="105"/>
  </w:num>
  <w:num w:numId="57">
    <w:abstractNumId w:val="92"/>
  </w:num>
  <w:num w:numId="58">
    <w:abstractNumId w:val="82"/>
  </w:num>
  <w:num w:numId="59">
    <w:abstractNumId w:val="13"/>
  </w:num>
  <w:num w:numId="60">
    <w:abstractNumId w:val="62"/>
  </w:num>
  <w:num w:numId="61">
    <w:abstractNumId w:val="87"/>
  </w:num>
  <w:num w:numId="62">
    <w:abstractNumId w:val="42"/>
  </w:num>
  <w:num w:numId="63">
    <w:abstractNumId w:val="101"/>
  </w:num>
  <w:num w:numId="64">
    <w:abstractNumId w:val="48"/>
  </w:num>
  <w:num w:numId="65">
    <w:abstractNumId w:val="29"/>
  </w:num>
  <w:num w:numId="66">
    <w:abstractNumId w:val="23"/>
  </w:num>
  <w:num w:numId="67">
    <w:abstractNumId w:val="26"/>
  </w:num>
  <w:num w:numId="68">
    <w:abstractNumId w:val="90"/>
  </w:num>
  <w:num w:numId="69">
    <w:abstractNumId w:val="19"/>
  </w:num>
  <w:num w:numId="70">
    <w:abstractNumId w:val="84"/>
  </w:num>
  <w:num w:numId="71">
    <w:abstractNumId w:val="51"/>
  </w:num>
  <w:num w:numId="72">
    <w:abstractNumId w:val="35"/>
  </w:num>
  <w:num w:numId="73">
    <w:abstractNumId w:val="106"/>
  </w:num>
  <w:num w:numId="74">
    <w:abstractNumId w:val="1"/>
  </w:num>
  <w:num w:numId="75">
    <w:abstractNumId w:val="76"/>
  </w:num>
  <w:num w:numId="76">
    <w:abstractNumId w:val="16"/>
  </w:num>
  <w:num w:numId="77">
    <w:abstractNumId w:val="24"/>
  </w:num>
  <w:num w:numId="78">
    <w:abstractNumId w:val="103"/>
  </w:num>
  <w:num w:numId="79">
    <w:abstractNumId w:val="45"/>
  </w:num>
  <w:num w:numId="80">
    <w:abstractNumId w:val="2"/>
  </w:num>
  <w:num w:numId="81">
    <w:abstractNumId w:val="68"/>
  </w:num>
  <w:num w:numId="82">
    <w:abstractNumId w:val="104"/>
  </w:num>
  <w:num w:numId="83">
    <w:abstractNumId w:val="95"/>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4"/>
  </w:num>
  <w:num w:numId="92">
    <w:abstractNumId w:val="75"/>
  </w:num>
  <w:num w:numId="93">
    <w:abstractNumId w:val="50"/>
  </w:num>
  <w:num w:numId="94">
    <w:abstractNumId w:val="109"/>
  </w:num>
  <w:num w:numId="95">
    <w:abstractNumId w:val="86"/>
  </w:num>
  <w:num w:numId="96">
    <w:abstractNumId w:val="89"/>
  </w:num>
  <w:num w:numId="97">
    <w:abstractNumId w:val="69"/>
  </w:num>
  <w:num w:numId="98">
    <w:abstractNumId w:val="36"/>
  </w:num>
  <w:num w:numId="99">
    <w:abstractNumId w:val="9"/>
  </w:num>
  <w:num w:numId="100">
    <w:abstractNumId w:val="22"/>
  </w:num>
  <w:num w:numId="101">
    <w:abstractNumId w:val="91"/>
  </w:num>
  <w:num w:numId="102">
    <w:abstractNumId w:val="55"/>
  </w:num>
  <w:num w:numId="103">
    <w:abstractNumId w:val="31"/>
  </w:num>
  <w:num w:numId="104">
    <w:abstractNumId w:val="54"/>
  </w:num>
  <w:num w:numId="105">
    <w:abstractNumId w:val="99"/>
  </w:num>
  <w:num w:numId="106">
    <w:abstractNumId w:val="96"/>
  </w:num>
  <w:num w:numId="107">
    <w:abstractNumId w:val="15"/>
  </w:num>
  <w:num w:numId="108">
    <w:abstractNumId w:val="81"/>
  </w:num>
  <w:num w:numId="109">
    <w:abstractNumId w:val="4"/>
  </w:num>
  <w:num w:numId="110">
    <w:abstractNumId w:val="52"/>
  </w:num>
  <w:num w:numId="111">
    <w:abstractNumId w:val="85"/>
  </w:num>
  <w:num w:numId="112">
    <w:abstractNumId w:val="44"/>
  </w:num>
  <w:num w:numId="113">
    <w:abstractNumId w:val="79"/>
  </w:num>
  <w:num w:numId="114">
    <w:abstractNumId w:val="39"/>
  </w:num>
  <w:num w:numId="115">
    <w:abstractNumId w:val="30"/>
  </w:num>
  <w:num w:numId="116">
    <w:abstractNumId w:val="20"/>
  </w:num>
  <w:num w:numId="117">
    <w:abstractNumId w:val="98"/>
  </w:num>
  <w:num w:numId="118">
    <w:abstractNumId w:val="49"/>
  </w:num>
  <w:num w:numId="119">
    <w:abstractNumId w:val="67"/>
  </w:num>
  <w:num w:numId="120">
    <w:abstractNumId w:val="7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6DCC"/>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279"/>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6FDD"/>
    <w:rsid w:val="00067272"/>
    <w:rsid w:val="000700DA"/>
    <w:rsid w:val="00070A2C"/>
    <w:rsid w:val="00070DBC"/>
    <w:rsid w:val="00071A29"/>
    <w:rsid w:val="000722CD"/>
    <w:rsid w:val="00072780"/>
    <w:rsid w:val="00072C8D"/>
    <w:rsid w:val="000738B6"/>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6326"/>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5C59"/>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307"/>
    <w:rsid w:val="00135DFF"/>
    <w:rsid w:val="00135FEC"/>
    <w:rsid w:val="001369ED"/>
    <w:rsid w:val="00136D5B"/>
    <w:rsid w:val="001373B5"/>
    <w:rsid w:val="00137568"/>
    <w:rsid w:val="0013768A"/>
    <w:rsid w:val="00137F50"/>
    <w:rsid w:val="001419F5"/>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321"/>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A793E"/>
    <w:rsid w:val="001B03CF"/>
    <w:rsid w:val="001B105C"/>
    <w:rsid w:val="001B21FC"/>
    <w:rsid w:val="001B2214"/>
    <w:rsid w:val="001B2A2B"/>
    <w:rsid w:val="001B2DB4"/>
    <w:rsid w:val="001B362C"/>
    <w:rsid w:val="001B3FB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3BC8"/>
    <w:rsid w:val="001D5162"/>
    <w:rsid w:val="001D53C0"/>
    <w:rsid w:val="001D65A9"/>
    <w:rsid w:val="001D6FF5"/>
    <w:rsid w:val="001D7364"/>
    <w:rsid w:val="001E0722"/>
    <w:rsid w:val="001E0CEA"/>
    <w:rsid w:val="001E0FFC"/>
    <w:rsid w:val="001E1C3E"/>
    <w:rsid w:val="001E2105"/>
    <w:rsid w:val="001E26B8"/>
    <w:rsid w:val="001E29B7"/>
    <w:rsid w:val="001E29EE"/>
    <w:rsid w:val="001E2A03"/>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5D6"/>
    <w:rsid w:val="00212C51"/>
    <w:rsid w:val="002142F6"/>
    <w:rsid w:val="0021541D"/>
    <w:rsid w:val="00220541"/>
    <w:rsid w:val="00221297"/>
    <w:rsid w:val="002227FB"/>
    <w:rsid w:val="00222D3B"/>
    <w:rsid w:val="002234E8"/>
    <w:rsid w:val="002235EE"/>
    <w:rsid w:val="00223908"/>
    <w:rsid w:val="00224119"/>
    <w:rsid w:val="0022470E"/>
    <w:rsid w:val="002253A5"/>
    <w:rsid w:val="00225BC7"/>
    <w:rsid w:val="00231429"/>
    <w:rsid w:val="00231BA6"/>
    <w:rsid w:val="00233078"/>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0ADF"/>
    <w:rsid w:val="00270D54"/>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1DC4"/>
    <w:rsid w:val="002B2327"/>
    <w:rsid w:val="002B250C"/>
    <w:rsid w:val="002B2DE2"/>
    <w:rsid w:val="002B2E38"/>
    <w:rsid w:val="002B3E1F"/>
    <w:rsid w:val="002B488A"/>
    <w:rsid w:val="002B5853"/>
    <w:rsid w:val="002B585D"/>
    <w:rsid w:val="002B5CCE"/>
    <w:rsid w:val="002B7323"/>
    <w:rsid w:val="002C1B8E"/>
    <w:rsid w:val="002C2C1B"/>
    <w:rsid w:val="002C35A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3792"/>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1E68"/>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0CF"/>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AF6"/>
    <w:rsid w:val="003B7CC7"/>
    <w:rsid w:val="003C16D2"/>
    <w:rsid w:val="003C1A6F"/>
    <w:rsid w:val="003C2151"/>
    <w:rsid w:val="003C2386"/>
    <w:rsid w:val="003C28E2"/>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82F"/>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55A"/>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538"/>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73"/>
    <w:rsid w:val="004229BB"/>
    <w:rsid w:val="00423197"/>
    <w:rsid w:val="004232AF"/>
    <w:rsid w:val="004233F8"/>
    <w:rsid w:val="00423667"/>
    <w:rsid w:val="00424974"/>
    <w:rsid w:val="004256BF"/>
    <w:rsid w:val="00425B5E"/>
    <w:rsid w:val="004261E8"/>
    <w:rsid w:val="00426C30"/>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7D7"/>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95E"/>
    <w:rsid w:val="004833DD"/>
    <w:rsid w:val="0048342B"/>
    <w:rsid w:val="004836C6"/>
    <w:rsid w:val="004843D6"/>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3A7C"/>
    <w:rsid w:val="004B5513"/>
    <w:rsid w:val="004B5723"/>
    <w:rsid w:val="004B5D82"/>
    <w:rsid w:val="004B6118"/>
    <w:rsid w:val="004B6BFA"/>
    <w:rsid w:val="004C11AB"/>
    <w:rsid w:val="004C1564"/>
    <w:rsid w:val="004C16B0"/>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299"/>
    <w:rsid w:val="004F5790"/>
    <w:rsid w:val="004F718C"/>
    <w:rsid w:val="004F742C"/>
    <w:rsid w:val="004F78DC"/>
    <w:rsid w:val="004F7D1A"/>
    <w:rsid w:val="004F7EFE"/>
    <w:rsid w:val="00500963"/>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A2D"/>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235"/>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0B5"/>
    <w:rsid w:val="00550A81"/>
    <w:rsid w:val="00550C6A"/>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17B5"/>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08C"/>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0A33"/>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AA4"/>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0987"/>
    <w:rsid w:val="005E0D3C"/>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A83"/>
    <w:rsid w:val="005F1F13"/>
    <w:rsid w:val="005F43FE"/>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44C"/>
    <w:rsid w:val="006045EE"/>
    <w:rsid w:val="00604756"/>
    <w:rsid w:val="00604B68"/>
    <w:rsid w:val="00605073"/>
    <w:rsid w:val="00606F83"/>
    <w:rsid w:val="00607209"/>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1B70"/>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47F6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109D"/>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399B"/>
    <w:rsid w:val="006C452C"/>
    <w:rsid w:val="006C53D2"/>
    <w:rsid w:val="006C5614"/>
    <w:rsid w:val="006C64AF"/>
    <w:rsid w:val="006C67DF"/>
    <w:rsid w:val="006C6CBC"/>
    <w:rsid w:val="006C770D"/>
    <w:rsid w:val="006C7794"/>
    <w:rsid w:val="006C7D1F"/>
    <w:rsid w:val="006D034C"/>
    <w:rsid w:val="006D0376"/>
    <w:rsid w:val="006D04B7"/>
    <w:rsid w:val="006D07A8"/>
    <w:rsid w:val="006D08DC"/>
    <w:rsid w:val="006D0A48"/>
    <w:rsid w:val="006D2512"/>
    <w:rsid w:val="006D3BA9"/>
    <w:rsid w:val="006D3CB6"/>
    <w:rsid w:val="006D3D42"/>
    <w:rsid w:val="006D4565"/>
    <w:rsid w:val="006D485F"/>
    <w:rsid w:val="006D5654"/>
    <w:rsid w:val="006D5A73"/>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EC3"/>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889"/>
    <w:rsid w:val="007849A6"/>
    <w:rsid w:val="00784D16"/>
    <w:rsid w:val="00784E01"/>
    <w:rsid w:val="007861AC"/>
    <w:rsid w:val="007865A3"/>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808"/>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316"/>
    <w:rsid w:val="007B6D6F"/>
    <w:rsid w:val="007B7651"/>
    <w:rsid w:val="007B7868"/>
    <w:rsid w:val="007B7A6C"/>
    <w:rsid w:val="007C0718"/>
    <w:rsid w:val="007C0838"/>
    <w:rsid w:val="007C0C2E"/>
    <w:rsid w:val="007C0E5B"/>
    <w:rsid w:val="007C185A"/>
    <w:rsid w:val="007C1A4A"/>
    <w:rsid w:val="007C1A5B"/>
    <w:rsid w:val="007C273C"/>
    <w:rsid w:val="007C5010"/>
    <w:rsid w:val="007C56FF"/>
    <w:rsid w:val="007C6218"/>
    <w:rsid w:val="007C69A9"/>
    <w:rsid w:val="007C6D3E"/>
    <w:rsid w:val="007C7DF8"/>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99E"/>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0CA3"/>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14B"/>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6472"/>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B4B"/>
    <w:rsid w:val="008F7C58"/>
    <w:rsid w:val="008F7CE5"/>
    <w:rsid w:val="00900BFF"/>
    <w:rsid w:val="00900CCD"/>
    <w:rsid w:val="00901436"/>
    <w:rsid w:val="0090150A"/>
    <w:rsid w:val="0090181B"/>
    <w:rsid w:val="00901A58"/>
    <w:rsid w:val="00901B6A"/>
    <w:rsid w:val="00901E74"/>
    <w:rsid w:val="00902402"/>
    <w:rsid w:val="00902764"/>
    <w:rsid w:val="009039DB"/>
    <w:rsid w:val="009040BB"/>
    <w:rsid w:val="0090423C"/>
    <w:rsid w:val="009042A7"/>
    <w:rsid w:val="00904877"/>
    <w:rsid w:val="00904CEA"/>
    <w:rsid w:val="00905F81"/>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CF3"/>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CAD"/>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3555"/>
    <w:rsid w:val="0095366F"/>
    <w:rsid w:val="00954A64"/>
    <w:rsid w:val="0095548A"/>
    <w:rsid w:val="00955509"/>
    <w:rsid w:val="00955A92"/>
    <w:rsid w:val="00955E50"/>
    <w:rsid w:val="00955FB5"/>
    <w:rsid w:val="00956519"/>
    <w:rsid w:val="00956735"/>
    <w:rsid w:val="00957CD6"/>
    <w:rsid w:val="009608E5"/>
    <w:rsid w:val="00960F38"/>
    <w:rsid w:val="00961A17"/>
    <w:rsid w:val="00961DC1"/>
    <w:rsid w:val="00962737"/>
    <w:rsid w:val="00962C75"/>
    <w:rsid w:val="00964595"/>
    <w:rsid w:val="00966270"/>
    <w:rsid w:val="00966802"/>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AA"/>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C1A"/>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1DC6"/>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B0A"/>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0C5F"/>
    <w:rsid w:val="00A21070"/>
    <w:rsid w:val="00A21901"/>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1E5"/>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467C"/>
    <w:rsid w:val="00AA5644"/>
    <w:rsid w:val="00AA57D9"/>
    <w:rsid w:val="00AA67BE"/>
    <w:rsid w:val="00AA7E6D"/>
    <w:rsid w:val="00AA7EFB"/>
    <w:rsid w:val="00AA7F25"/>
    <w:rsid w:val="00AB03F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308"/>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2DEC"/>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3B1"/>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186"/>
    <w:rsid w:val="00BC29B6"/>
    <w:rsid w:val="00BC3AD3"/>
    <w:rsid w:val="00BC4252"/>
    <w:rsid w:val="00BC48EA"/>
    <w:rsid w:val="00BC5A9C"/>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5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5079"/>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976"/>
    <w:rsid w:val="00C04D36"/>
    <w:rsid w:val="00C05282"/>
    <w:rsid w:val="00C05434"/>
    <w:rsid w:val="00C05585"/>
    <w:rsid w:val="00C07819"/>
    <w:rsid w:val="00C07CC6"/>
    <w:rsid w:val="00C10052"/>
    <w:rsid w:val="00C100DD"/>
    <w:rsid w:val="00C10227"/>
    <w:rsid w:val="00C12253"/>
    <w:rsid w:val="00C127E3"/>
    <w:rsid w:val="00C1459A"/>
    <w:rsid w:val="00C14FC4"/>
    <w:rsid w:val="00C1572B"/>
    <w:rsid w:val="00C16A40"/>
    <w:rsid w:val="00C170A8"/>
    <w:rsid w:val="00C20090"/>
    <w:rsid w:val="00C20276"/>
    <w:rsid w:val="00C20386"/>
    <w:rsid w:val="00C206D0"/>
    <w:rsid w:val="00C206E6"/>
    <w:rsid w:val="00C2104C"/>
    <w:rsid w:val="00C21840"/>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E46"/>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9A7"/>
    <w:rsid w:val="00C76D25"/>
    <w:rsid w:val="00C77350"/>
    <w:rsid w:val="00C7735F"/>
    <w:rsid w:val="00C77723"/>
    <w:rsid w:val="00C77968"/>
    <w:rsid w:val="00C8059F"/>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79F"/>
    <w:rsid w:val="00C92A60"/>
    <w:rsid w:val="00C92C39"/>
    <w:rsid w:val="00C941E4"/>
    <w:rsid w:val="00C942DD"/>
    <w:rsid w:val="00C94D4F"/>
    <w:rsid w:val="00C95209"/>
    <w:rsid w:val="00C95BA9"/>
    <w:rsid w:val="00C962C6"/>
    <w:rsid w:val="00C96A7C"/>
    <w:rsid w:val="00C97DB4"/>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5E4D"/>
    <w:rsid w:val="00CC63ED"/>
    <w:rsid w:val="00CC78E3"/>
    <w:rsid w:val="00CC7A83"/>
    <w:rsid w:val="00CD0E17"/>
    <w:rsid w:val="00CD2545"/>
    <w:rsid w:val="00CD261F"/>
    <w:rsid w:val="00CD2F2B"/>
    <w:rsid w:val="00CD37D6"/>
    <w:rsid w:val="00CD3F04"/>
    <w:rsid w:val="00CD53CE"/>
    <w:rsid w:val="00CD57FA"/>
    <w:rsid w:val="00CD597D"/>
    <w:rsid w:val="00CD5AE5"/>
    <w:rsid w:val="00CD5C10"/>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30B0"/>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2D90"/>
    <w:rsid w:val="00D23B08"/>
    <w:rsid w:val="00D23C6F"/>
    <w:rsid w:val="00D24288"/>
    <w:rsid w:val="00D27BA3"/>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0C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8AB"/>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2F5"/>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745"/>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4A8"/>
    <w:rsid w:val="00DD4677"/>
    <w:rsid w:val="00DD4D41"/>
    <w:rsid w:val="00DD4E26"/>
    <w:rsid w:val="00DD56DE"/>
    <w:rsid w:val="00DD6822"/>
    <w:rsid w:val="00DD6EF7"/>
    <w:rsid w:val="00DD722F"/>
    <w:rsid w:val="00DE02C3"/>
    <w:rsid w:val="00DE0715"/>
    <w:rsid w:val="00DE130F"/>
    <w:rsid w:val="00DE1583"/>
    <w:rsid w:val="00DE15ED"/>
    <w:rsid w:val="00DE3043"/>
    <w:rsid w:val="00DE312F"/>
    <w:rsid w:val="00DE3770"/>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2A38"/>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1437"/>
    <w:rsid w:val="00E520AA"/>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70C"/>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12D"/>
    <w:rsid w:val="00E965EA"/>
    <w:rsid w:val="00E9734F"/>
    <w:rsid w:val="00E9781E"/>
    <w:rsid w:val="00E97849"/>
    <w:rsid w:val="00EA24AB"/>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789"/>
    <w:rsid w:val="00ED1ACE"/>
    <w:rsid w:val="00ED1C7D"/>
    <w:rsid w:val="00ED2630"/>
    <w:rsid w:val="00ED321F"/>
    <w:rsid w:val="00ED391D"/>
    <w:rsid w:val="00ED4C81"/>
    <w:rsid w:val="00ED5280"/>
    <w:rsid w:val="00ED5566"/>
    <w:rsid w:val="00ED5938"/>
    <w:rsid w:val="00ED5B6D"/>
    <w:rsid w:val="00ED5E7A"/>
    <w:rsid w:val="00ED66C9"/>
    <w:rsid w:val="00ED7321"/>
    <w:rsid w:val="00EE0A0D"/>
    <w:rsid w:val="00EE0AE8"/>
    <w:rsid w:val="00EE112B"/>
    <w:rsid w:val="00EE1A2F"/>
    <w:rsid w:val="00EE2291"/>
    <w:rsid w:val="00EE2459"/>
    <w:rsid w:val="00EE24E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555"/>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2D13"/>
    <w:rsid w:val="00F532EB"/>
    <w:rsid w:val="00F53C63"/>
    <w:rsid w:val="00F54178"/>
    <w:rsid w:val="00F5563C"/>
    <w:rsid w:val="00F559E4"/>
    <w:rsid w:val="00F560EE"/>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1625"/>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0A50"/>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376"/>
    <w:rsid w:val="00FF3402"/>
    <w:rsid w:val="00FF4822"/>
    <w:rsid w:val="00FF4C7F"/>
    <w:rsid w:val="00FF4CED"/>
    <w:rsid w:val="00FF6617"/>
    <w:rsid w:val="00FF6B0B"/>
    <w:rsid w:val="00FF6B82"/>
    <w:rsid w:val="00FF742B"/>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B3FBC"/>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B3FBC"/>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4DA8-6FF7-43F3-93A5-174B6D0A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1222</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8389</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Buttler, Marc</cp:lastModifiedBy>
  <cp:revision>7</cp:revision>
  <cp:lastPrinted>2013-01-11T12:13:00Z</cp:lastPrinted>
  <dcterms:created xsi:type="dcterms:W3CDTF">2013-03-11T15:12:00Z</dcterms:created>
  <dcterms:modified xsi:type="dcterms:W3CDTF">2013-03-19T15:30:00Z</dcterms:modified>
</cp:coreProperties>
</file>