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40" w:rsidRPr="00451A40" w:rsidRDefault="00451A40" w:rsidP="00451A40">
      <w:pPr>
        <w:spacing w:before="360" w:after="360" w:line="240" w:lineRule="auto"/>
        <w:jc w:val="center"/>
        <w:rPr>
          <w:rFonts w:ascii="Times New Roman" w:eastAsia="Times New Roman" w:hAnsi="Times New Roman" w:cs="Times New Roman"/>
          <w:bCs/>
          <w:sz w:val="20"/>
          <w:szCs w:val="20"/>
        </w:rPr>
      </w:pPr>
      <w:bookmarkStart w:id="0" w:name="IV_E_UniformOpen"/>
      <w:r w:rsidRPr="00451A40">
        <w:rPr>
          <w:rFonts w:ascii="Times New Roman" w:eastAsia="Times New Roman" w:hAnsi="Times New Roman" w:cs="Times New Roman"/>
          <w:b/>
          <w:bCs/>
          <w:sz w:val="28"/>
          <w:szCs w:val="20"/>
        </w:rPr>
        <w:t>E.  Uniform Open</w:t>
      </w:r>
      <w:bookmarkEnd w:id="0"/>
      <w:r w:rsidRPr="00451A40">
        <w:rPr>
          <w:rFonts w:ascii="Times New Roman" w:eastAsia="Times New Roman" w:hAnsi="Times New Roman" w:cs="Times New Roman"/>
          <w:b/>
          <w:bCs/>
          <w:sz w:val="28"/>
          <w:szCs w:val="20"/>
        </w:rPr>
        <w:t xml:space="preserve"> Dating Regulation</w:t>
      </w:r>
      <w:r w:rsidRPr="00451A40">
        <w:rPr>
          <w:rFonts w:ascii="Times New Roman" w:eastAsia="Times New Roman" w:hAnsi="Times New Roman" w:cs="Times New Roman"/>
          <w:bCs/>
          <w:sz w:val="20"/>
          <w:szCs w:val="20"/>
        </w:rPr>
        <w:fldChar w:fldCharType="begin"/>
      </w:r>
      <w:r w:rsidRPr="00451A40">
        <w:rPr>
          <w:rFonts w:ascii="Times New Roman" w:eastAsia="Times New Roman" w:hAnsi="Times New Roman" w:cs="Times New Roman"/>
          <w:bCs/>
          <w:sz w:val="20"/>
          <w:szCs w:val="20"/>
        </w:rPr>
        <w:instrText>xe "Open dating"</w:instrText>
      </w:r>
      <w:r w:rsidRPr="00451A40">
        <w:rPr>
          <w:rFonts w:ascii="Times New Roman" w:eastAsia="Times New Roman" w:hAnsi="Times New Roman" w:cs="Times New Roman"/>
          <w:bCs/>
          <w:sz w:val="20"/>
          <w:szCs w:val="20"/>
        </w:rPr>
        <w:fldChar w:fldCharType="end"/>
      </w:r>
      <w:r w:rsidRPr="00451A40">
        <w:rPr>
          <w:rFonts w:ascii="Times New Roman" w:eastAsia="Times New Roman" w:hAnsi="Times New Roman" w:cs="Times New Roman"/>
          <w:bCs/>
          <w:sz w:val="20"/>
          <w:szCs w:val="20"/>
        </w:rPr>
        <w:fldChar w:fldCharType="begin"/>
      </w:r>
      <w:r w:rsidRPr="00451A40">
        <w:rPr>
          <w:rFonts w:ascii="Times New Roman" w:eastAsia="Times New Roman" w:hAnsi="Times New Roman" w:cs="Times New Roman"/>
          <w:bCs/>
          <w:sz w:val="20"/>
          <w:szCs w:val="20"/>
        </w:rPr>
        <w:instrText>xe "Uniform Open Dating Regulation"</w:instrText>
      </w:r>
      <w:r w:rsidRPr="00451A40">
        <w:rPr>
          <w:rFonts w:ascii="Times New Roman" w:eastAsia="Times New Roman" w:hAnsi="Times New Roman" w:cs="Times New Roman"/>
          <w:bCs/>
          <w:sz w:val="20"/>
          <w:szCs w:val="20"/>
        </w:rPr>
        <w:fldChar w:fldCharType="end"/>
      </w:r>
    </w:p>
    <w:p w:rsidR="00451A40" w:rsidRPr="00451A40" w:rsidRDefault="00451A40" w:rsidP="00451A40">
      <w:pPr>
        <w:spacing w:after="0" w:line="240" w:lineRule="auto"/>
        <w:jc w:val="center"/>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as adopted by</w:t>
      </w:r>
    </w:p>
    <w:p w:rsidR="00451A40" w:rsidRPr="00451A40" w:rsidRDefault="00451A40" w:rsidP="00451A40">
      <w:pPr>
        <w:spacing w:after="0" w:line="240" w:lineRule="auto"/>
        <w:jc w:val="center"/>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The National Conference on Weights and Measures</w:t>
      </w:r>
      <w:r w:rsidRPr="00451A40">
        <w:rPr>
          <w:rFonts w:ascii="Times New Roman" w:eastAsia="Times New Roman" w:hAnsi="Times New Roman" w:cs="Times New Roman"/>
          <w:sz w:val="20"/>
          <w:szCs w:val="24"/>
          <w:vertAlign w:val="superscript"/>
        </w:rPr>
        <w:footnoteReference w:customMarkFollows="1" w:id="1"/>
        <w:sym w:font="Symbol" w:char="F02A"/>
      </w:r>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 w:name="_Toc173378019"/>
      <w:bookmarkStart w:id="3" w:name="_Toc173379259"/>
      <w:bookmarkStart w:id="4" w:name="_Toc173381137"/>
      <w:bookmarkStart w:id="5" w:name="_Toc173383098"/>
      <w:bookmarkStart w:id="6" w:name="_Toc173384811"/>
      <w:bookmarkStart w:id="7" w:name="_Toc173385342"/>
      <w:bookmarkStart w:id="8" w:name="_Toc173386375"/>
      <w:bookmarkStart w:id="9" w:name="_Toc173393264"/>
      <w:bookmarkStart w:id="10" w:name="_Toc173394140"/>
      <w:bookmarkStart w:id="11" w:name="_Toc173408942"/>
      <w:bookmarkStart w:id="12" w:name="_Toc173472941"/>
      <w:bookmarkStart w:id="13" w:name="_Toc173752351"/>
      <w:bookmarkStart w:id="14" w:name="_Toc173771050"/>
      <w:bookmarkStart w:id="15" w:name="_Toc174456755"/>
      <w:bookmarkStart w:id="16" w:name="_Toc174458557"/>
      <w:r w:rsidRPr="00451A40">
        <w:rPr>
          <w:rFonts w:ascii="Times New Roman" w:eastAsia="Times New Roman" w:hAnsi="Times New Roman" w:cs="Times New Roman"/>
          <w:b/>
          <w:bCs/>
          <w:sz w:val="24"/>
        </w:rPr>
        <w:t>1.  Background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Numerous state and local jurisdictions have provided for, or are considering, mandatory open dating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"Open dating"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of certain packaged commodities.  Additionally, many commodities in the marketplace are now voluntarily open dated.  Lack of uniformity between jurisdictions could impede the orderly flow of commerce.</w:t>
      </w:r>
    </w:p>
    <w:p w:rsidR="00451A40" w:rsidRPr="00451A40" w:rsidRDefault="00451A40" w:rsidP="00451A40">
      <w:pPr>
        <w:spacing w:after="0" w:line="240" w:lineRule="auto"/>
        <w:jc w:val="both"/>
        <w:rPr>
          <w:rFonts w:ascii="Times New Roman" w:eastAsia="Times New Roman" w:hAnsi="Times New Roman" w:cs="Times New Roman"/>
          <w:sz w:val="20"/>
          <w:szCs w:val="24"/>
        </w:rPr>
      </w:pPr>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In 1985, the National Conference on Weights and Measures (NCWM), in concert with the Association of Food and Drug Officials, wrote a new Uniform Regulation.  It resolved the differences in the versions developed independently by the two organizations.</w:t>
      </w:r>
    </w:p>
    <w:p w:rsidR="00451A40" w:rsidRPr="00451A40" w:rsidRDefault="00451A40" w:rsidP="00451A40">
      <w:pPr>
        <w:spacing w:after="0" w:line="240" w:lineRule="auto"/>
        <w:jc w:val="both"/>
        <w:rPr>
          <w:rFonts w:ascii="Times New Roman" w:eastAsia="Times New Roman" w:hAnsi="Times New Roman" w:cs="Times New Roman"/>
          <w:sz w:val="20"/>
          <w:szCs w:val="24"/>
        </w:rPr>
      </w:pPr>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The regulation provides two options for implementation by the states.  One requires open dating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"Open dating"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on all perishable foods</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"Perishable food"</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and the other permits voluntary open dating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"Open dating"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of such foods.  In the latter (voluntary) case, the open dating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"Open dating"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must then conform to the uniform regulation.  Notes to Sections 1.1. Purpose and 3.1. “Sell By” Date indicate the alternate wording for the voluntary version of the Regulation.</w:t>
      </w:r>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7" w:name="_Toc173378020"/>
      <w:bookmarkStart w:id="18" w:name="_Toc173379260"/>
      <w:bookmarkStart w:id="19" w:name="_Toc173381138"/>
      <w:bookmarkStart w:id="20" w:name="_Toc173383099"/>
      <w:bookmarkStart w:id="21" w:name="_Toc173384812"/>
      <w:bookmarkStart w:id="22" w:name="_Toc173385343"/>
      <w:bookmarkStart w:id="23" w:name="_Toc173386376"/>
      <w:bookmarkStart w:id="24" w:name="_Toc173393265"/>
      <w:bookmarkStart w:id="25" w:name="_Toc173394141"/>
      <w:bookmarkStart w:id="26" w:name="_Toc173408943"/>
      <w:bookmarkStart w:id="27" w:name="_Toc173472942"/>
      <w:bookmarkStart w:id="28" w:name="_Toc173752352"/>
      <w:bookmarkStart w:id="29" w:name="_Toc173771051"/>
      <w:bookmarkStart w:id="30" w:name="_Toc174456756"/>
      <w:bookmarkStart w:id="31" w:name="_Toc174458558"/>
      <w:r w:rsidRPr="00451A40">
        <w:rPr>
          <w:rFonts w:ascii="Times New Roman" w:eastAsia="Times New Roman" w:hAnsi="Times New Roman" w:cs="Times New Roman"/>
          <w:b/>
          <w:bCs/>
          <w:sz w:val="24"/>
        </w:rPr>
        <w:t>2.  Status of Promulgation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The table beginning on page 8 shows the status of adoption of the Uniform Open Dating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"Open dating"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Regulation.</w:t>
      </w:r>
    </w:p>
    <w:p w:rsidR="00451A40" w:rsidRPr="00451A40" w:rsidRDefault="00451A40" w:rsidP="00451A40">
      <w:pPr>
        <w:spacing w:after="0" w:line="240" w:lineRule="auto"/>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br w:type="page"/>
      </w:r>
    </w:p>
    <w:p w:rsidR="00451A40" w:rsidRPr="00451A40" w:rsidRDefault="00451A40" w:rsidP="00451A40">
      <w:pPr>
        <w:spacing w:after="0" w:line="240" w:lineRule="auto"/>
        <w:jc w:val="both"/>
        <w:rPr>
          <w:rFonts w:ascii="Times New Roman" w:eastAsia="Times New Roman" w:hAnsi="Times New Roman" w:cs="Times New Roman"/>
          <w:sz w:val="20"/>
          <w:szCs w:val="24"/>
        </w:rPr>
      </w:pPr>
    </w:p>
    <w:p w:rsidR="00451A40" w:rsidRPr="00451A40" w:rsidRDefault="00451A40" w:rsidP="00451A40">
      <w:pPr>
        <w:spacing w:after="0" w:line="240" w:lineRule="auto"/>
        <w:rPr>
          <w:rFonts w:ascii="Times New Roman" w:eastAsia="Times New Roman" w:hAnsi="Times New Roman" w:cs="Times New Roman"/>
          <w:sz w:val="20"/>
          <w:szCs w:val="24"/>
        </w:rPr>
      </w:pPr>
    </w:p>
    <w:p w:rsidR="00451A40" w:rsidRPr="00451A40" w:rsidRDefault="00451A40" w:rsidP="00451A40">
      <w:pPr>
        <w:spacing w:after="0" w:line="240" w:lineRule="auto"/>
        <w:jc w:val="both"/>
        <w:rPr>
          <w:rFonts w:ascii="Times New Roman" w:eastAsia="Times New Roman" w:hAnsi="Times New Roman" w:cs="Times New Roman"/>
          <w:i/>
          <w:iCs/>
          <w:sz w:val="20"/>
          <w:szCs w:val="24"/>
        </w:rPr>
      </w:pPr>
    </w:p>
    <w:p w:rsidR="00451A40" w:rsidRPr="00451A40" w:rsidRDefault="00451A40" w:rsidP="00451A40">
      <w:pPr>
        <w:spacing w:before="4060" w:after="0" w:line="240" w:lineRule="auto"/>
        <w:jc w:val="center"/>
        <w:rPr>
          <w:rFonts w:ascii="Times New Roman" w:eastAsia="Times New Roman" w:hAnsi="Times New Roman" w:cs="Times New Roman"/>
          <w:bCs/>
          <w:sz w:val="20"/>
          <w:szCs w:val="24"/>
        </w:rPr>
      </w:pPr>
      <w:r w:rsidRPr="00451A40">
        <w:rPr>
          <w:rFonts w:ascii="Times New Roman" w:eastAsia="Times New Roman" w:hAnsi="Times New Roman" w:cs="Times New Roman"/>
          <w:bCs/>
          <w:sz w:val="20"/>
          <w:szCs w:val="24"/>
        </w:rPr>
        <w:t>THIS PAGE INTENTIONALLY LEFT BLANK</w:t>
      </w:r>
    </w:p>
    <w:p w:rsidR="00451A40" w:rsidRPr="00451A40" w:rsidRDefault="00451A40" w:rsidP="00451A40">
      <w:pPr>
        <w:spacing w:after="0" w:line="240" w:lineRule="auto"/>
        <w:jc w:val="center"/>
        <w:rPr>
          <w:rFonts w:ascii="Times New Roman" w:eastAsia="Times New Roman" w:hAnsi="Times New Roman" w:cs="Times New Roman"/>
          <w:sz w:val="20"/>
          <w:szCs w:val="24"/>
        </w:rPr>
      </w:pPr>
    </w:p>
    <w:p w:rsidR="00451A40" w:rsidRPr="00451A40" w:rsidRDefault="00451A40" w:rsidP="00451A40">
      <w:pPr>
        <w:spacing w:before="240" w:after="480" w:line="240" w:lineRule="auto"/>
        <w:jc w:val="center"/>
        <w:rPr>
          <w:rFonts w:ascii="Times New Roman" w:eastAsia="Times New Roman" w:hAnsi="Times New Roman" w:cs="Times New Roman"/>
          <w:b/>
          <w:bCs/>
          <w:sz w:val="24"/>
          <w:szCs w:val="24"/>
        </w:rPr>
      </w:pPr>
      <w:r w:rsidRPr="00451A40">
        <w:rPr>
          <w:rFonts w:ascii="Times New Roman" w:eastAsia="Times New Roman" w:hAnsi="Times New Roman" w:cs="Times New Roman"/>
          <w:sz w:val="20"/>
          <w:szCs w:val="24"/>
        </w:rPr>
        <w:br w:type="page"/>
      </w:r>
      <w:r w:rsidRPr="00451A40">
        <w:rPr>
          <w:rFonts w:ascii="Times New Roman" w:eastAsia="Times New Roman" w:hAnsi="Times New Roman" w:cs="Times New Roman"/>
          <w:b/>
          <w:sz w:val="28"/>
          <w:szCs w:val="28"/>
        </w:rPr>
        <w:lastRenderedPageBreak/>
        <w:t>E.</w:t>
      </w:r>
      <w:r w:rsidRPr="00451A40">
        <w:rPr>
          <w:rFonts w:ascii="Times New Roman" w:eastAsia="Times New Roman" w:hAnsi="Times New Roman" w:cs="Times New Roman"/>
          <w:sz w:val="20"/>
          <w:szCs w:val="24"/>
        </w:rPr>
        <w:t>  </w:t>
      </w:r>
      <w:r w:rsidRPr="00451A40">
        <w:rPr>
          <w:rFonts w:ascii="Times New Roman" w:eastAsia="Times New Roman" w:hAnsi="Times New Roman" w:cs="Times New Roman"/>
          <w:b/>
          <w:bCs/>
          <w:sz w:val="24"/>
          <w:szCs w:val="24"/>
        </w:rPr>
        <w:t>Uniform Open Dating Regulation</w:t>
      </w:r>
    </w:p>
    <w:p w:rsidR="00451A40" w:rsidRPr="00451A40" w:rsidRDefault="00451A40" w:rsidP="00451A40">
      <w:pPr>
        <w:spacing w:after="360" w:line="240" w:lineRule="auto"/>
        <w:jc w:val="center"/>
        <w:rPr>
          <w:rFonts w:ascii="Times New Roman" w:eastAsia="Times New Roman" w:hAnsi="Times New Roman" w:cs="Times New Roman"/>
          <w:b/>
          <w:bCs/>
          <w:sz w:val="24"/>
          <w:szCs w:val="24"/>
        </w:rPr>
      </w:pPr>
      <w:r w:rsidRPr="00451A40">
        <w:rPr>
          <w:rFonts w:ascii="Times New Roman" w:eastAsia="Times New Roman" w:hAnsi="Times New Roman" w:cs="Times New Roman"/>
          <w:b/>
          <w:bCs/>
          <w:sz w:val="24"/>
          <w:szCs w:val="24"/>
        </w:rPr>
        <w:t>Table of Contents</w:t>
      </w:r>
    </w:p>
    <w:p w:rsidR="00451A40" w:rsidRPr="00451A40" w:rsidRDefault="00451A40" w:rsidP="00451A40">
      <w:pPr>
        <w:tabs>
          <w:tab w:val="left" w:pos="475"/>
          <w:tab w:val="right" w:pos="9360"/>
        </w:tabs>
        <w:spacing w:after="0" w:line="240" w:lineRule="auto"/>
        <w:jc w:val="both"/>
        <w:rPr>
          <w:rFonts w:ascii="Times New Roman" w:eastAsia="Times New Roman" w:hAnsi="Times New Roman" w:cs="Times New Roman"/>
          <w:noProof/>
          <w:sz w:val="20"/>
          <w:szCs w:val="24"/>
        </w:rPr>
      </w:pPr>
      <w:r w:rsidRPr="00451A40">
        <w:rPr>
          <w:rFonts w:ascii="Times New Roman" w:eastAsia="Times New Roman" w:hAnsi="Times New Roman" w:cs="Times New Roman"/>
          <w:b/>
          <w:bCs/>
          <w:sz w:val="20"/>
          <w:szCs w:val="24"/>
        </w:rPr>
        <w:t>Section</w:t>
      </w:r>
      <w:r w:rsidRPr="00451A40">
        <w:rPr>
          <w:rFonts w:ascii="Times New Roman" w:eastAsia="Times New Roman" w:hAnsi="Times New Roman" w:cs="Times New Roman"/>
          <w:sz w:val="20"/>
          <w:szCs w:val="24"/>
        </w:rPr>
        <w:tab/>
      </w:r>
      <w:r w:rsidRPr="00451A40">
        <w:rPr>
          <w:rFonts w:ascii="Times New Roman" w:eastAsia="Times New Roman" w:hAnsi="Times New Roman" w:cs="Times New Roman"/>
          <w:b/>
          <w:bCs/>
          <w:sz w:val="20"/>
          <w:szCs w:val="24"/>
        </w:rPr>
        <w:t>Page</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 xml:space="preserve"> TOC \f \h \z \t "OpenDateLevel1,1,OpenDateLevel2,2,OpenDateLevel3,3" </w:instrText>
      </w:r>
      <w:r w:rsidRPr="00451A40">
        <w:rPr>
          <w:rFonts w:ascii="Times New Roman" w:eastAsia="Times New Roman" w:hAnsi="Times New Roman" w:cs="Times New Roman"/>
          <w:sz w:val="20"/>
          <w:szCs w:val="24"/>
        </w:rPr>
        <w:fldChar w:fldCharType="separate"/>
      </w:r>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05" w:history="1">
        <w:r w:rsidRPr="00451A40">
          <w:rPr>
            <w:rFonts w:ascii="Times New Roman" w:eastAsia="Times New Roman" w:hAnsi="Times New Roman" w:cs="Times New Roman"/>
            <w:noProof/>
            <w:sz w:val="20"/>
            <w:szCs w:val="24"/>
          </w:rPr>
          <w:t>Section 1.  Purpose, Scope, and Application</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_Toc493750305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165</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06" w:history="1">
        <w:r w:rsidRPr="00451A40">
          <w:rPr>
            <w:rFonts w:ascii="Times New Roman" w:eastAsia="Times New Roman" w:hAnsi="Times New Roman" w:cs="Times New Roman"/>
            <w:bCs/>
            <w:noProof/>
            <w:sz w:val="20"/>
            <w:szCs w:val="24"/>
          </w:rPr>
          <w:t>1.1.  Purpose.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_Toc493750306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07" w:history="1">
        <w:r w:rsidRPr="00451A40">
          <w:rPr>
            <w:rFonts w:ascii="Times New Roman" w:eastAsia="Times New Roman" w:hAnsi="Times New Roman" w:cs="Times New Roman"/>
            <w:bCs/>
            <w:noProof/>
            <w:sz w:val="20"/>
            <w:szCs w:val="24"/>
          </w:rPr>
          <w:t>1.2.  Scope and Application.</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_Toc493750307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08" w:history="1">
        <w:r w:rsidRPr="00451A40">
          <w:rPr>
            <w:rFonts w:ascii="Times New Roman" w:eastAsia="Times New Roman" w:hAnsi="Times New Roman" w:cs="Times New Roman"/>
            <w:noProof/>
            <w:sz w:val="20"/>
            <w:szCs w:val="24"/>
          </w:rPr>
          <w:t>Section 2.  Definitions</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_Toc493750308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165</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09" w:history="1">
        <w:r w:rsidRPr="00451A40">
          <w:rPr>
            <w:rFonts w:ascii="Times New Roman" w:eastAsia="Times New Roman" w:hAnsi="Times New Roman" w:cs="Times New Roman"/>
            <w:bCs/>
            <w:noProof/>
            <w:sz w:val="20"/>
            <w:szCs w:val="24"/>
          </w:rPr>
          <w:t>2.1.  “Sell By”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_Toc493750309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10" w:history="1">
        <w:r w:rsidRPr="00451A40">
          <w:rPr>
            <w:rFonts w:ascii="Times New Roman" w:eastAsia="Times New Roman" w:hAnsi="Times New Roman" w:cs="Times New Roman"/>
            <w:bCs/>
            <w:noProof/>
            <w:sz w:val="20"/>
            <w:szCs w:val="24"/>
          </w:rPr>
          <w:t>2.2.  Perishable Food.</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_Toc493750310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11" w:history="1">
        <w:r w:rsidRPr="00451A40">
          <w:rPr>
            <w:rFonts w:ascii="Times New Roman" w:eastAsia="Times New Roman" w:hAnsi="Times New Roman" w:cs="Times New Roman"/>
            <w:bCs/>
            <w:noProof/>
            <w:sz w:val="20"/>
            <w:szCs w:val="24"/>
          </w:rPr>
          <w:t>2.3.  Semi Perishable Food.</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_Toc493750311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12" w:history="1">
        <w:r w:rsidRPr="00451A40">
          <w:rPr>
            <w:rFonts w:ascii="Times New Roman" w:eastAsia="Times New Roman" w:hAnsi="Times New Roman" w:cs="Times New Roman"/>
            <w:bCs/>
            <w:noProof/>
            <w:sz w:val="20"/>
            <w:szCs w:val="24"/>
          </w:rPr>
          <w:t>2.4.  Long Shelf Life Food.</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_Toc493750312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13" w:history="1">
        <w:r w:rsidRPr="00451A40">
          <w:rPr>
            <w:rFonts w:ascii="Times New Roman" w:eastAsia="Times New Roman" w:hAnsi="Times New Roman" w:cs="Times New Roman"/>
            <w:bCs/>
            <w:noProof/>
            <w:sz w:val="20"/>
            <w:szCs w:val="24"/>
          </w:rPr>
          <w:t>2.5.  Prepackaged.</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_Toc493750313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14" w:history="1">
        <w:r w:rsidRPr="00451A40">
          <w:rPr>
            <w:rFonts w:ascii="Times New Roman" w:eastAsia="Times New Roman" w:hAnsi="Times New Roman" w:cs="Times New Roman"/>
            <w:bCs/>
            <w:noProof/>
            <w:sz w:val="20"/>
            <w:szCs w:val="24"/>
          </w:rPr>
          <w:t>2.6.  “Best If Used By”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_Toc493750314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15" w:history="1">
        <w:r w:rsidRPr="00451A40">
          <w:rPr>
            <w:rFonts w:ascii="Times New Roman" w:eastAsia="Times New Roman" w:hAnsi="Times New Roman" w:cs="Times New Roman"/>
            <w:bCs/>
            <w:noProof/>
            <w:sz w:val="20"/>
            <w:szCs w:val="24"/>
          </w:rPr>
          <w:t>2.7.  Person.</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_Toc493750315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16" w:history="1">
        <w:r w:rsidRPr="00451A40">
          <w:rPr>
            <w:rFonts w:ascii="Times New Roman" w:eastAsia="Times New Roman" w:hAnsi="Times New Roman" w:cs="Times New Roman"/>
            <w:noProof/>
            <w:sz w:val="20"/>
            <w:szCs w:val="24"/>
          </w:rPr>
          <w:t>Section 3.  Sale of Perishable Food and Date Determination</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_Toc493750316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165</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17" w:history="1">
        <w:r w:rsidRPr="00451A40">
          <w:rPr>
            <w:rFonts w:ascii="Times New Roman" w:eastAsia="Times New Roman" w:hAnsi="Times New Roman" w:cs="Times New Roman"/>
            <w:bCs/>
            <w:noProof/>
            <w:sz w:val="20"/>
            <w:szCs w:val="24"/>
          </w:rPr>
          <w:t>3.1.  “Sell By”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_Toc493750317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165</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18" w:history="1">
        <w:r w:rsidRPr="00451A40">
          <w:rPr>
            <w:rFonts w:ascii="Times New Roman" w:eastAsia="Times New Roman" w:hAnsi="Times New Roman" w:cs="Times New Roman"/>
            <w:bCs/>
            <w:noProof/>
            <w:sz w:val="20"/>
            <w:szCs w:val="24"/>
          </w:rPr>
          <w:t>3.2.  Sale After Expiration of “Sell By”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_Toc493750318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166</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19" w:history="1">
        <w:r w:rsidRPr="00451A40">
          <w:rPr>
            <w:rFonts w:ascii="Times New Roman" w:eastAsia="Times New Roman" w:hAnsi="Times New Roman" w:cs="Times New Roman"/>
            <w:noProof/>
            <w:sz w:val="20"/>
            <w:szCs w:val="24"/>
          </w:rPr>
          <w:t>3.2.1.  Advertisement.</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_Toc493750319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20" w:history="1">
        <w:r w:rsidRPr="00451A40">
          <w:rPr>
            <w:rFonts w:ascii="Times New Roman" w:eastAsia="Times New Roman" w:hAnsi="Times New Roman" w:cs="Times New Roman"/>
            <w:noProof/>
            <w:sz w:val="20"/>
            <w:szCs w:val="24"/>
          </w:rPr>
          <w:t>3.2.2.  Responsibility for Advertisement.</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_Toc493750320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21" w:history="1">
        <w:r w:rsidRPr="00451A40">
          <w:rPr>
            <w:rFonts w:ascii="Times New Roman" w:eastAsia="Times New Roman" w:hAnsi="Times New Roman" w:cs="Times New Roman"/>
            <w:bCs/>
            <w:noProof/>
            <w:sz w:val="20"/>
            <w:szCs w:val="24"/>
          </w:rPr>
          <w:t>3.3.  Determination of “Sell By”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_Toc493750321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166</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22" w:history="1">
        <w:r w:rsidRPr="00451A40">
          <w:rPr>
            <w:rFonts w:ascii="Times New Roman" w:eastAsia="Times New Roman" w:hAnsi="Times New Roman" w:cs="Times New Roman"/>
            <w:noProof/>
            <w:sz w:val="20"/>
            <w:szCs w:val="24"/>
          </w:rPr>
          <w:t>3.3.1.  Reasonable Period for Consumption.</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_Toc493750322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23" w:history="1">
        <w:r w:rsidRPr="00451A40">
          <w:rPr>
            <w:rFonts w:ascii="Times New Roman" w:eastAsia="Times New Roman" w:hAnsi="Times New Roman" w:cs="Times New Roman"/>
            <w:noProof/>
            <w:sz w:val="20"/>
            <w:szCs w:val="24"/>
          </w:rPr>
          <w:t>3.3.2.  Responsibility for “Sell By” Date.</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_Toc493750323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24" w:history="1">
        <w:r w:rsidRPr="00451A40">
          <w:rPr>
            <w:rFonts w:ascii="Times New Roman" w:eastAsia="Times New Roman" w:hAnsi="Times New Roman" w:cs="Times New Roman"/>
            <w:bCs/>
            <w:noProof/>
            <w:sz w:val="20"/>
            <w:szCs w:val="24"/>
          </w:rPr>
          <w:t>3.4.  Manner of Expressing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_Toc493750324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166</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25" w:history="1">
        <w:r w:rsidRPr="00451A40">
          <w:rPr>
            <w:rFonts w:ascii="Times New Roman" w:eastAsia="Times New Roman" w:hAnsi="Times New Roman" w:cs="Times New Roman"/>
            <w:noProof/>
            <w:sz w:val="20"/>
            <w:szCs w:val="24"/>
          </w:rPr>
          <w:t>3.4.1.  Month and Day, or Day of Week.</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_Toc493750325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26" w:history="1">
        <w:r w:rsidRPr="00451A40">
          <w:rPr>
            <w:rFonts w:ascii="Times New Roman" w:eastAsia="Times New Roman" w:hAnsi="Times New Roman" w:cs="Times New Roman"/>
            <w:noProof/>
            <w:sz w:val="20"/>
            <w:szCs w:val="24"/>
          </w:rPr>
          <w:t>3.4.2.  The term “Sell By.”</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_Toc493750326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27" w:history="1">
        <w:r w:rsidRPr="00451A40">
          <w:rPr>
            <w:rFonts w:ascii="Times New Roman" w:eastAsia="Times New Roman" w:hAnsi="Times New Roman" w:cs="Times New Roman"/>
            <w:noProof/>
            <w:sz w:val="20"/>
            <w:szCs w:val="24"/>
          </w:rPr>
          <w:t>3.4.3.  Abbreviation of Weekday.</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_Toc493750327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28" w:history="1">
        <w:r w:rsidRPr="00451A40">
          <w:rPr>
            <w:rFonts w:ascii="Times New Roman" w:eastAsia="Times New Roman" w:hAnsi="Times New Roman" w:cs="Times New Roman"/>
            <w:noProof/>
            <w:sz w:val="20"/>
            <w:szCs w:val="24"/>
          </w:rPr>
          <w:t>3.4.4.  Expression of Month and Day.</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_Toc493750328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after="0" w:line="240" w:lineRule="auto"/>
        <w:ind w:left="1440" w:hanging="720"/>
        <w:rPr>
          <w:rFonts w:ascii="Calibri" w:eastAsia="Times New Roman" w:hAnsi="Calibri" w:cs="Times New Roman"/>
          <w:noProof/>
        </w:rPr>
      </w:pPr>
      <w:hyperlink w:anchor="_Toc493750329" w:history="1">
        <w:r w:rsidRPr="00451A40">
          <w:rPr>
            <w:rFonts w:ascii="Times New Roman" w:eastAsia="Times New Roman" w:hAnsi="Times New Roman" w:cs="Times New Roman"/>
            <w:noProof/>
            <w:sz w:val="20"/>
            <w:szCs w:val="24"/>
          </w:rPr>
          <w:t>3.4.5.  Expression of the Year.</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_Toc493750329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166</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30" w:history="1">
        <w:r w:rsidRPr="00451A40">
          <w:rPr>
            <w:rFonts w:ascii="Times New Roman" w:eastAsia="Times New Roman" w:hAnsi="Times New Roman" w:cs="Times New Roman"/>
            <w:noProof/>
            <w:sz w:val="20"/>
            <w:szCs w:val="24"/>
          </w:rPr>
          <w:t>Section 4.  Sale of Semi Perishable and Long Shelf Life Food</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_Toc493750330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167</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31" w:history="1">
        <w:r w:rsidRPr="00451A40">
          <w:rPr>
            <w:rFonts w:ascii="Times New Roman" w:eastAsia="Times New Roman" w:hAnsi="Times New Roman" w:cs="Times New Roman"/>
            <w:bCs/>
            <w:noProof/>
            <w:sz w:val="20"/>
            <w:szCs w:val="24"/>
          </w:rPr>
          <w:t>4.1.  “Best If Used By”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_Toc493750331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167</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32" w:history="1">
        <w:r w:rsidRPr="00451A40">
          <w:rPr>
            <w:rFonts w:ascii="Times New Roman" w:eastAsia="Times New Roman" w:hAnsi="Times New Roman" w:cs="Times New Roman"/>
            <w:bCs/>
            <w:noProof/>
            <w:sz w:val="20"/>
            <w:szCs w:val="24"/>
          </w:rPr>
          <w:t>4.2.  Sale After Expiration of “Best If Used By”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_Toc493750332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167</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333" w:history="1">
        <w:r w:rsidRPr="00451A40">
          <w:rPr>
            <w:rFonts w:ascii="Times New Roman" w:eastAsia="Times New Roman" w:hAnsi="Times New Roman" w:cs="Times New Roman"/>
            <w:bCs/>
            <w:noProof/>
            <w:sz w:val="20"/>
            <w:szCs w:val="24"/>
          </w:rPr>
          <w:t>4.3.  Manner of Expressing Date.</w:t>
        </w:r>
        <w:r w:rsidRPr="00451A40">
          <w:rPr>
            <w:rFonts w:ascii="Times New Roman" w:eastAsia="Times New Roman" w:hAnsi="Times New Roman" w:cs="Times New Roman"/>
            <w:bCs/>
            <w:noProof/>
            <w:webHidden/>
            <w:sz w:val="20"/>
            <w:szCs w:val="24"/>
          </w:rPr>
          <w:tab/>
        </w:r>
        <w:r w:rsidRPr="00451A40">
          <w:rPr>
            <w:rFonts w:ascii="Times New Roman" w:eastAsia="Times New Roman" w:hAnsi="Times New Roman" w:cs="Times New Roman"/>
            <w:bCs/>
            <w:noProof/>
            <w:webHidden/>
            <w:sz w:val="20"/>
            <w:szCs w:val="24"/>
          </w:rPr>
          <w:fldChar w:fldCharType="begin"/>
        </w:r>
        <w:r w:rsidRPr="00451A40">
          <w:rPr>
            <w:rFonts w:ascii="Times New Roman" w:eastAsia="Times New Roman" w:hAnsi="Times New Roman" w:cs="Times New Roman"/>
            <w:bCs/>
            <w:noProof/>
            <w:webHidden/>
            <w:sz w:val="20"/>
            <w:szCs w:val="24"/>
          </w:rPr>
          <w:instrText xml:space="preserve"> PAGEREF _Toc493750333 \h </w:instrText>
        </w:r>
        <w:r w:rsidRPr="00451A40">
          <w:rPr>
            <w:rFonts w:ascii="Times New Roman" w:eastAsia="Times New Roman" w:hAnsi="Times New Roman" w:cs="Times New Roman"/>
            <w:bCs/>
            <w:noProof/>
            <w:webHidden/>
            <w:sz w:val="20"/>
            <w:szCs w:val="24"/>
          </w:rPr>
        </w:r>
        <w:r w:rsidRPr="00451A40">
          <w:rPr>
            <w:rFonts w:ascii="Times New Roman" w:eastAsia="Times New Roman" w:hAnsi="Times New Roman" w:cs="Times New Roman"/>
            <w:bCs/>
            <w:noProof/>
            <w:webHidden/>
            <w:sz w:val="20"/>
            <w:szCs w:val="24"/>
          </w:rPr>
          <w:fldChar w:fldCharType="separate"/>
        </w:r>
        <w:r w:rsidRPr="00451A40">
          <w:rPr>
            <w:rFonts w:ascii="Times New Roman" w:eastAsia="Times New Roman" w:hAnsi="Times New Roman" w:cs="Times New Roman"/>
            <w:bCs/>
            <w:noProof/>
            <w:webHidden/>
            <w:sz w:val="20"/>
            <w:szCs w:val="24"/>
          </w:rPr>
          <w:t>167</w:t>
        </w:r>
        <w:r w:rsidRPr="00451A40">
          <w:rPr>
            <w:rFonts w:ascii="Times New Roman" w:eastAsia="Times New Roman" w:hAnsi="Times New Roman" w:cs="Times New Roman"/>
            <w:bCs/>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34" w:history="1">
        <w:r w:rsidRPr="00451A40">
          <w:rPr>
            <w:rFonts w:ascii="Times New Roman" w:eastAsia="Times New Roman" w:hAnsi="Times New Roman" w:cs="Times New Roman"/>
            <w:noProof/>
            <w:sz w:val="20"/>
            <w:szCs w:val="24"/>
          </w:rPr>
          <w:t>Section 5.  Placement of the Date</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_Toc493750334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167</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35" w:history="1">
        <w:r w:rsidRPr="00451A40">
          <w:rPr>
            <w:rFonts w:ascii="Times New Roman" w:eastAsia="Times New Roman" w:hAnsi="Times New Roman" w:cs="Times New Roman"/>
            <w:noProof/>
            <w:sz w:val="20"/>
            <w:szCs w:val="24"/>
          </w:rPr>
          <w:t>Section 6.  Factors for the Date Determination</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_Toc493750335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167</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36" w:history="1">
        <w:r w:rsidRPr="00451A40">
          <w:rPr>
            <w:rFonts w:ascii="Times New Roman" w:eastAsia="Times New Roman" w:hAnsi="Times New Roman" w:cs="Times New Roman"/>
            <w:noProof/>
            <w:sz w:val="20"/>
            <w:szCs w:val="24"/>
          </w:rPr>
          <w:t>Section 7.  Records</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_Toc493750336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167</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37" w:history="1">
        <w:r w:rsidRPr="00451A40">
          <w:rPr>
            <w:rFonts w:ascii="Times New Roman" w:eastAsia="Times New Roman" w:hAnsi="Times New Roman" w:cs="Times New Roman"/>
            <w:noProof/>
            <w:sz w:val="20"/>
            <w:szCs w:val="24"/>
          </w:rPr>
          <w:t>Section 8.  Exemptions</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_Toc493750337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167</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38" w:history="1">
        <w:r w:rsidRPr="00451A40">
          <w:rPr>
            <w:rFonts w:ascii="Times New Roman" w:eastAsia="Times New Roman" w:hAnsi="Times New Roman" w:cs="Times New Roman"/>
            <w:noProof/>
            <w:sz w:val="20"/>
            <w:szCs w:val="24"/>
          </w:rPr>
          <w:t>Section 9.  Preemption of Local, County, and Municipal Ordinance</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_Toc493750338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168</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tabs>
          <w:tab w:val="right" w:leader="dot" w:pos="9360"/>
        </w:tabs>
        <w:spacing w:before="200" w:after="200" w:line="240" w:lineRule="auto"/>
        <w:ind w:left="432" w:hanging="432"/>
        <w:rPr>
          <w:rFonts w:ascii="Calibri" w:eastAsia="Times New Roman" w:hAnsi="Calibri" w:cs="Times New Roman"/>
          <w:noProof/>
        </w:rPr>
      </w:pPr>
      <w:hyperlink w:anchor="_Toc493750339" w:history="1">
        <w:r w:rsidRPr="00451A40">
          <w:rPr>
            <w:rFonts w:ascii="Times New Roman" w:eastAsia="Times New Roman" w:hAnsi="Times New Roman" w:cs="Times New Roman"/>
            <w:noProof/>
            <w:sz w:val="20"/>
            <w:szCs w:val="24"/>
          </w:rPr>
          <w:t>Section 10.  Effective Date</w:t>
        </w:r>
        <w:r w:rsidRPr="00451A40">
          <w:rPr>
            <w:rFonts w:ascii="Times New Roman" w:eastAsia="Times New Roman" w:hAnsi="Times New Roman" w:cs="Times New Roman"/>
            <w:noProof/>
            <w:webHidden/>
            <w:sz w:val="20"/>
            <w:szCs w:val="24"/>
          </w:rPr>
          <w:tab/>
        </w:r>
        <w:r w:rsidRPr="00451A40">
          <w:rPr>
            <w:rFonts w:ascii="Times New Roman" w:eastAsia="Times New Roman" w:hAnsi="Times New Roman" w:cs="Times New Roman"/>
            <w:noProof/>
            <w:webHidden/>
            <w:sz w:val="20"/>
            <w:szCs w:val="24"/>
          </w:rPr>
          <w:fldChar w:fldCharType="begin"/>
        </w:r>
        <w:r w:rsidRPr="00451A40">
          <w:rPr>
            <w:rFonts w:ascii="Times New Roman" w:eastAsia="Times New Roman" w:hAnsi="Times New Roman" w:cs="Times New Roman"/>
            <w:noProof/>
            <w:webHidden/>
            <w:sz w:val="20"/>
            <w:szCs w:val="24"/>
          </w:rPr>
          <w:instrText xml:space="preserve"> PAGEREF _Toc493750339 \h </w:instrText>
        </w:r>
        <w:r w:rsidRPr="00451A40">
          <w:rPr>
            <w:rFonts w:ascii="Times New Roman" w:eastAsia="Times New Roman" w:hAnsi="Times New Roman" w:cs="Times New Roman"/>
            <w:noProof/>
            <w:webHidden/>
            <w:sz w:val="20"/>
            <w:szCs w:val="24"/>
          </w:rPr>
        </w:r>
        <w:r w:rsidRPr="00451A40">
          <w:rPr>
            <w:rFonts w:ascii="Times New Roman" w:eastAsia="Times New Roman" w:hAnsi="Times New Roman" w:cs="Times New Roman"/>
            <w:noProof/>
            <w:webHidden/>
            <w:sz w:val="20"/>
            <w:szCs w:val="24"/>
          </w:rPr>
          <w:fldChar w:fldCharType="separate"/>
        </w:r>
        <w:r w:rsidRPr="00451A40">
          <w:rPr>
            <w:rFonts w:ascii="Times New Roman" w:eastAsia="Times New Roman" w:hAnsi="Times New Roman" w:cs="Times New Roman"/>
            <w:noProof/>
            <w:webHidden/>
            <w:sz w:val="20"/>
            <w:szCs w:val="24"/>
          </w:rPr>
          <w:t>168</w:t>
        </w:r>
        <w:r w:rsidRPr="00451A40">
          <w:rPr>
            <w:rFonts w:ascii="Times New Roman" w:eastAsia="Times New Roman" w:hAnsi="Times New Roman" w:cs="Times New Roman"/>
            <w:noProof/>
            <w:webHidden/>
            <w:sz w:val="20"/>
            <w:szCs w:val="24"/>
          </w:rPr>
          <w:fldChar w:fldCharType="end"/>
        </w:r>
      </w:hyperlink>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br w:type="page"/>
      </w:r>
    </w:p>
    <w:p w:rsidR="00451A40" w:rsidRPr="00451A40" w:rsidRDefault="00451A40" w:rsidP="00451A40">
      <w:pPr>
        <w:spacing w:after="0" w:line="240" w:lineRule="auto"/>
        <w:jc w:val="both"/>
        <w:rPr>
          <w:rFonts w:ascii="Times New Roman" w:eastAsia="Times New Roman" w:hAnsi="Times New Roman" w:cs="Times New Roman"/>
          <w:sz w:val="20"/>
          <w:szCs w:val="24"/>
        </w:rPr>
      </w:pPr>
    </w:p>
    <w:p w:rsidR="00451A40" w:rsidRPr="00451A40" w:rsidRDefault="00451A40" w:rsidP="00451A40">
      <w:pPr>
        <w:spacing w:before="4060" w:after="0" w:line="240" w:lineRule="auto"/>
        <w:jc w:val="center"/>
        <w:rPr>
          <w:rFonts w:ascii="Times New Roman" w:eastAsia="Times New Roman" w:hAnsi="Times New Roman" w:cs="Times New Roman"/>
          <w:bCs/>
          <w:sz w:val="20"/>
          <w:szCs w:val="24"/>
        </w:rPr>
      </w:pPr>
      <w:r w:rsidRPr="00451A40">
        <w:rPr>
          <w:rFonts w:ascii="Times New Roman" w:eastAsia="Times New Roman" w:hAnsi="Times New Roman" w:cs="Times New Roman"/>
          <w:bCs/>
          <w:sz w:val="20"/>
          <w:szCs w:val="24"/>
        </w:rPr>
        <w:t>THIS PAGE INTENTIONALLY LEFT BLANK</w:t>
      </w:r>
    </w:p>
    <w:p w:rsidR="00451A40" w:rsidRPr="00451A40" w:rsidRDefault="00451A40" w:rsidP="00451A40">
      <w:pPr>
        <w:spacing w:after="0" w:line="240" w:lineRule="auto"/>
        <w:jc w:val="center"/>
        <w:rPr>
          <w:rFonts w:ascii="Times New Roman" w:eastAsia="Times New Roman" w:hAnsi="Times New Roman" w:cs="Times New Roman"/>
          <w:sz w:val="20"/>
          <w:szCs w:val="20"/>
          <w:vertAlign w:val="superscript"/>
        </w:rPr>
      </w:pPr>
      <w:r w:rsidRPr="00451A40">
        <w:rPr>
          <w:rFonts w:ascii="Times New Roman" w:eastAsia="Times New Roman" w:hAnsi="Times New Roman" w:cs="Times New Roman"/>
          <w:sz w:val="20"/>
          <w:szCs w:val="24"/>
        </w:rPr>
        <w:br w:type="page"/>
      </w:r>
      <w:r w:rsidRPr="00451A40">
        <w:rPr>
          <w:rFonts w:ascii="Times New Roman" w:eastAsia="Times New Roman" w:hAnsi="Times New Roman" w:cs="Times New Roman"/>
          <w:b/>
          <w:sz w:val="28"/>
          <w:szCs w:val="28"/>
        </w:rPr>
        <w:lastRenderedPageBreak/>
        <w:t>E.</w:t>
      </w:r>
      <w:r w:rsidRPr="00451A40">
        <w:rPr>
          <w:rFonts w:ascii="Times New Roman" w:eastAsia="Times New Roman" w:hAnsi="Times New Roman" w:cs="Times New Roman"/>
          <w:b/>
          <w:sz w:val="20"/>
          <w:szCs w:val="24"/>
        </w:rPr>
        <w:t>  </w:t>
      </w:r>
      <w:r w:rsidRPr="00451A40">
        <w:rPr>
          <w:rFonts w:ascii="Times New Roman" w:eastAsia="Times New Roman" w:hAnsi="Times New Roman" w:cs="Times New Roman"/>
          <w:b/>
          <w:bCs/>
          <w:sz w:val="28"/>
          <w:szCs w:val="24"/>
        </w:rPr>
        <w:t>Uniform Open Dating Regulation</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"Open Dating Regulation"</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bCs/>
          <w:sz w:val="28"/>
          <w:szCs w:val="24"/>
        </w:rPr>
        <w:t xml:space="preserve"> </w:t>
      </w:r>
      <w:r w:rsidRPr="00451A40">
        <w:rPr>
          <w:rFonts w:ascii="Times New Roman" w:eastAsia="Times New Roman" w:hAnsi="Times New Roman" w:cs="Times New Roman"/>
          <w:sz w:val="20"/>
          <w:szCs w:val="20"/>
          <w:vertAlign w:val="superscript"/>
        </w:rPr>
        <w:t>[</w:t>
      </w:r>
      <w:r w:rsidRPr="00451A40">
        <w:rPr>
          <w:rFonts w:ascii="Times New Roman" w:eastAsia="Times New Roman" w:hAnsi="Times New Roman" w:cs="Times New Roman"/>
          <w:b/>
          <w:i/>
          <w:sz w:val="20"/>
          <w:szCs w:val="20"/>
          <w:vertAlign w:val="superscript"/>
        </w:rPr>
        <w:t>NOTE 1</w:t>
      </w:r>
      <w:r w:rsidRPr="00451A40">
        <w:rPr>
          <w:rFonts w:ascii="Times New Roman" w:eastAsia="Times New Roman" w:hAnsi="Times New Roman" w:cs="Times New Roman"/>
          <w:sz w:val="20"/>
          <w:szCs w:val="20"/>
          <w:vertAlign w:val="superscript"/>
        </w:rPr>
        <w:t>,</w:t>
      </w:r>
      <w:r w:rsidRPr="00451A40">
        <w:rPr>
          <w:rFonts w:ascii="Times New Roman" w:eastAsia="Times New Roman" w:hAnsi="Times New Roman" w:cs="Times New Roman"/>
          <w:i/>
          <w:sz w:val="20"/>
          <w:szCs w:val="20"/>
          <w:vertAlign w:val="superscript"/>
        </w:rPr>
        <w:t xml:space="preserve"> </w:t>
      </w:r>
      <w:r w:rsidRPr="00451A40">
        <w:rPr>
          <w:rFonts w:ascii="Times New Roman" w:eastAsia="Times New Roman" w:hAnsi="Times New Roman" w:cs="Times New Roman"/>
          <w:sz w:val="20"/>
          <w:szCs w:val="20"/>
          <w:vertAlign w:val="superscript"/>
        </w:rPr>
        <w:t>page 165]</w:t>
      </w:r>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2" w:name="_Toc173378021"/>
      <w:bookmarkStart w:id="33" w:name="_Toc173379261"/>
      <w:bookmarkStart w:id="34" w:name="_Toc173381139"/>
      <w:bookmarkStart w:id="35" w:name="_Toc173383100"/>
      <w:bookmarkStart w:id="36" w:name="_Toc173384813"/>
      <w:bookmarkStart w:id="37" w:name="_Toc173385344"/>
      <w:bookmarkStart w:id="38" w:name="_Toc173386377"/>
      <w:bookmarkStart w:id="39" w:name="_Toc173393266"/>
      <w:bookmarkStart w:id="40" w:name="_Toc173394142"/>
      <w:bookmarkStart w:id="41" w:name="_Toc173408944"/>
      <w:bookmarkStart w:id="42" w:name="_Toc173752353"/>
      <w:bookmarkStart w:id="43" w:name="_Toc174456757"/>
      <w:bookmarkStart w:id="44" w:name="_Toc174458559"/>
      <w:bookmarkStart w:id="45" w:name="_Toc493750305"/>
      <w:r w:rsidRPr="00451A40">
        <w:rPr>
          <w:rFonts w:ascii="Times New Roman" w:eastAsia="Times New Roman" w:hAnsi="Times New Roman" w:cs="Times New Roman"/>
          <w:b/>
          <w:bCs/>
          <w:sz w:val="24"/>
        </w:rPr>
        <w:t>Section 1.  Purpose, Scope, and Application</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46" w:name="_Toc493750306"/>
      <w:bookmarkStart w:id="47" w:name="_Toc173474216"/>
      <w:bookmarkStart w:id="48" w:name="_Toc173752354"/>
      <w:bookmarkStart w:id="49" w:name="_Toc173771812"/>
      <w:bookmarkStart w:id="50" w:name="_Toc174456758"/>
      <w:bookmarkStart w:id="51" w:name="_Toc174458560"/>
      <w:r w:rsidRPr="00451A40">
        <w:rPr>
          <w:rFonts w:ascii="Times New Roman" w:eastAsia="Times New Roman" w:hAnsi="Times New Roman" w:cs="Times New Roman"/>
          <w:b/>
          <w:bCs/>
          <w:sz w:val="20"/>
          <w:szCs w:val="24"/>
        </w:rPr>
        <w:t>1.1.  Purpose.</w:t>
      </w:r>
      <w:bookmarkEnd w:id="46"/>
      <w:r w:rsidRPr="00451A40">
        <w:rPr>
          <w:rFonts w:ascii="Times New Roman" w:eastAsia="Times New Roman" w:hAnsi="Times New Roman" w:cs="Times New Roman"/>
          <w:sz w:val="20"/>
          <w:szCs w:val="24"/>
        </w:rPr>
        <w:t xml:space="preserve"> </w:t>
      </w:r>
      <w:r w:rsidRPr="00451A40">
        <w:rPr>
          <w:rFonts w:ascii="Times New Roman" w:eastAsia="Times New Roman" w:hAnsi="Times New Roman" w:cs="Times New Roman"/>
          <w:sz w:val="20"/>
          <w:szCs w:val="20"/>
          <w:vertAlign w:val="superscript"/>
        </w:rPr>
        <w:t>[</w:t>
      </w:r>
      <w:r w:rsidRPr="00451A40">
        <w:rPr>
          <w:rFonts w:ascii="Times New Roman" w:eastAsia="Times New Roman" w:hAnsi="Times New Roman" w:cs="Times New Roman"/>
          <w:b/>
          <w:i/>
          <w:sz w:val="20"/>
          <w:szCs w:val="20"/>
          <w:vertAlign w:val="superscript"/>
        </w:rPr>
        <w:t>NOTE 1</w:t>
      </w:r>
      <w:r w:rsidRPr="00451A40">
        <w:rPr>
          <w:rFonts w:ascii="Times New Roman" w:eastAsia="Times New Roman" w:hAnsi="Times New Roman" w:cs="Times New Roman"/>
          <w:sz w:val="20"/>
          <w:szCs w:val="20"/>
          <w:vertAlign w:val="superscript"/>
        </w:rPr>
        <w:t>, page 165]</w:t>
      </w:r>
      <w:r w:rsidRPr="00451A40">
        <w:rPr>
          <w:rFonts w:ascii="Times New Roman" w:eastAsia="Times New Roman" w:hAnsi="Times New Roman" w:cs="Times New Roman"/>
          <w:sz w:val="20"/>
          <w:szCs w:val="24"/>
        </w:rPr>
        <w:t xml:space="preserve"> – The purpose of this regulation is to prescribe mandatory uniform date labeling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"Date:Labeling"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"Uniform date labeling"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of prepackaged, perishable foods and to prescribe optional uniform date labeling that must be used whenever a packager elects to use date labeling on prepackaged foods</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"Prepackaged food, labeling"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that are not perishable.  Open dating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"Open dating"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is intended for use and understanding by both distributors and consumers when judging food qualities.</w:t>
      </w:r>
      <w:bookmarkEnd w:id="47"/>
      <w:bookmarkEnd w:id="48"/>
      <w:bookmarkEnd w:id="49"/>
      <w:bookmarkEnd w:id="50"/>
      <w:bookmarkEnd w:id="51"/>
    </w:p>
    <w:p w:rsidR="00451A40" w:rsidRPr="00451A40" w:rsidRDefault="00451A40" w:rsidP="00451A40">
      <w:pPr>
        <w:spacing w:after="0" w:line="240" w:lineRule="auto"/>
        <w:jc w:val="both"/>
        <w:rPr>
          <w:rFonts w:ascii="Times New Roman" w:eastAsia="Times New Roman" w:hAnsi="Times New Roman" w:cs="Times New Roman"/>
          <w:sz w:val="20"/>
          <w:szCs w:val="24"/>
        </w:rPr>
      </w:pPr>
    </w:p>
    <w:p w:rsidR="00451A40" w:rsidRPr="00451A40" w:rsidRDefault="00451A40" w:rsidP="00451A40">
      <w:pPr>
        <w:spacing w:after="0" w:line="240" w:lineRule="auto"/>
        <w:jc w:val="both"/>
        <w:rPr>
          <w:rFonts w:ascii="Times New Roman" w:eastAsia="Times New Roman" w:hAnsi="Times New Roman" w:cs="Times New Roman"/>
          <w:i/>
          <w:iCs/>
          <w:sz w:val="20"/>
          <w:szCs w:val="24"/>
        </w:rPr>
      </w:pPr>
      <w:r w:rsidRPr="00451A40">
        <w:rPr>
          <w:rFonts w:ascii="Times New Roman" w:eastAsia="Times New Roman" w:hAnsi="Times New Roman" w:cs="Times New Roman"/>
          <w:b/>
          <w:bCs/>
          <w:i/>
          <w:iCs/>
          <w:sz w:val="20"/>
          <w:szCs w:val="24"/>
        </w:rPr>
        <w:t>NOTE 1:</w:t>
      </w:r>
      <w:r w:rsidRPr="00451A40">
        <w:rPr>
          <w:rFonts w:ascii="Times New Roman" w:eastAsia="Times New Roman" w:hAnsi="Times New Roman" w:cs="Times New Roman"/>
          <w:i/>
          <w:iCs/>
          <w:sz w:val="20"/>
          <w:szCs w:val="24"/>
        </w:rPr>
        <w:t xml:space="preserve">  Alternatively, this regulation may be adopted to require uniformity of open dating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"Open dating"</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i/>
          <w:iCs/>
          <w:sz w:val="20"/>
          <w:szCs w:val="24"/>
        </w:rPr>
        <w:t xml:space="preserve"> of perishable foods whenever a packager voluntarily elects to use date labeling.  In such instances Sections 1.1. Purpose and 3.1. “Sell By” Date are reworded in the following manner:</w:t>
      </w:r>
    </w:p>
    <w:p w:rsidR="00451A40" w:rsidRPr="00451A40" w:rsidRDefault="00451A40" w:rsidP="00451A40">
      <w:pPr>
        <w:spacing w:after="0" w:line="240" w:lineRule="auto"/>
        <w:jc w:val="both"/>
        <w:rPr>
          <w:rFonts w:ascii="Times New Roman" w:eastAsia="Times New Roman" w:hAnsi="Times New Roman" w:cs="Times New Roman"/>
          <w:i/>
          <w:iCs/>
          <w:sz w:val="20"/>
          <w:szCs w:val="24"/>
        </w:rPr>
      </w:pPr>
    </w:p>
    <w:p w:rsidR="00451A40" w:rsidRPr="00451A40" w:rsidRDefault="00451A40" w:rsidP="00451A40">
      <w:pPr>
        <w:spacing w:after="0" w:line="240" w:lineRule="auto"/>
        <w:ind w:left="360"/>
        <w:jc w:val="both"/>
        <w:rPr>
          <w:rFonts w:ascii="Times New Roman" w:eastAsia="Times New Roman" w:hAnsi="Times New Roman" w:cs="Times New Roman"/>
          <w:i/>
          <w:sz w:val="20"/>
          <w:szCs w:val="24"/>
        </w:rPr>
      </w:pPr>
      <w:bookmarkStart w:id="52" w:name="_Toc173472945"/>
      <w:r w:rsidRPr="00451A40">
        <w:rPr>
          <w:rFonts w:ascii="Times New Roman" w:eastAsia="Times New Roman" w:hAnsi="Times New Roman" w:cs="Times New Roman"/>
          <w:b/>
          <w:bCs/>
          <w:i/>
          <w:sz w:val="20"/>
          <w:szCs w:val="24"/>
        </w:rPr>
        <w:t>1.1.  Purpose.</w:t>
      </w:r>
      <w:r w:rsidRPr="00451A40">
        <w:rPr>
          <w:rFonts w:ascii="Times New Roman" w:eastAsia="Times New Roman" w:hAnsi="Times New Roman" w:cs="Times New Roman"/>
          <w:i/>
          <w:sz w:val="20"/>
          <w:szCs w:val="24"/>
        </w:rPr>
        <w:t xml:space="preserve"> – The purpose of this regulation is to prescribe uniform date labeling that must be used whenever a packager elects to use date labeling on a prepackaged food.  Open date labeling is intended for use and understanding by both distributors and consumers when judging food qualities.</w:t>
      </w:r>
      <w:bookmarkEnd w:id="52"/>
    </w:p>
    <w:p w:rsidR="00451A40" w:rsidRPr="00451A40" w:rsidRDefault="00451A40" w:rsidP="00451A40">
      <w:pPr>
        <w:spacing w:after="0" w:line="240" w:lineRule="auto"/>
        <w:ind w:left="360"/>
        <w:jc w:val="both"/>
        <w:rPr>
          <w:rFonts w:ascii="Times New Roman" w:eastAsia="Times New Roman" w:hAnsi="Times New Roman" w:cs="Times New Roman"/>
          <w:b/>
          <w:bCs/>
          <w:i/>
          <w:sz w:val="20"/>
          <w:szCs w:val="24"/>
        </w:rPr>
      </w:pPr>
      <w:bookmarkStart w:id="53" w:name="_Toc173472946"/>
    </w:p>
    <w:p w:rsidR="00451A40" w:rsidRPr="00451A40" w:rsidRDefault="00451A40" w:rsidP="00451A40">
      <w:pPr>
        <w:spacing w:after="0" w:line="240" w:lineRule="auto"/>
        <w:ind w:left="360"/>
        <w:jc w:val="both"/>
        <w:rPr>
          <w:rFonts w:ascii="Times New Roman" w:eastAsia="Times New Roman" w:hAnsi="Times New Roman" w:cs="Times New Roman"/>
          <w:bCs/>
          <w:sz w:val="20"/>
          <w:szCs w:val="24"/>
        </w:rPr>
      </w:pPr>
      <w:r w:rsidRPr="00451A40">
        <w:rPr>
          <w:rFonts w:ascii="Times New Roman" w:eastAsia="Times New Roman" w:hAnsi="Times New Roman" w:cs="Times New Roman"/>
          <w:b/>
          <w:bCs/>
          <w:i/>
          <w:sz w:val="20"/>
          <w:szCs w:val="24"/>
        </w:rPr>
        <w:t>3.1.  “Sell By” Date.</w:t>
      </w:r>
      <w:r w:rsidRPr="00451A40">
        <w:rPr>
          <w:rFonts w:ascii="Times New Roman" w:eastAsia="Times New Roman" w:hAnsi="Times New Roman" w:cs="Times New Roman"/>
          <w:bCs/>
          <w:i/>
          <w:sz w:val="20"/>
          <w:szCs w:val="24"/>
        </w:rPr>
        <w:t xml:space="preserve"> – If a retail food establishment elects to sell or offer for sale a prepackaged perishable food identified with a “sell by” date, the “sell by” date used must be as prescribed by this regulation.</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"Sell by date"</w:instrText>
      </w:r>
      <w:r w:rsidRPr="00451A40">
        <w:rPr>
          <w:rFonts w:ascii="Times New Roman" w:eastAsia="Times New Roman" w:hAnsi="Times New Roman" w:cs="Times New Roman"/>
          <w:sz w:val="20"/>
          <w:szCs w:val="24"/>
        </w:rPr>
        <w:fldChar w:fldCharType="end"/>
      </w:r>
      <w:bookmarkEnd w:id="53"/>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54" w:name="_Toc173474217"/>
      <w:bookmarkStart w:id="55" w:name="_Toc173752355"/>
      <w:bookmarkStart w:id="56" w:name="_Toc173771813"/>
      <w:bookmarkStart w:id="57" w:name="_Toc174456759"/>
      <w:bookmarkStart w:id="58" w:name="_Toc174458561"/>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59" w:name="_Toc493750307"/>
      <w:r w:rsidRPr="00451A40">
        <w:rPr>
          <w:rFonts w:ascii="Times New Roman" w:eastAsia="Times New Roman" w:hAnsi="Times New Roman" w:cs="Times New Roman"/>
          <w:b/>
          <w:bCs/>
          <w:sz w:val="20"/>
          <w:szCs w:val="24"/>
        </w:rPr>
        <w:t>1.2.  Scope and Application.</w:t>
      </w:r>
      <w:bookmarkEnd w:id="59"/>
      <w:r w:rsidRPr="00451A40">
        <w:rPr>
          <w:rFonts w:ascii="Times New Roman" w:eastAsia="Times New Roman" w:hAnsi="Times New Roman" w:cs="Times New Roman"/>
          <w:sz w:val="20"/>
          <w:szCs w:val="24"/>
        </w:rPr>
        <w:t xml:space="preserve"> – This regulation prescribes the manner of date labeling, the method of determining the appropriate date, required records, responsible persons, and the foods subject to this regulation.  This regulation provides for the permissible sale of a regulated food after the expiration of the date on the label.  This regulation does not apply to any food that is not prepackaged or is exempted by Section 8.</w:t>
      </w:r>
      <w:bookmarkEnd w:id="54"/>
      <w:bookmarkEnd w:id="55"/>
      <w:bookmarkEnd w:id="56"/>
      <w:bookmarkEnd w:id="57"/>
      <w:bookmarkEnd w:id="58"/>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60" w:name="_Toc173378022"/>
      <w:bookmarkStart w:id="61" w:name="_Toc173379262"/>
      <w:bookmarkStart w:id="62" w:name="_Toc173381140"/>
      <w:bookmarkStart w:id="63" w:name="_Toc173383101"/>
      <w:bookmarkStart w:id="64" w:name="_Toc173384814"/>
      <w:bookmarkStart w:id="65" w:name="_Toc173385345"/>
      <w:bookmarkStart w:id="66" w:name="_Toc173386378"/>
      <w:bookmarkStart w:id="67" w:name="_Toc173393267"/>
      <w:bookmarkStart w:id="68" w:name="_Toc173394143"/>
      <w:bookmarkStart w:id="69" w:name="_Toc173408945"/>
      <w:bookmarkStart w:id="70" w:name="_Toc173752356"/>
      <w:bookmarkStart w:id="71" w:name="_Toc174456760"/>
      <w:bookmarkStart w:id="72" w:name="_Toc174458562"/>
      <w:bookmarkStart w:id="73" w:name="_Toc493750308"/>
      <w:r w:rsidRPr="00451A40">
        <w:rPr>
          <w:rFonts w:ascii="Times New Roman" w:eastAsia="Times New Roman" w:hAnsi="Times New Roman" w:cs="Times New Roman"/>
          <w:b/>
          <w:bCs/>
          <w:sz w:val="24"/>
        </w:rPr>
        <w:t>Section 2.  Definitions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74" w:name="_Toc493750309"/>
      <w:bookmarkStart w:id="75" w:name="_Toc173474218"/>
      <w:bookmarkStart w:id="76" w:name="_Toc173752357"/>
      <w:bookmarkStart w:id="77" w:name="_Toc173771814"/>
      <w:bookmarkStart w:id="78" w:name="_Toc174456761"/>
      <w:bookmarkStart w:id="79" w:name="_Toc174458563"/>
      <w:r w:rsidRPr="00451A40">
        <w:rPr>
          <w:rFonts w:ascii="Times New Roman" w:eastAsia="Times New Roman" w:hAnsi="Times New Roman" w:cs="Times New Roman"/>
          <w:b/>
          <w:bCs/>
          <w:sz w:val="20"/>
          <w:szCs w:val="24"/>
        </w:rPr>
        <w:t>2.1.  “Sell By” Date.</w:t>
      </w:r>
      <w:bookmarkEnd w:id="74"/>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"Sell by date"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 A recommended last date of sale that permits a subsequent period before deterioration of qualities described in 2.2. Perishable Food, 2.3. Semi Perishable Food, and 2.4.</w:t>
      </w:r>
      <w:bookmarkEnd w:id="75"/>
      <w:bookmarkEnd w:id="76"/>
      <w:bookmarkEnd w:id="77"/>
      <w:bookmarkEnd w:id="78"/>
      <w:bookmarkEnd w:id="79"/>
      <w:r w:rsidRPr="00451A40">
        <w:rPr>
          <w:rFonts w:ascii="Times New Roman" w:eastAsia="Times New Roman" w:hAnsi="Times New Roman" w:cs="Times New Roman"/>
          <w:sz w:val="20"/>
          <w:szCs w:val="24"/>
        </w:rPr>
        <w:t xml:space="preserve"> Long Shelf Life Food.</w:t>
      </w:r>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80" w:name="_Toc173474219"/>
      <w:bookmarkStart w:id="81" w:name="_Toc173752358"/>
      <w:bookmarkStart w:id="82" w:name="_Toc173771815"/>
      <w:bookmarkStart w:id="83" w:name="_Toc174456762"/>
      <w:bookmarkStart w:id="84" w:name="_Toc174458564"/>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85" w:name="_Toc493750310"/>
      <w:r w:rsidRPr="00451A40">
        <w:rPr>
          <w:rFonts w:ascii="Times New Roman" w:eastAsia="Times New Roman" w:hAnsi="Times New Roman" w:cs="Times New Roman"/>
          <w:b/>
          <w:bCs/>
          <w:sz w:val="20"/>
          <w:szCs w:val="24"/>
        </w:rPr>
        <w:t>2.2.  Perishable Food.</w:t>
      </w:r>
      <w:bookmarkEnd w:id="85"/>
      <w:r w:rsidRPr="00451A40">
        <w:rPr>
          <w:rFonts w:ascii="Times New Roman" w:eastAsia="Times New Roman" w:hAnsi="Times New Roman" w:cs="Times New Roman"/>
          <w:sz w:val="20"/>
          <w:szCs w:val="24"/>
        </w:rPr>
        <w:t xml:space="preserve"> – Any food having a significant risk of spoilage, loss of value, or loss of palatability within 60 days of the date of packaging.</w:t>
      </w:r>
      <w:bookmarkEnd w:id="80"/>
      <w:bookmarkEnd w:id="81"/>
      <w:bookmarkEnd w:id="82"/>
      <w:bookmarkEnd w:id="83"/>
      <w:bookmarkEnd w:id="84"/>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86" w:name="_Toc173474220"/>
      <w:bookmarkStart w:id="87" w:name="_Toc173752359"/>
      <w:bookmarkStart w:id="88" w:name="_Toc173771816"/>
      <w:bookmarkStart w:id="89" w:name="_Toc174456763"/>
      <w:bookmarkStart w:id="90" w:name="_Toc174458565"/>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91" w:name="_Toc493750311"/>
      <w:r w:rsidRPr="00451A40">
        <w:rPr>
          <w:rFonts w:ascii="Times New Roman" w:eastAsia="Times New Roman" w:hAnsi="Times New Roman" w:cs="Times New Roman"/>
          <w:b/>
          <w:bCs/>
          <w:sz w:val="20"/>
          <w:szCs w:val="24"/>
        </w:rPr>
        <w:t>2.3.  Semi Perishable Food.</w:t>
      </w:r>
      <w:bookmarkEnd w:id="91"/>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"Semi-perishable food"</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 Any food for which a significant risk of spoilage, loss of value, or loss of palatability occurs only after a minimum of 60 days, but within 6 months, after the date of packaging.</w:t>
      </w:r>
      <w:bookmarkEnd w:id="86"/>
      <w:bookmarkEnd w:id="87"/>
      <w:bookmarkEnd w:id="88"/>
      <w:bookmarkEnd w:id="89"/>
      <w:bookmarkEnd w:id="90"/>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92" w:name="_Toc173474221"/>
      <w:bookmarkStart w:id="93" w:name="_Toc173752360"/>
      <w:bookmarkStart w:id="94" w:name="_Toc173771817"/>
      <w:bookmarkStart w:id="95" w:name="_Toc174456764"/>
      <w:bookmarkStart w:id="96" w:name="_Toc174458566"/>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97" w:name="_Toc493750312"/>
      <w:r w:rsidRPr="00451A40">
        <w:rPr>
          <w:rFonts w:ascii="Times New Roman" w:eastAsia="Times New Roman" w:hAnsi="Times New Roman" w:cs="Times New Roman"/>
          <w:b/>
          <w:bCs/>
          <w:sz w:val="20"/>
          <w:szCs w:val="24"/>
        </w:rPr>
        <w:t>2.4.  Long Shelf Life Food.</w:t>
      </w:r>
      <w:bookmarkEnd w:id="97"/>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"Long shelf life food"</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 Any food for which a significant risk of spoilage, loss of value, or loss of palatability does not occur sooner than 6 months after the date of packaging, including foods preserved by freezing, dehydrating, or being placed in a hermetically sealed container.</w:t>
      </w:r>
      <w:bookmarkEnd w:id="92"/>
      <w:bookmarkEnd w:id="93"/>
      <w:bookmarkEnd w:id="94"/>
      <w:bookmarkEnd w:id="95"/>
      <w:bookmarkEnd w:id="96"/>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98" w:name="_Toc173474222"/>
      <w:bookmarkStart w:id="99" w:name="_Toc173752361"/>
      <w:bookmarkStart w:id="100" w:name="_Toc173771818"/>
      <w:bookmarkStart w:id="101" w:name="_Toc174456765"/>
      <w:bookmarkStart w:id="102" w:name="_Toc174458567"/>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103" w:name="_Toc493750313"/>
      <w:r w:rsidRPr="00451A40">
        <w:rPr>
          <w:rFonts w:ascii="Times New Roman" w:eastAsia="Times New Roman" w:hAnsi="Times New Roman" w:cs="Times New Roman"/>
          <w:b/>
          <w:bCs/>
          <w:sz w:val="20"/>
          <w:szCs w:val="24"/>
        </w:rPr>
        <w:t>2.5.  Prepackaged.</w:t>
      </w:r>
      <w:bookmarkEnd w:id="103"/>
      <w:r w:rsidRPr="00451A40">
        <w:rPr>
          <w:rFonts w:ascii="Times New Roman" w:eastAsia="Times New Roman" w:hAnsi="Times New Roman" w:cs="Times New Roman"/>
          <w:sz w:val="20"/>
          <w:szCs w:val="24"/>
        </w:rPr>
        <w:t xml:space="preserve"> – Food packaged prior to being displayed or offered for retail sale.</w:t>
      </w:r>
      <w:bookmarkEnd w:id="98"/>
      <w:bookmarkEnd w:id="99"/>
      <w:bookmarkEnd w:id="100"/>
      <w:bookmarkEnd w:id="101"/>
      <w:bookmarkEnd w:id="102"/>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104" w:name="_Toc173474223"/>
      <w:bookmarkStart w:id="105" w:name="_Toc173752362"/>
      <w:bookmarkStart w:id="106" w:name="_Toc173771819"/>
      <w:bookmarkStart w:id="107" w:name="_Toc174456766"/>
      <w:bookmarkStart w:id="108" w:name="_Toc174458568"/>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109" w:name="_Toc493750314"/>
      <w:r w:rsidRPr="00451A40">
        <w:rPr>
          <w:rFonts w:ascii="Times New Roman" w:eastAsia="Times New Roman" w:hAnsi="Times New Roman" w:cs="Times New Roman"/>
          <w:b/>
          <w:bCs/>
          <w:sz w:val="20"/>
          <w:szCs w:val="24"/>
        </w:rPr>
        <w:t>2.6.  “Best If Used By” Date.</w:t>
      </w:r>
      <w:bookmarkEnd w:id="109"/>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"Best if used by date"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 A date prior to deterioration of qualities described in 2.3. Semi Perishable Food and 2.4.</w:t>
      </w:r>
      <w:bookmarkEnd w:id="104"/>
      <w:bookmarkEnd w:id="105"/>
      <w:bookmarkEnd w:id="106"/>
      <w:bookmarkEnd w:id="107"/>
      <w:bookmarkEnd w:id="108"/>
      <w:r w:rsidRPr="00451A40">
        <w:rPr>
          <w:rFonts w:ascii="Times New Roman" w:eastAsia="Times New Roman" w:hAnsi="Times New Roman" w:cs="Times New Roman"/>
          <w:sz w:val="20"/>
          <w:szCs w:val="24"/>
        </w:rPr>
        <w:t xml:space="preserve"> Long Shelf Life Food.</w:t>
      </w:r>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110" w:name="_Toc173474224"/>
      <w:bookmarkStart w:id="111" w:name="_Toc173752363"/>
      <w:bookmarkStart w:id="112" w:name="_Toc173771820"/>
      <w:bookmarkStart w:id="113" w:name="_Toc174456767"/>
      <w:bookmarkStart w:id="114" w:name="_Toc174458569"/>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115" w:name="_Toc493750315"/>
      <w:r w:rsidRPr="00451A40">
        <w:rPr>
          <w:rFonts w:ascii="Times New Roman" w:eastAsia="Times New Roman" w:hAnsi="Times New Roman" w:cs="Times New Roman"/>
          <w:b/>
          <w:bCs/>
          <w:sz w:val="20"/>
          <w:szCs w:val="24"/>
        </w:rPr>
        <w:t>2.7.  Person.</w:t>
      </w:r>
      <w:bookmarkEnd w:id="115"/>
      <w:r w:rsidRPr="00451A40">
        <w:rPr>
          <w:rFonts w:ascii="Times New Roman" w:eastAsia="Times New Roman" w:hAnsi="Times New Roman" w:cs="Times New Roman"/>
          <w:sz w:val="20"/>
          <w:szCs w:val="24"/>
        </w:rPr>
        <w:t xml:space="preserve"> – An individual, partnership, association, or corporation.</w:t>
      </w:r>
      <w:bookmarkEnd w:id="110"/>
      <w:bookmarkEnd w:id="111"/>
      <w:bookmarkEnd w:id="112"/>
      <w:bookmarkEnd w:id="113"/>
      <w:bookmarkEnd w:id="114"/>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16" w:name="_Toc173470330"/>
      <w:bookmarkStart w:id="117" w:name="_Toc173470703"/>
      <w:bookmarkStart w:id="118" w:name="_Toc173471568"/>
      <w:bookmarkStart w:id="119" w:name="_Toc173752364"/>
      <w:bookmarkStart w:id="120" w:name="_Toc174456768"/>
      <w:bookmarkStart w:id="121" w:name="_Toc174458570"/>
      <w:bookmarkStart w:id="122" w:name="_Toc493750316"/>
      <w:r w:rsidRPr="00451A40">
        <w:rPr>
          <w:rFonts w:ascii="Times New Roman" w:eastAsia="Times New Roman" w:hAnsi="Times New Roman" w:cs="Times New Roman"/>
          <w:b/>
          <w:bCs/>
          <w:sz w:val="24"/>
        </w:rPr>
        <w:t>Section 3.  Sale of Perishable Food and Date Determination</w:t>
      </w:r>
      <w:bookmarkEnd w:id="116"/>
      <w:bookmarkEnd w:id="117"/>
      <w:bookmarkEnd w:id="118"/>
      <w:bookmarkEnd w:id="119"/>
      <w:bookmarkEnd w:id="120"/>
      <w:bookmarkEnd w:id="121"/>
      <w:bookmarkEnd w:id="122"/>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123" w:name="_Toc493750317"/>
      <w:bookmarkStart w:id="124" w:name="_Toc173474225"/>
      <w:bookmarkStart w:id="125" w:name="_Toc173752365"/>
      <w:bookmarkStart w:id="126" w:name="_Toc173771821"/>
      <w:bookmarkStart w:id="127" w:name="_Toc174456769"/>
      <w:bookmarkStart w:id="128" w:name="_Toc174458571"/>
      <w:r w:rsidRPr="00451A40">
        <w:rPr>
          <w:rFonts w:ascii="Times New Roman" w:eastAsia="Times New Roman" w:hAnsi="Times New Roman" w:cs="Times New Roman"/>
          <w:b/>
          <w:bCs/>
          <w:sz w:val="20"/>
          <w:szCs w:val="24"/>
        </w:rPr>
        <w:t>3.1.  “Sell By” Date.</w:t>
      </w:r>
      <w:bookmarkEnd w:id="123"/>
      <w:r w:rsidRPr="00451A40">
        <w:rPr>
          <w:rFonts w:ascii="Times New Roman" w:eastAsia="Times New Roman" w:hAnsi="Times New Roman" w:cs="Times New Roman"/>
          <w:sz w:val="20"/>
          <w:szCs w:val="20"/>
          <w:vertAlign w:val="superscript"/>
        </w:rPr>
        <w:t xml:space="preserve"> [</w:t>
      </w:r>
      <w:r w:rsidRPr="00451A40">
        <w:rPr>
          <w:rFonts w:ascii="Times New Roman" w:eastAsia="Times New Roman" w:hAnsi="Times New Roman" w:cs="Times New Roman"/>
          <w:b/>
          <w:i/>
          <w:sz w:val="20"/>
          <w:szCs w:val="20"/>
          <w:vertAlign w:val="superscript"/>
        </w:rPr>
        <w:t>NOTE</w:t>
      </w:r>
      <w:r w:rsidRPr="00451A40">
        <w:rPr>
          <w:rFonts w:ascii="Times New Roman" w:eastAsia="Times New Roman" w:hAnsi="Times New Roman" w:cs="Times New Roman"/>
          <w:sz w:val="20"/>
          <w:szCs w:val="20"/>
          <w:vertAlign w:val="superscript"/>
        </w:rPr>
        <w:t> </w:t>
      </w:r>
      <w:r w:rsidRPr="00451A40">
        <w:rPr>
          <w:rFonts w:ascii="Times New Roman" w:eastAsia="Times New Roman" w:hAnsi="Times New Roman" w:cs="Times New Roman"/>
          <w:b/>
          <w:i/>
          <w:sz w:val="20"/>
          <w:szCs w:val="20"/>
          <w:vertAlign w:val="superscript"/>
        </w:rPr>
        <w:t>1</w:t>
      </w:r>
      <w:r w:rsidRPr="00451A40">
        <w:rPr>
          <w:rFonts w:ascii="Times New Roman" w:eastAsia="Times New Roman" w:hAnsi="Times New Roman" w:cs="Times New Roman"/>
          <w:sz w:val="20"/>
          <w:szCs w:val="20"/>
          <w:vertAlign w:val="superscript"/>
        </w:rPr>
        <w:t>, page 165]</w:t>
      </w:r>
      <w:r w:rsidRPr="00451A40">
        <w:rPr>
          <w:rFonts w:ascii="Times New Roman" w:eastAsia="Times New Roman" w:hAnsi="Times New Roman" w:cs="Times New Roman"/>
          <w:bCs/>
          <w:sz w:val="20"/>
          <w:szCs w:val="24"/>
        </w:rPr>
        <w:t xml:space="preserve"> </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"Sell by date"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 A retail food establishment shall not sell or offer for sale a prepackaged perishable food unless it is identified with a “sell by” date as prescribed by this regulation.</w:t>
      </w:r>
      <w:bookmarkEnd w:id="124"/>
      <w:bookmarkEnd w:id="125"/>
      <w:bookmarkEnd w:id="126"/>
      <w:bookmarkEnd w:id="127"/>
      <w:bookmarkEnd w:id="128"/>
    </w:p>
    <w:p w:rsidR="00451A40" w:rsidRPr="00451A40" w:rsidRDefault="00451A40" w:rsidP="00451A40">
      <w:pPr>
        <w:keepNext/>
        <w:spacing w:before="240" w:after="60" w:line="240" w:lineRule="auto"/>
        <w:jc w:val="both"/>
        <w:outlineLvl w:val="6"/>
        <w:rPr>
          <w:rFonts w:ascii="Times New Roman" w:eastAsia="Times New Roman" w:hAnsi="Times New Roman" w:cs="Times New Roman"/>
          <w:b/>
          <w:bCs/>
          <w:sz w:val="20"/>
          <w:szCs w:val="24"/>
        </w:rPr>
      </w:pPr>
      <w:bookmarkStart w:id="129" w:name="_Toc173474226"/>
      <w:bookmarkStart w:id="130" w:name="_Toc173752366"/>
      <w:bookmarkStart w:id="131" w:name="_Toc173771822"/>
      <w:bookmarkStart w:id="132" w:name="_Toc174456770"/>
      <w:bookmarkStart w:id="133" w:name="_Toc174458572"/>
      <w:bookmarkStart w:id="134" w:name="_Toc493750318"/>
      <w:r w:rsidRPr="00451A40">
        <w:rPr>
          <w:rFonts w:ascii="Times New Roman" w:eastAsia="Times New Roman" w:hAnsi="Times New Roman" w:cs="Times New Roman"/>
          <w:b/>
          <w:bCs/>
          <w:sz w:val="20"/>
          <w:szCs w:val="24"/>
        </w:rPr>
        <w:lastRenderedPageBreak/>
        <w:t>3.2.  Sale After Expiration of “Sell By” Date</w:t>
      </w:r>
      <w:bookmarkEnd w:id="129"/>
      <w:bookmarkEnd w:id="130"/>
      <w:bookmarkEnd w:id="131"/>
      <w:bookmarkEnd w:id="132"/>
      <w:bookmarkEnd w:id="133"/>
      <w:r w:rsidRPr="00451A40">
        <w:rPr>
          <w:rFonts w:ascii="Times New Roman" w:eastAsia="Times New Roman" w:hAnsi="Times New Roman" w:cs="Times New Roman"/>
          <w:b/>
          <w:bCs/>
          <w:sz w:val="20"/>
          <w:szCs w:val="24"/>
        </w:rPr>
        <w:t>.</w:t>
      </w:r>
      <w:bookmarkEnd w:id="134"/>
    </w:p>
    <w:p w:rsidR="00451A40" w:rsidRPr="00451A40" w:rsidRDefault="00451A40" w:rsidP="00451A40">
      <w:pPr>
        <w:keepNext/>
        <w:spacing w:after="0" w:line="240" w:lineRule="auto"/>
        <w:ind w:left="360"/>
        <w:jc w:val="both"/>
        <w:rPr>
          <w:rFonts w:ascii="Times New Roman" w:eastAsia="Times New Roman" w:hAnsi="Times New Roman" w:cs="Times New Roman"/>
          <w:b/>
          <w:bCs/>
          <w:sz w:val="20"/>
          <w:szCs w:val="24"/>
        </w:rPr>
      </w:pPr>
      <w:bookmarkStart w:id="135" w:name="_Toc173752367"/>
      <w:bookmarkStart w:id="136" w:name="_Toc174456771"/>
      <w:bookmarkStart w:id="137" w:name="_Toc174458573"/>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38" w:name="_Toc493750319"/>
      <w:r w:rsidRPr="00451A40">
        <w:rPr>
          <w:rFonts w:ascii="Times New Roman" w:eastAsia="Times New Roman" w:hAnsi="Times New Roman" w:cs="Times New Roman"/>
          <w:b/>
          <w:bCs/>
          <w:iCs/>
          <w:sz w:val="20"/>
          <w:szCs w:val="24"/>
        </w:rPr>
        <w:t>3.2.1.  Advertisement.</w:t>
      </w:r>
      <w:bookmarkEnd w:id="138"/>
      <w:r w:rsidRPr="00451A40">
        <w:rPr>
          <w:rFonts w:ascii="Times New Roman" w:eastAsia="Times New Roman" w:hAnsi="Times New Roman" w:cs="Times New Roman"/>
          <w:sz w:val="20"/>
          <w:szCs w:val="24"/>
        </w:rPr>
        <w:t xml:space="preserve"> – Perishable food shall not be offered for sale after the “sell by” date unless it is wholesome and advertised in a conspicuous manner as being offered for sale after the recommended last date of sale.  The placement of a sign, sticker, or tag is acceptable for such advertising</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"Advertising:Perishible food"</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if it is easily readable and clearly identifies the perishable food as having passed the recommended last date of sale.</w:t>
      </w:r>
      <w:bookmarkEnd w:id="135"/>
      <w:bookmarkEnd w:id="136"/>
      <w:bookmarkEnd w:id="137"/>
    </w:p>
    <w:p w:rsidR="00451A40" w:rsidRPr="00451A40" w:rsidRDefault="00451A40" w:rsidP="00451A40">
      <w:pPr>
        <w:spacing w:after="0" w:line="240" w:lineRule="auto"/>
        <w:ind w:left="360"/>
        <w:jc w:val="both"/>
        <w:rPr>
          <w:rFonts w:ascii="Times New Roman" w:eastAsia="Times New Roman" w:hAnsi="Times New Roman" w:cs="Times New Roman"/>
          <w:b/>
          <w:bCs/>
          <w:sz w:val="20"/>
          <w:szCs w:val="24"/>
        </w:rPr>
      </w:pPr>
      <w:bookmarkStart w:id="139" w:name="_Toc173752368"/>
      <w:bookmarkStart w:id="140" w:name="_Toc174456772"/>
      <w:bookmarkStart w:id="141" w:name="_Toc174458574"/>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42" w:name="_Toc493750320"/>
      <w:r w:rsidRPr="00451A40">
        <w:rPr>
          <w:rFonts w:ascii="Times New Roman" w:eastAsia="Times New Roman" w:hAnsi="Times New Roman" w:cs="Times New Roman"/>
          <w:b/>
          <w:bCs/>
          <w:iCs/>
          <w:sz w:val="20"/>
          <w:szCs w:val="24"/>
        </w:rPr>
        <w:t>3.2.2.  Responsibility for Advertisement.</w:t>
      </w:r>
      <w:bookmarkEnd w:id="142"/>
      <w:r w:rsidRPr="00451A40">
        <w:rPr>
          <w:rFonts w:ascii="Times New Roman" w:eastAsia="Times New Roman" w:hAnsi="Times New Roman" w:cs="Times New Roman"/>
          <w:sz w:val="20"/>
          <w:szCs w:val="24"/>
        </w:rPr>
        <w:t xml:space="preserve"> – The retailer or final seller is responsible for the advertisement</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"Advertising:Responsibility for Advertisement"</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described in Section 3.2.1. Advertisement, of a perishable food offered for sale after the recommended last date of sale.</w:t>
      </w:r>
      <w:bookmarkEnd w:id="139"/>
      <w:bookmarkEnd w:id="140"/>
      <w:bookmarkEnd w:id="141"/>
    </w:p>
    <w:p w:rsidR="00451A40" w:rsidRPr="00451A40" w:rsidRDefault="00451A40" w:rsidP="00451A40">
      <w:pPr>
        <w:spacing w:before="240" w:after="60" w:line="240" w:lineRule="auto"/>
        <w:jc w:val="both"/>
        <w:outlineLvl w:val="6"/>
        <w:rPr>
          <w:rFonts w:ascii="Times New Roman" w:eastAsia="Times New Roman" w:hAnsi="Times New Roman" w:cs="Times New Roman"/>
          <w:b/>
          <w:bCs/>
          <w:sz w:val="20"/>
          <w:szCs w:val="24"/>
        </w:rPr>
      </w:pPr>
      <w:bookmarkStart w:id="143" w:name="_Toc173474227"/>
      <w:bookmarkStart w:id="144" w:name="_Toc173752369"/>
      <w:bookmarkStart w:id="145" w:name="_Toc173771823"/>
      <w:bookmarkStart w:id="146" w:name="_Toc174456773"/>
      <w:bookmarkStart w:id="147" w:name="_Toc174458575"/>
      <w:bookmarkStart w:id="148" w:name="_Toc493750321"/>
      <w:r w:rsidRPr="00451A40">
        <w:rPr>
          <w:rFonts w:ascii="Times New Roman" w:eastAsia="Times New Roman" w:hAnsi="Times New Roman" w:cs="Times New Roman"/>
          <w:b/>
          <w:bCs/>
          <w:sz w:val="20"/>
          <w:szCs w:val="24"/>
        </w:rPr>
        <w:t>3.3.  Determination of “Sell By” Date</w:t>
      </w:r>
      <w:bookmarkEnd w:id="143"/>
      <w:bookmarkEnd w:id="144"/>
      <w:bookmarkEnd w:id="145"/>
      <w:bookmarkEnd w:id="146"/>
      <w:bookmarkEnd w:id="147"/>
      <w:r w:rsidRPr="00451A40">
        <w:rPr>
          <w:rFonts w:ascii="Times New Roman" w:eastAsia="Times New Roman" w:hAnsi="Times New Roman" w:cs="Times New Roman"/>
          <w:b/>
          <w:bCs/>
          <w:sz w:val="20"/>
          <w:szCs w:val="24"/>
        </w:rPr>
        <w:t>.</w:t>
      </w:r>
      <w:bookmarkEnd w:id="148"/>
    </w:p>
    <w:p w:rsidR="00451A40" w:rsidRPr="00451A40" w:rsidRDefault="00451A40" w:rsidP="00451A40">
      <w:pPr>
        <w:spacing w:after="0" w:line="240" w:lineRule="auto"/>
        <w:ind w:left="360"/>
        <w:jc w:val="both"/>
        <w:rPr>
          <w:rFonts w:ascii="Times New Roman" w:eastAsia="Times New Roman" w:hAnsi="Times New Roman" w:cs="Times New Roman"/>
          <w:b/>
          <w:bCs/>
          <w:sz w:val="20"/>
          <w:szCs w:val="24"/>
        </w:rPr>
      </w:pPr>
      <w:bookmarkStart w:id="149" w:name="_Toc173752370"/>
      <w:bookmarkStart w:id="150" w:name="_Toc174456774"/>
      <w:bookmarkStart w:id="151" w:name="_Toc174458576"/>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52" w:name="_Toc493750322"/>
      <w:r w:rsidRPr="00451A40">
        <w:rPr>
          <w:rFonts w:ascii="Times New Roman" w:eastAsia="Times New Roman" w:hAnsi="Times New Roman" w:cs="Times New Roman"/>
          <w:b/>
          <w:bCs/>
          <w:iCs/>
          <w:sz w:val="20"/>
          <w:szCs w:val="24"/>
        </w:rPr>
        <w:t>3.3.1.  Reasonable Period for Consumption.</w:t>
      </w:r>
      <w:bookmarkEnd w:id="152"/>
      <w:r w:rsidRPr="00451A40">
        <w:rPr>
          <w:rFonts w:ascii="Times New Roman" w:eastAsia="Times New Roman" w:hAnsi="Times New Roman" w:cs="Times New Roman"/>
          <w:sz w:val="20"/>
          <w:szCs w:val="24"/>
        </w:rPr>
        <w:t xml:space="preserve"> – A manufacturer, processor, packer, re-packer, retailer, or other person who prepackages perishable food, shall determine a date that allows a reasonable period after sale for consumption of the food without physical spoilage, loss of value, or loss of palatability.  A reasonable period for consumption shall consist of at least one third of the approximate total shelf life of the perishable food.</w:t>
      </w:r>
      <w:bookmarkEnd w:id="149"/>
      <w:bookmarkEnd w:id="150"/>
      <w:bookmarkEnd w:id="151"/>
    </w:p>
    <w:p w:rsidR="00451A40" w:rsidRPr="00451A40" w:rsidRDefault="00451A40" w:rsidP="00451A40">
      <w:pPr>
        <w:spacing w:after="0" w:line="240" w:lineRule="auto"/>
        <w:ind w:left="360"/>
        <w:jc w:val="both"/>
        <w:rPr>
          <w:rFonts w:ascii="Times New Roman" w:eastAsia="Times New Roman" w:hAnsi="Times New Roman" w:cs="Times New Roman"/>
          <w:b/>
          <w:bCs/>
          <w:sz w:val="20"/>
          <w:szCs w:val="24"/>
        </w:rPr>
      </w:pPr>
      <w:bookmarkStart w:id="153" w:name="_Toc173752371"/>
      <w:bookmarkStart w:id="154" w:name="_Toc174456775"/>
      <w:bookmarkStart w:id="155" w:name="_Toc174458577"/>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56" w:name="_Toc493750323"/>
      <w:r w:rsidRPr="00451A40">
        <w:rPr>
          <w:rFonts w:ascii="Times New Roman" w:eastAsia="Times New Roman" w:hAnsi="Times New Roman" w:cs="Times New Roman"/>
          <w:b/>
          <w:bCs/>
          <w:iCs/>
          <w:sz w:val="20"/>
          <w:szCs w:val="24"/>
        </w:rPr>
        <w:t>3.3.2.  Responsibility for “Sell By” Date.</w:t>
      </w:r>
      <w:bookmarkEnd w:id="156"/>
      <w:r w:rsidRPr="00451A40">
        <w:rPr>
          <w:rFonts w:ascii="Times New Roman" w:eastAsia="Times New Roman" w:hAnsi="Times New Roman" w:cs="Times New Roman"/>
          <w:sz w:val="20"/>
          <w:szCs w:val="24"/>
        </w:rPr>
        <w:t xml:space="preserve"> – A retailer who purchases prepackaged perishable food may upon written agreement with the person prepackaging such food determine, identify, and be responsible for the “sell by” date placed on or attached to each package of such food.</w:t>
      </w:r>
      <w:bookmarkEnd w:id="153"/>
      <w:bookmarkEnd w:id="154"/>
      <w:bookmarkEnd w:id="155"/>
    </w:p>
    <w:p w:rsidR="00451A40" w:rsidRPr="00451A40" w:rsidRDefault="00451A40" w:rsidP="00451A40">
      <w:pPr>
        <w:spacing w:before="240" w:after="60" w:line="240" w:lineRule="auto"/>
        <w:jc w:val="both"/>
        <w:outlineLvl w:val="6"/>
        <w:rPr>
          <w:rFonts w:ascii="Times New Roman" w:eastAsia="Times New Roman" w:hAnsi="Times New Roman" w:cs="Times New Roman"/>
          <w:b/>
          <w:bCs/>
          <w:sz w:val="20"/>
          <w:szCs w:val="24"/>
        </w:rPr>
      </w:pPr>
      <w:bookmarkStart w:id="157" w:name="_Toc173474228"/>
      <w:bookmarkStart w:id="158" w:name="_Toc173752372"/>
      <w:bookmarkStart w:id="159" w:name="_Toc173771824"/>
      <w:bookmarkStart w:id="160" w:name="_Toc174456776"/>
      <w:bookmarkStart w:id="161" w:name="_Toc174458578"/>
      <w:bookmarkStart w:id="162" w:name="_Toc493750324"/>
      <w:r w:rsidRPr="00451A40">
        <w:rPr>
          <w:rFonts w:ascii="Times New Roman" w:eastAsia="Times New Roman" w:hAnsi="Times New Roman" w:cs="Times New Roman"/>
          <w:b/>
          <w:bCs/>
          <w:sz w:val="20"/>
          <w:szCs w:val="24"/>
        </w:rPr>
        <w:t>3.4.  Manner of Expressing Date</w:t>
      </w:r>
      <w:bookmarkEnd w:id="157"/>
      <w:bookmarkEnd w:id="158"/>
      <w:bookmarkEnd w:id="159"/>
      <w:bookmarkEnd w:id="160"/>
      <w:bookmarkEnd w:id="161"/>
      <w:r w:rsidRPr="00451A40">
        <w:rPr>
          <w:rFonts w:ascii="Times New Roman" w:eastAsia="Times New Roman" w:hAnsi="Times New Roman" w:cs="Times New Roman"/>
          <w:b/>
          <w:bCs/>
          <w:sz w:val="20"/>
          <w:szCs w:val="24"/>
        </w:rPr>
        <w:t>.</w:t>
      </w:r>
      <w:bookmarkEnd w:id="162"/>
    </w:p>
    <w:p w:rsidR="00451A40" w:rsidRPr="00451A40" w:rsidRDefault="00451A40" w:rsidP="00451A40">
      <w:pPr>
        <w:spacing w:after="0" w:line="240" w:lineRule="auto"/>
        <w:ind w:left="360"/>
        <w:jc w:val="both"/>
        <w:rPr>
          <w:rFonts w:ascii="Times New Roman" w:eastAsia="Times New Roman" w:hAnsi="Times New Roman" w:cs="Times New Roman"/>
          <w:b/>
          <w:bCs/>
          <w:sz w:val="20"/>
          <w:szCs w:val="24"/>
        </w:rPr>
      </w:pPr>
      <w:bookmarkStart w:id="163" w:name="_Toc173752373"/>
      <w:bookmarkStart w:id="164" w:name="_Toc174456777"/>
      <w:bookmarkStart w:id="165" w:name="_Toc174458579"/>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66" w:name="_Toc493750325"/>
      <w:r w:rsidRPr="00451A40">
        <w:rPr>
          <w:rFonts w:ascii="Times New Roman" w:eastAsia="Times New Roman" w:hAnsi="Times New Roman" w:cs="Times New Roman"/>
          <w:b/>
          <w:bCs/>
          <w:iCs/>
          <w:sz w:val="20"/>
          <w:szCs w:val="24"/>
        </w:rPr>
        <w:t>3.4.1.  Month and Day, or Day of Week.</w:t>
      </w:r>
      <w:bookmarkEnd w:id="166"/>
      <w:r w:rsidRPr="00451A40">
        <w:rPr>
          <w:rFonts w:ascii="Times New Roman" w:eastAsia="Times New Roman" w:hAnsi="Times New Roman" w:cs="Times New Roman"/>
          <w:sz w:val="20"/>
          <w:szCs w:val="24"/>
        </w:rPr>
        <w:t xml:space="preserve"> – A person described in Section 3.3.1. Reasonable Period for Consumption or 3.3.2. Responsibility for “Sell By” Date shall place or attach to each package of perishable food a date by month and day.  However, bakery products</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"Bakery products, shelf life"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with a shelf life of not more than seven days may be dated with the day of the week representing the last recommended day of sale.</w:t>
      </w:r>
      <w:bookmarkEnd w:id="163"/>
      <w:bookmarkEnd w:id="164"/>
      <w:bookmarkEnd w:id="165"/>
    </w:p>
    <w:p w:rsidR="00451A40" w:rsidRPr="00451A40" w:rsidRDefault="00451A40" w:rsidP="00451A40">
      <w:pPr>
        <w:spacing w:after="0" w:line="240" w:lineRule="auto"/>
        <w:ind w:left="360"/>
        <w:jc w:val="both"/>
        <w:rPr>
          <w:rFonts w:ascii="Times New Roman" w:eastAsia="Times New Roman" w:hAnsi="Times New Roman" w:cs="Times New Roman"/>
          <w:b/>
          <w:bCs/>
          <w:sz w:val="20"/>
          <w:szCs w:val="24"/>
        </w:rPr>
      </w:pPr>
      <w:bookmarkStart w:id="167" w:name="_Toc173752374"/>
      <w:bookmarkStart w:id="168" w:name="_Toc174456778"/>
      <w:bookmarkStart w:id="169" w:name="_Toc174458580"/>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70" w:name="_Toc493750326"/>
      <w:r w:rsidRPr="00451A40">
        <w:rPr>
          <w:rFonts w:ascii="Times New Roman" w:eastAsia="Times New Roman" w:hAnsi="Times New Roman" w:cs="Times New Roman"/>
          <w:b/>
          <w:bCs/>
          <w:iCs/>
          <w:sz w:val="20"/>
          <w:szCs w:val="24"/>
        </w:rPr>
        <w:t>3.4.2.  The term “Sell By.”</w:t>
      </w:r>
      <w:bookmarkEnd w:id="170"/>
      <w:r w:rsidRPr="00451A40">
        <w:rPr>
          <w:rFonts w:ascii="Times New Roman" w:eastAsia="Times New Roman" w:hAnsi="Times New Roman" w:cs="Times New Roman"/>
          <w:sz w:val="20"/>
          <w:szCs w:val="24"/>
        </w:rPr>
        <w:t xml:space="preserve"> – </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"Sell by date"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The “sell by” date shall be displayed with the term “sell by” or words of similar import immediately preceding or immediately over the designated date unless a prominent notice is on the label describing the date as a “sell by” date and indicating the location of the date.</w:t>
      </w:r>
      <w:bookmarkEnd w:id="167"/>
      <w:bookmarkEnd w:id="168"/>
      <w:bookmarkEnd w:id="169"/>
    </w:p>
    <w:p w:rsidR="00451A40" w:rsidRPr="00451A40" w:rsidRDefault="00451A40" w:rsidP="00451A40">
      <w:pPr>
        <w:spacing w:after="0" w:line="240" w:lineRule="auto"/>
        <w:ind w:left="360"/>
        <w:jc w:val="both"/>
        <w:rPr>
          <w:rFonts w:ascii="Times New Roman" w:eastAsia="Times New Roman" w:hAnsi="Times New Roman" w:cs="Times New Roman"/>
          <w:b/>
          <w:bCs/>
          <w:sz w:val="20"/>
          <w:szCs w:val="24"/>
        </w:rPr>
      </w:pPr>
      <w:bookmarkStart w:id="171" w:name="_Toc173752375"/>
      <w:bookmarkStart w:id="172" w:name="_Toc174456779"/>
      <w:bookmarkStart w:id="173" w:name="_Toc174458581"/>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74" w:name="_Toc493750327"/>
      <w:r w:rsidRPr="00451A40">
        <w:rPr>
          <w:rFonts w:ascii="Times New Roman" w:eastAsia="Times New Roman" w:hAnsi="Times New Roman" w:cs="Times New Roman"/>
          <w:b/>
          <w:bCs/>
          <w:iCs/>
          <w:sz w:val="20"/>
          <w:szCs w:val="24"/>
        </w:rPr>
        <w:t>3.4.3.  Abbreviation of Weekday.</w:t>
      </w:r>
      <w:bookmarkEnd w:id="174"/>
      <w:r w:rsidRPr="00451A40">
        <w:rPr>
          <w:rFonts w:ascii="Times New Roman" w:eastAsia="Times New Roman" w:hAnsi="Times New Roman" w:cs="Times New Roman"/>
          <w:sz w:val="20"/>
          <w:szCs w:val="24"/>
        </w:rPr>
        <w:t xml:space="preserve"> – If the day of the week is solely designated as provided in Section 3.4.1. Month and Day, or Day of Week the name of the day may be abbreviated </w:t>
      </w:r>
      <w:proofErr w:type="gramStart"/>
      <w:r w:rsidRPr="00451A40">
        <w:rPr>
          <w:rFonts w:ascii="Times New Roman" w:eastAsia="Times New Roman" w:hAnsi="Times New Roman" w:cs="Times New Roman"/>
          <w:sz w:val="20"/>
          <w:szCs w:val="24"/>
        </w:rPr>
        <w:t>by the use of</w:t>
      </w:r>
      <w:proofErr w:type="gramEnd"/>
      <w:r w:rsidRPr="00451A40">
        <w:rPr>
          <w:rFonts w:ascii="Times New Roman" w:eastAsia="Times New Roman" w:hAnsi="Times New Roman" w:cs="Times New Roman"/>
          <w:sz w:val="20"/>
          <w:szCs w:val="24"/>
        </w:rPr>
        <w:t xml:space="preserve"> either the first two or first three letters of the name of the day.</w:t>
      </w:r>
      <w:bookmarkEnd w:id="171"/>
      <w:bookmarkEnd w:id="172"/>
      <w:bookmarkEnd w:id="173"/>
    </w:p>
    <w:p w:rsidR="00451A40" w:rsidRPr="00451A40" w:rsidRDefault="00451A40" w:rsidP="00451A40">
      <w:pPr>
        <w:spacing w:after="0" w:line="240" w:lineRule="auto"/>
        <w:ind w:left="360"/>
        <w:jc w:val="both"/>
        <w:rPr>
          <w:rFonts w:ascii="Times New Roman" w:eastAsia="Times New Roman" w:hAnsi="Times New Roman" w:cs="Times New Roman"/>
          <w:b/>
          <w:bCs/>
          <w:sz w:val="20"/>
          <w:szCs w:val="24"/>
        </w:rPr>
      </w:pPr>
      <w:bookmarkStart w:id="175" w:name="_Toc173752376"/>
      <w:bookmarkStart w:id="176" w:name="_Toc174456780"/>
      <w:bookmarkStart w:id="177" w:name="_Toc174458582"/>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78" w:name="_Toc493750328"/>
      <w:r w:rsidRPr="00451A40">
        <w:rPr>
          <w:rFonts w:ascii="Times New Roman" w:eastAsia="Times New Roman" w:hAnsi="Times New Roman" w:cs="Times New Roman"/>
          <w:b/>
          <w:bCs/>
          <w:iCs/>
          <w:sz w:val="20"/>
          <w:szCs w:val="24"/>
        </w:rPr>
        <w:t>3.4.4.  Expression of Month and Day.</w:t>
      </w:r>
      <w:bookmarkEnd w:id="178"/>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"Date:Expression"</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 Except as provided for in Section 3.4.1. Month and Day, or Day of Week the date shall be designated by:</w:t>
      </w:r>
      <w:bookmarkEnd w:id="175"/>
      <w:bookmarkEnd w:id="176"/>
      <w:bookmarkEnd w:id="177"/>
    </w:p>
    <w:p w:rsidR="00451A40" w:rsidRPr="00451A40" w:rsidRDefault="00451A40" w:rsidP="00451A40">
      <w:pPr>
        <w:spacing w:after="0" w:line="240" w:lineRule="auto"/>
        <w:jc w:val="both"/>
        <w:rPr>
          <w:rFonts w:ascii="Times New Roman" w:eastAsia="Times New Roman" w:hAnsi="Times New Roman" w:cs="Times New Roman"/>
          <w:sz w:val="20"/>
          <w:szCs w:val="24"/>
        </w:rPr>
      </w:pPr>
    </w:p>
    <w:p w:rsidR="00451A40" w:rsidRPr="00451A40" w:rsidRDefault="00451A40" w:rsidP="00451A40">
      <w:pPr>
        <w:spacing w:after="0" w:line="240" w:lineRule="auto"/>
        <w:ind w:left="1080" w:hanging="360"/>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(a)</w:t>
      </w:r>
      <w:r w:rsidRPr="00451A40">
        <w:rPr>
          <w:rFonts w:ascii="Times New Roman" w:eastAsia="Times New Roman" w:hAnsi="Times New Roman" w:cs="Times New Roman"/>
          <w:sz w:val="20"/>
          <w:szCs w:val="24"/>
        </w:rPr>
        <w:tab/>
        <w:t>the first three letters of the month, preceded or followed by a numeral indicating the calendar day; or</w:t>
      </w:r>
    </w:p>
    <w:p w:rsidR="00451A40" w:rsidRPr="00451A40" w:rsidRDefault="00451A40" w:rsidP="00451A40">
      <w:pPr>
        <w:spacing w:after="0" w:line="240" w:lineRule="auto"/>
        <w:ind w:left="1080" w:hanging="360"/>
        <w:jc w:val="both"/>
        <w:rPr>
          <w:rFonts w:ascii="Times New Roman" w:eastAsia="Times New Roman" w:hAnsi="Times New Roman" w:cs="Times New Roman"/>
          <w:sz w:val="20"/>
          <w:szCs w:val="24"/>
        </w:rPr>
      </w:pPr>
    </w:p>
    <w:p w:rsidR="00451A40" w:rsidRPr="00451A40" w:rsidRDefault="00451A40" w:rsidP="00451A40">
      <w:pPr>
        <w:spacing w:after="0" w:line="240" w:lineRule="auto"/>
        <w:ind w:left="1080" w:hanging="360"/>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(b)</w:t>
      </w:r>
      <w:r w:rsidRPr="00451A40">
        <w:rPr>
          <w:rFonts w:ascii="Times New Roman" w:eastAsia="Times New Roman" w:hAnsi="Times New Roman" w:cs="Times New Roman"/>
          <w:sz w:val="20"/>
          <w:szCs w:val="24"/>
        </w:rPr>
        <w:tab/>
        <w:t>the month represented numerically followed by a numeral designation of the calendar day.</w:t>
      </w:r>
    </w:p>
    <w:p w:rsidR="00451A40" w:rsidRPr="00451A40" w:rsidRDefault="00451A40" w:rsidP="00451A40">
      <w:pPr>
        <w:spacing w:after="0" w:line="240" w:lineRule="auto"/>
        <w:jc w:val="both"/>
        <w:rPr>
          <w:rFonts w:ascii="Times New Roman" w:eastAsia="Times New Roman" w:hAnsi="Times New Roman" w:cs="Times New Roman"/>
          <w:sz w:val="20"/>
          <w:szCs w:val="24"/>
        </w:rPr>
      </w:pPr>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The month and day designation shall be separated by a period, slash, dash, or spacing.  When a numeral designation of the first nine days of the month is used, the number shall include a zero as the first digit; for example, 01 or 03.</w:t>
      </w:r>
    </w:p>
    <w:p w:rsidR="00451A40" w:rsidRPr="00451A40" w:rsidRDefault="00451A40" w:rsidP="00451A40">
      <w:pPr>
        <w:spacing w:before="60" w:after="0" w:line="240" w:lineRule="auto"/>
        <w:ind w:left="360"/>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(Amended 1987)</w:t>
      </w:r>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179" w:name="_Toc173752377"/>
      <w:bookmarkStart w:id="180" w:name="_Toc174456781"/>
      <w:bookmarkStart w:id="181" w:name="_Toc174458583"/>
    </w:p>
    <w:p w:rsidR="00451A40" w:rsidRPr="00451A40" w:rsidRDefault="00451A40" w:rsidP="00451A40">
      <w:pPr>
        <w:spacing w:after="0" w:line="240" w:lineRule="auto"/>
        <w:ind w:left="360"/>
        <w:jc w:val="both"/>
        <w:rPr>
          <w:rFonts w:ascii="Times New Roman" w:eastAsia="Times New Roman" w:hAnsi="Times New Roman" w:cs="Times New Roman"/>
          <w:sz w:val="20"/>
          <w:szCs w:val="24"/>
        </w:rPr>
      </w:pPr>
      <w:bookmarkStart w:id="182" w:name="_Toc493750329"/>
      <w:r w:rsidRPr="00451A40">
        <w:rPr>
          <w:rFonts w:ascii="Times New Roman" w:eastAsia="Times New Roman" w:hAnsi="Times New Roman" w:cs="Times New Roman"/>
          <w:b/>
          <w:bCs/>
          <w:iCs/>
          <w:sz w:val="20"/>
          <w:szCs w:val="24"/>
        </w:rPr>
        <w:t>3.4.5.  Expression of the Year.</w:t>
      </w:r>
      <w:bookmarkEnd w:id="182"/>
      <w:r w:rsidRPr="00451A40">
        <w:rPr>
          <w:rFonts w:ascii="Times New Roman" w:eastAsia="Times New Roman" w:hAnsi="Times New Roman" w:cs="Times New Roman"/>
          <w:sz w:val="20"/>
          <w:szCs w:val="24"/>
        </w:rPr>
        <w:t xml:space="preserve"> – The “sell by” date may include the year following the day if such year is expressed as a two or four-digit number separated as described in Section 3.4.4.</w:t>
      </w:r>
      <w:bookmarkEnd w:id="179"/>
      <w:bookmarkEnd w:id="180"/>
      <w:bookmarkEnd w:id="181"/>
      <w:r w:rsidRPr="00451A40">
        <w:rPr>
          <w:rFonts w:ascii="Times New Roman" w:eastAsia="Times New Roman" w:hAnsi="Times New Roman" w:cs="Times New Roman"/>
          <w:sz w:val="20"/>
          <w:szCs w:val="24"/>
        </w:rPr>
        <w:t xml:space="preserve"> Expression of Month and Day.</w:t>
      </w:r>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183" w:name="_Toc173470331"/>
      <w:bookmarkStart w:id="184" w:name="_Toc173470704"/>
      <w:bookmarkStart w:id="185" w:name="_Toc173471569"/>
      <w:bookmarkStart w:id="186" w:name="_Toc173752378"/>
      <w:bookmarkStart w:id="187" w:name="_Toc174456782"/>
      <w:bookmarkStart w:id="188" w:name="_Toc174458584"/>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89" w:name="_Toc493750330"/>
      <w:r w:rsidRPr="00451A40">
        <w:rPr>
          <w:rFonts w:ascii="Times New Roman" w:eastAsia="Times New Roman" w:hAnsi="Times New Roman" w:cs="Times New Roman"/>
          <w:b/>
          <w:bCs/>
          <w:sz w:val="24"/>
        </w:rPr>
        <w:lastRenderedPageBreak/>
        <w:t>Section 4.  Sale of Semi Perishable and Long Shelf Life Food</w:t>
      </w:r>
      <w:bookmarkEnd w:id="183"/>
      <w:bookmarkEnd w:id="184"/>
      <w:bookmarkEnd w:id="185"/>
      <w:bookmarkEnd w:id="186"/>
      <w:bookmarkEnd w:id="187"/>
      <w:bookmarkEnd w:id="188"/>
      <w:bookmarkEnd w:id="189"/>
      <w:r w:rsidRPr="00451A40">
        <w:rPr>
          <w:rFonts w:ascii="Times New Roman" w:eastAsia="Times New Roman" w:hAnsi="Times New Roman" w:cs="Times New Roman"/>
          <w:b/>
          <w:bCs/>
          <w:sz w:val="24"/>
        </w:rPr>
        <w:fldChar w:fldCharType="begin"/>
      </w:r>
      <w:r w:rsidRPr="00451A40">
        <w:rPr>
          <w:rFonts w:ascii="Times New Roman" w:eastAsia="Times New Roman" w:hAnsi="Times New Roman" w:cs="Times New Roman"/>
          <w:b/>
          <w:bCs/>
          <w:sz w:val="24"/>
        </w:rPr>
        <w:instrText>xe "Semi-perishable food"</w:instrText>
      </w:r>
      <w:r w:rsidRPr="00451A40">
        <w:rPr>
          <w:rFonts w:ascii="Times New Roman" w:eastAsia="Times New Roman" w:hAnsi="Times New Roman" w:cs="Times New Roman"/>
          <w:b/>
          <w:bCs/>
          <w:sz w:val="24"/>
        </w:rPr>
        <w:fldChar w:fldCharType="end"/>
      </w:r>
      <w:r w:rsidRPr="00451A40">
        <w:rPr>
          <w:rFonts w:ascii="Times New Roman" w:eastAsia="Times New Roman" w:hAnsi="Times New Roman" w:cs="Times New Roman"/>
          <w:b/>
          <w:bCs/>
          <w:sz w:val="24"/>
        </w:rPr>
        <w:fldChar w:fldCharType="begin"/>
      </w:r>
      <w:r w:rsidRPr="00451A40">
        <w:rPr>
          <w:rFonts w:ascii="Times New Roman" w:eastAsia="Times New Roman" w:hAnsi="Times New Roman" w:cs="Times New Roman"/>
          <w:b/>
          <w:bCs/>
          <w:sz w:val="24"/>
        </w:rPr>
        <w:instrText>xe "Long shelf life food"</w:instrText>
      </w:r>
      <w:r w:rsidRPr="00451A40">
        <w:rPr>
          <w:rFonts w:ascii="Times New Roman" w:eastAsia="Times New Roman" w:hAnsi="Times New Roman" w:cs="Times New Roman"/>
          <w:b/>
          <w:bCs/>
          <w:sz w:val="24"/>
        </w:rPr>
        <w:fldChar w:fldCharType="end"/>
      </w:r>
    </w:p>
    <w:p w:rsidR="00451A40" w:rsidRPr="00451A40" w:rsidRDefault="00451A40" w:rsidP="00451A40">
      <w:pPr>
        <w:keepNext/>
        <w:spacing w:after="0" w:line="240" w:lineRule="auto"/>
        <w:jc w:val="both"/>
        <w:rPr>
          <w:rFonts w:ascii="Times New Roman" w:eastAsia="Times New Roman" w:hAnsi="Times New Roman" w:cs="Times New Roman"/>
          <w:sz w:val="20"/>
          <w:szCs w:val="24"/>
        </w:rPr>
      </w:pPr>
      <w:bookmarkStart w:id="190" w:name="_Toc493750331"/>
      <w:bookmarkStart w:id="191" w:name="_Toc173474229"/>
      <w:bookmarkStart w:id="192" w:name="_Toc173752379"/>
      <w:bookmarkStart w:id="193" w:name="_Toc173771825"/>
      <w:bookmarkStart w:id="194" w:name="_Toc174456783"/>
      <w:bookmarkStart w:id="195" w:name="_Toc174458585"/>
      <w:r w:rsidRPr="00451A40">
        <w:rPr>
          <w:rFonts w:ascii="Times New Roman" w:eastAsia="Times New Roman" w:hAnsi="Times New Roman" w:cs="Times New Roman"/>
          <w:b/>
          <w:bCs/>
          <w:sz w:val="20"/>
          <w:szCs w:val="24"/>
        </w:rPr>
        <w:t>4.1.  “Best If Used By” Date.</w:t>
      </w:r>
      <w:bookmarkEnd w:id="190"/>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"Best if used by date"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 A manufacturer, processor, packer, re-packer, or other person who prepackages semi perishable or long shelf life food may place upon or attach to the package an open date providing it is designated by the “best if used by” date.</w:t>
      </w:r>
      <w:bookmarkEnd w:id="191"/>
      <w:bookmarkEnd w:id="192"/>
      <w:bookmarkEnd w:id="193"/>
      <w:bookmarkEnd w:id="194"/>
      <w:bookmarkEnd w:id="195"/>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196" w:name="_Toc173474230"/>
      <w:bookmarkStart w:id="197" w:name="_Toc173752380"/>
      <w:bookmarkStart w:id="198" w:name="_Toc173771826"/>
      <w:bookmarkStart w:id="199" w:name="_Toc174456784"/>
      <w:bookmarkStart w:id="200" w:name="_Toc174458586"/>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201" w:name="_Toc493750332"/>
      <w:r w:rsidRPr="00451A40">
        <w:rPr>
          <w:rFonts w:ascii="Times New Roman" w:eastAsia="Times New Roman" w:hAnsi="Times New Roman" w:cs="Times New Roman"/>
          <w:b/>
          <w:bCs/>
          <w:sz w:val="20"/>
          <w:szCs w:val="24"/>
        </w:rPr>
        <w:t>4.2.  Sale After Expiration of “Best If Used By” Date.</w:t>
      </w:r>
      <w:bookmarkEnd w:id="201"/>
      <w:r w:rsidRPr="00451A40">
        <w:rPr>
          <w:rFonts w:ascii="Times New Roman" w:eastAsia="Times New Roman" w:hAnsi="Times New Roman" w:cs="Times New Roman"/>
          <w:sz w:val="20"/>
          <w:szCs w:val="24"/>
        </w:rPr>
        <w:t xml:space="preserve"> – A retail food establishment may sell or offer for sale food beyond the designated “best if used by” date provided the food is wholesome and the sensory physical quality standards for that food have not significantly diminished.</w:t>
      </w:r>
      <w:bookmarkEnd w:id="196"/>
      <w:bookmarkEnd w:id="197"/>
      <w:bookmarkEnd w:id="198"/>
      <w:bookmarkEnd w:id="199"/>
      <w:bookmarkEnd w:id="200"/>
    </w:p>
    <w:p w:rsidR="00451A40" w:rsidRPr="00451A40" w:rsidRDefault="00451A40" w:rsidP="00451A40">
      <w:pPr>
        <w:spacing w:after="0" w:line="240" w:lineRule="auto"/>
        <w:jc w:val="both"/>
        <w:rPr>
          <w:rFonts w:ascii="Times New Roman" w:eastAsia="Times New Roman" w:hAnsi="Times New Roman" w:cs="Times New Roman"/>
          <w:b/>
          <w:bCs/>
          <w:sz w:val="20"/>
          <w:szCs w:val="24"/>
        </w:rPr>
      </w:pPr>
      <w:bookmarkStart w:id="202" w:name="_Toc173474231"/>
      <w:bookmarkStart w:id="203" w:name="_Toc173752381"/>
      <w:bookmarkStart w:id="204" w:name="_Toc173771827"/>
      <w:bookmarkStart w:id="205" w:name="_Toc174456785"/>
      <w:bookmarkStart w:id="206" w:name="_Toc174458587"/>
    </w:p>
    <w:p w:rsidR="00451A40" w:rsidRPr="00451A40" w:rsidRDefault="00451A40" w:rsidP="00451A40">
      <w:pPr>
        <w:spacing w:after="0" w:line="240" w:lineRule="auto"/>
        <w:jc w:val="both"/>
        <w:rPr>
          <w:rFonts w:ascii="Times New Roman" w:eastAsia="Times New Roman" w:hAnsi="Times New Roman" w:cs="Times New Roman"/>
          <w:sz w:val="20"/>
          <w:szCs w:val="24"/>
        </w:rPr>
      </w:pPr>
      <w:bookmarkStart w:id="207" w:name="_Toc493750333"/>
      <w:r w:rsidRPr="00451A40">
        <w:rPr>
          <w:rFonts w:ascii="Times New Roman" w:eastAsia="Times New Roman" w:hAnsi="Times New Roman" w:cs="Times New Roman"/>
          <w:b/>
          <w:bCs/>
          <w:sz w:val="20"/>
          <w:szCs w:val="24"/>
        </w:rPr>
        <w:t>4.3.  Manner of Expressing Date.</w:t>
      </w:r>
      <w:bookmarkEnd w:id="207"/>
      <w:r w:rsidRPr="00451A40">
        <w:rPr>
          <w:rFonts w:ascii="Times New Roman" w:eastAsia="Times New Roman" w:hAnsi="Times New Roman" w:cs="Times New Roman"/>
          <w:sz w:val="20"/>
          <w:szCs w:val="24"/>
        </w:rPr>
        <w:t xml:space="preserve"> – The “best if used by” date as required by Section 4.1. “Best If Used By” Date shall be placed upon or attached to each container or package and be limited to the terms “best if used by” or words of similar import followed by or immediately over the date designated by the month and year unless a prominent notice is on the label describing the date as a “best if used by” date and indicating the location of the date.  The date shall be designated by the first three letters of the month followed by a numeral indicating the year.  The use of the day of the month is permissible provided that the day of the month is placed prior to the month; for example, 30 Jun 81.</w:t>
      </w:r>
      <w:bookmarkEnd w:id="202"/>
      <w:bookmarkEnd w:id="203"/>
      <w:bookmarkEnd w:id="204"/>
      <w:bookmarkEnd w:id="205"/>
      <w:bookmarkEnd w:id="206"/>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08" w:name="_Toc173470332"/>
      <w:bookmarkStart w:id="209" w:name="_Toc173470705"/>
      <w:bookmarkStart w:id="210" w:name="_Toc173471570"/>
      <w:bookmarkStart w:id="211" w:name="_Toc173752382"/>
      <w:bookmarkStart w:id="212" w:name="_Toc174456786"/>
      <w:bookmarkStart w:id="213" w:name="_Toc174458588"/>
      <w:bookmarkStart w:id="214" w:name="_Toc493750334"/>
      <w:r w:rsidRPr="00451A40">
        <w:rPr>
          <w:rFonts w:ascii="Times New Roman" w:eastAsia="Times New Roman" w:hAnsi="Times New Roman" w:cs="Times New Roman"/>
          <w:b/>
          <w:bCs/>
          <w:sz w:val="24"/>
        </w:rPr>
        <w:t>Section 5.  Placement of the Date</w:t>
      </w:r>
      <w:bookmarkEnd w:id="208"/>
      <w:bookmarkEnd w:id="209"/>
      <w:bookmarkEnd w:id="210"/>
      <w:bookmarkEnd w:id="211"/>
      <w:bookmarkEnd w:id="212"/>
      <w:bookmarkEnd w:id="213"/>
      <w:bookmarkEnd w:id="214"/>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The date, whether “sell by” or “best if used by,”</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"Best if used by date"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shall be printed, stamped, embossed, perforated, or otherwise shown on the package, label on the package, or tag attached to the package in a manner that is easily readable and separate from other information, graphics, or lettering so as to be clearly visible to a prospective purchaser.  The date shall not be superimposed on other required information or obscured by other information, graphics, or pricing.  Regardless of the type size used, the date shall be easily readable.  These requirements do not preclude a supplemental notice elsewhere on a package describing and/or indicating the location of the date.</w:t>
      </w:r>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15" w:name="_Toc173470333"/>
      <w:bookmarkStart w:id="216" w:name="_Toc173470706"/>
      <w:bookmarkStart w:id="217" w:name="_Toc173471571"/>
      <w:bookmarkStart w:id="218" w:name="_Toc173752383"/>
      <w:bookmarkStart w:id="219" w:name="_Toc174456787"/>
      <w:bookmarkStart w:id="220" w:name="_Toc174458589"/>
      <w:bookmarkStart w:id="221" w:name="_Toc493750335"/>
      <w:r w:rsidRPr="00451A40">
        <w:rPr>
          <w:rFonts w:ascii="Times New Roman" w:eastAsia="Times New Roman" w:hAnsi="Times New Roman" w:cs="Times New Roman"/>
          <w:b/>
          <w:bCs/>
          <w:sz w:val="24"/>
        </w:rPr>
        <w:t>Section 6.  Factors for the Date Determination</w:t>
      </w:r>
      <w:bookmarkEnd w:id="215"/>
      <w:bookmarkEnd w:id="216"/>
      <w:bookmarkEnd w:id="217"/>
      <w:bookmarkEnd w:id="218"/>
      <w:bookmarkEnd w:id="219"/>
      <w:bookmarkEnd w:id="220"/>
      <w:bookmarkEnd w:id="221"/>
      <w:r w:rsidRPr="00451A40">
        <w:rPr>
          <w:rFonts w:ascii="Times New Roman" w:eastAsia="Times New Roman" w:hAnsi="Times New Roman" w:cs="Times New Roman"/>
          <w:b/>
          <w:bCs/>
          <w:sz w:val="24"/>
        </w:rPr>
        <w:fldChar w:fldCharType="begin"/>
      </w:r>
      <w:r w:rsidRPr="00451A40">
        <w:rPr>
          <w:rFonts w:ascii="Times New Roman" w:eastAsia="Times New Roman" w:hAnsi="Times New Roman" w:cs="Times New Roman"/>
          <w:b/>
          <w:bCs/>
          <w:sz w:val="24"/>
        </w:rPr>
        <w:instrText>xe "Date:Determination"</w:instrText>
      </w:r>
      <w:r w:rsidRPr="00451A40">
        <w:rPr>
          <w:rFonts w:ascii="Times New Roman" w:eastAsia="Times New Roman" w:hAnsi="Times New Roman" w:cs="Times New Roman"/>
          <w:b/>
          <w:bCs/>
          <w:sz w:val="24"/>
        </w:rPr>
        <w:fldChar w:fldCharType="end"/>
      </w:r>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 xml:space="preserve">A person who, as provided for in this regulation, places either the “sell by” </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"Sell by date"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date or “best if used by” date</w:t>
      </w:r>
      <w:r w:rsidRPr="00451A40">
        <w:rPr>
          <w:rFonts w:ascii="Times New Roman" w:eastAsia="Times New Roman" w:hAnsi="Times New Roman" w:cs="Times New Roman"/>
          <w:sz w:val="20"/>
          <w:szCs w:val="24"/>
        </w:rPr>
        <w:fldChar w:fldCharType="begin"/>
      </w:r>
      <w:r w:rsidRPr="00451A40">
        <w:rPr>
          <w:rFonts w:ascii="Times New Roman" w:eastAsia="Times New Roman" w:hAnsi="Times New Roman" w:cs="Times New Roman"/>
          <w:sz w:val="20"/>
          <w:szCs w:val="24"/>
        </w:rPr>
        <w:instrText>xe "Best if used by date"</w:instrText>
      </w:r>
      <w:r w:rsidRPr="00451A40">
        <w:rPr>
          <w:rFonts w:ascii="Times New Roman" w:eastAsia="Times New Roman" w:hAnsi="Times New Roman" w:cs="Times New Roman"/>
          <w:sz w:val="20"/>
          <w:szCs w:val="24"/>
        </w:rPr>
        <w:fldChar w:fldCharType="end"/>
      </w:r>
      <w:r w:rsidRPr="00451A40">
        <w:rPr>
          <w:rFonts w:ascii="Times New Roman" w:eastAsia="Times New Roman" w:hAnsi="Times New Roman" w:cs="Times New Roman"/>
          <w:sz w:val="20"/>
          <w:szCs w:val="24"/>
        </w:rPr>
        <w:t xml:space="preserve"> on a package shall determine the date by taking into consideration the food quality, characteristics, formulation, processing impact, packaging or container and other protective wrapping or coating, customary transportation, and storage and display conditions.  For purposes of calculating this date, home storage conditions shall </w:t>
      </w:r>
      <w:proofErr w:type="gramStart"/>
      <w:r w:rsidRPr="00451A40">
        <w:rPr>
          <w:rFonts w:ascii="Times New Roman" w:eastAsia="Times New Roman" w:hAnsi="Times New Roman" w:cs="Times New Roman"/>
          <w:sz w:val="20"/>
          <w:szCs w:val="24"/>
        </w:rPr>
        <w:t>be considered to be</w:t>
      </w:r>
      <w:proofErr w:type="gramEnd"/>
      <w:r w:rsidRPr="00451A40">
        <w:rPr>
          <w:rFonts w:ascii="Times New Roman" w:eastAsia="Times New Roman" w:hAnsi="Times New Roman" w:cs="Times New Roman"/>
          <w:sz w:val="20"/>
          <w:szCs w:val="24"/>
        </w:rPr>
        <w:t xml:space="preserve"> similar to those in the usual retail store except that the date for refrigerated food may be calculated by using a home storage temperature standard of 40 °F (4.4 °C).</w:t>
      </w:r>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22" w:name="_Toc173470334"/>
      <w:bookmarkStart w:id="223" w:name="_Toc173470707"/>
      <w:bookmarkStart w:id="224" w:name="_Toc173471572"/>
      <w:bookmarkStart w:id="225" w:name="_Toc173752384"/>
      <w:bookmarkStart w:id="226" w:name="_Toc174456788"/>
      <w:bookmarkStart w:id="227" w:name="_Toc174458590"/>
      <w:bookmarkStart w:id="228" w:name="_Toc493750336"/>
      <w:r w:rsidRPr="00451A40">
        <w:rPr>
          <w:rFonts w:ascii="Times New Roman" w:eastAsia="Times New Roman" w:hAnsi="Times New Roman" w:cs="Times New Roman"/>
          <w:b/>
          <w:bCs/>
          <w:sz w:val="24"/>
        </w:rPr>
        <w:t>Section 7.  Records</w:t>
      </w:r>
      <w:bookmarkEnd w:id="222"/>
      <w:bookmarkEnd w:id="223"/>
      <w:bookmarkEnd w:id="224"/>
      <w:bookmarkEnd w:id="225"/>
      <w:bookmarkEnd w:id="226"/>
      <w:bookmarkEnd w:id="227"/>
      <w:bookmarkEnd w:id="228"/>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A person who is responsible for establishing the date for perishable, semi perishable, and long shelf life food shall keep a record of the method used to determine the date.  A record revision is necessary whenever a factor affecting date determination is altered.  Such record shall be retained for not less than six months after the most recent “sell by” or “best if used by” date and shall be available during normal business hours for examination upon request by </w:t>
      </w:r>
      <w:r w:rsidRPr="00451A40">
        <w:rPr>
          <w:rFonts w:ascii="Times New Roman" w:eastAsia="Times New Roman" w:hAnsi="Times New Roman" w:cs="Times New Roman"/>
          <w:bCs/>
          <w:sz w:val="20"/>
          <w:szCs w:val="24"/>
        </w:rPr>
        <w:t xml:space="preserve">__________ </w:t>
      </w:r>
      <w:r w:rsidRPr="00451A40">
        <w:rPr>
          <w:rFonts w:ascii="Times New Roman" w:eastAsia="Times New Roman" w:hAnsi="Times New Roman" w:cs="Times New Roman"/>
          <w:sz w:val="20"/>
          <w:szCs w:val="24"/>
        </w:rPr>
        <w:t>(agency name).</w:t>
      </w:r>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29" w:name="_Toc173470335"/>
      <w:bookmarkStart w:id="230" w:name="_Toc173470708"/>
      <w:bookmarkStart w:id="231" w:name="_Toc173471573"/>
      <w:bookmarkStart w:id="232" w:name="_Toc173752385"/>
      <w:bookmarkStart w:id="233" w:name="_Toc174456789"/>
      <w:bookmarkStart w:id="234" w:name="_Toc174458591"/>
      <w:bookmarkStart w:id="235" w:name="_Toc493750337"/>
      <w:r w:rsidRPr="00451A40">
        <w:rPr>
          <w:rFonts w:ascii="Times New Roman" w:eastAsia="Times New Roman" w:hAnsi="Times New Roman" w:cs="Times New Roman"/>
          <w:b/>
          <w:bCs/>
          <w:sz w:val="24"/>
        </w:rPr>
        <w:t>Section 8.  Exemptions</w:t>
      </w:r>
      <w:bookmarkEnd w:id="229"/>
      <w:bookmarkEnd w:id="230"/>
      <w:bookmarkEnd w:id="231"/>
      <w:bookmarkEnd w:id="232"/>
      <w:bookmarkEnd w:id="233"/>
      <w:bookmarkEnd w:id="234"/>
      <w:bookmarkEnd w:id="235"/>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b/>
          <w:bCs/>
          <w:sz w:val="20"/>
          <w:szCs w:val="24"/>
        </w:rPr>
        <w:t>8.1.</w:t>
      </w:r>
      <w:r w:rsidRPr="00451A40">
        <w:rPr>
          <w:rFonts w:ascii="Times New Roman" w:eastAsia="Times New Roman" w:hAnsi="Times New Roman" w:cs="Times New Roman"/>
          <w:sz w:val="20"/>
          <w:szCs w:val="24"/>
        </w:rPr>
        <w:t xml:space="preserve">  This regulation does not apply to perishable fruits or vegetables in a container permitting sensory examination.</w:t>
      </w:r>
    </w:p>
    <w:p w:rsidR="00451A40" w:rsidRPr="00451A40" w:rsidRDefault="00451A40" w:rsidP="00451A40">
      <w:pPr>
        <w:spacing w:after="0" w:line="240" w:lineRule="auto"/>
        <w:jc w:val="both"/>
        <w:rPr>
          <w:rFonts w:ascii="Times New Roman" w:eastAsia="Times New Roman" w:hAnsi="Times New Roman" w:cs="Times New Roman"/>
          <w:b/>
          <w:bCs/>
          <w:sz w:val="20"/>
          <w:szCs w:val="24"/>
        </w:rPr>
      </w:pPr>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b/>
          <w:bCs/>
          <w:sz w:val="20"/>
          <w:szCs w:val="24"/>
        </w:rPr>
        <w:t>8.2.</w:t>
      </w:r>
      <w:r w:rsidRPr="00451A40">
        <w:rPr>
          <w:rFonts w:ascii="Times New Roman" w:eastAsia="Times New Roman" w:hAnsi="Times New Roman" w:cs="Times New Roman"/>
          <w:sz w:val="20"/>
          <w:szCs w:val="24"/>
        </w:rPr>
        <w:t xml:space="preserve">  This regulation does not apply to prepackaged perishable foods open dated according to requirements of federal law or regulation.</w:t>
      </w:r>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36" w:name="_Toc173470336"/>
      <w:bookmarkStart w:id="237" w:name="_Toc173470709"/>
      <w:bookmarkStart w:id="238" w:name="_Toc173471574"/>
      <w:bookmarkStart w:id="239" w:name="_Toc173752386"/>
      <w:bookmarkStart w:id="240" w:name="_Toc174456790"/>
      <w:bookmarkStart w:id="241" w:name="_Toc174458592"/>
      <w:bookmarkStart w:id="242" w:name="_Toc493750338"/>
      <w:r w:rsidRPr="00451A40">
        <w:rPr>
          <w:rFonts w:ascii="Times New Roman" w:eastAsia="Times New Roman" w:hAnsi="Times New Roman" w:cs="Times New Roman"/>
          <w:b/>
          <w:bCs/>
          <w:sz w:val="24"/>
        </w:rPr>
        <w:lastRenderedPageBreak/>
        <w:t>Section 9.  Preemption of Local, County, and Municipal Ordinance</w:t>
      </w:r>
      <w:bookmarkEnd w:id="236"/>
      <w:bookmarkEnd w:id="237"/>
      <w:bookmarkEnd w:id="238"/>
      <w:bookmarkEnd w:id="239"/>
      <w:bookmarkEnd w:id="240"/>
      <w:bookmarkEnd w:id="241"/>
      <w:bookmarkEnd w:id="242"/>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A municipality or county shall not adopt or impose standards or requirements other than those provided for in this regulation.</w:t>
      </w:r>
    </w:p>
    <w:p w:rsidR="00451A40" w:rsidRPr="00451A40" w:rsidRDefault="00451A40" w:rsidP="00451A40">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43" w:name="_Toc173470337"/>
      <w:bookmarkStart w:id="244" w:name="_Toc173470710"/>
      <w:bookmarkStart w:id="245" w:name="_Toc173471575"/>
      <w:bookmarkStart w:id="246" w:name="_Toc173752387"/>
      <w:bookmarkStart w:id="247" w:name="_Toc174456791"/>
      <w:bookmarkStart w:id="248" w:name="_Toc174458593"/>
      <w:bookmarkStart w:id="249" w:name="_Toc493750339"/>
      <w:r w:rsidRPr="00451A40">
        <w:rPr>
          <w:rFonts w:ascii="Times New Roman" w:eastAsia="Times New Roman" w:hAnsi="Times New Roman" w:cs="Times New Roman"/>
          <w:b/>
          <w:bCs/>
          <w:sz w:val="24"/>
        </w:rPr>
        <w:t>Section 10.  Effective Date</w:t>
      </w:r>
      <w:bookmarkEnd w:id="243"/>
      <w:bookmarkEnd w:id="244"/>
      <w:bookmarkEnd w:id="245"/>
      <w:bookmarkEnd w:id="246"/>
      <w:bookmarkEnd w:id="247"/>
      <w:bookmarkEnd w:id="248"/>
      <w:bookmarkEnd w:id="249"/>
    </w:p>
    <w:p w:rsidR="00451A40" w:rsidRPr="00451A40" w:rsidRDefault="00451A40" w:rsidP="00451A40">
      <w:pPr>
        <w:spacing w:after="0" w:line="240" w:lineRule="auto"/>
        <w:jc w:val="both"/>
        <w:rPr>
          <w:rFonts w:ascii="Times New Roman" w:eastAsia="Times New Roman" w:hAnsi="Times New Roman" w:cs="Times New Roman"/>
          <w:sz w:val="20"/>
          <w:szCs w:val="24"/>
        </w:rPr>
      </w:pPr>
      <w:r w:rsidRPr="00451A40">
        <w:rPr>
          <w:rFonts w:ascii="Times New Roman" w:eastAsia="Times New Roman" w:hAnsi="Times New Roman" w:cs="Times New Roman"/>
          <w:sz w:val="20"/>
          <w:szCs w:val="24"/>
        </w:rPr>
        <w:t>This regulation shall become effective on and after </w:t>
      </w:r>
      <w:r w:rsidRPr="00451A40">
        <w:rPr>
          <w:rFonts w:ascii="Times New Roman" w:eastAsia="Times New Roman" w:hAnsi="Times New Roman" w:cs="Times New Roman"/>
          <w:bCs/>
          <w:sz w:val="20"/>
          <w:szCs w:val="24"/>
        </w:rPr>
        <w:t>__________</w:t>
      </w:r>
      <w:r w:rsidRPr="00451A40">
        <w:rPr>
          <w:rFonts w:ascii="Times New Roman" w:eastAsia="Times New Roman" w:hAnsi="Times New Roman" w:cs="Times New Roman"/>
          <w:sz w:val="20"/>
          <w:szCs w:val="24"/>
        </w:rPr>
        <w:t>.</w:t>
      </w:r>
    </w:p>
    <w:p w:rsidR="00451A40" w:rsidRPr="00451A40" w:rsidRDefault="00451A40" w:rsidP="00451A40">
      <w:pPr>
        <w:spacing w:after="0" w:line="240" w:lineRule="auto"/>
        <w:jc w:val="both"/>
        <w:rPr>
          <w:rFonts w:ascii="Times New Roman" w:eastAsia="Times New Roman" w:hAnsi="Times New Roman" w:cs="Times New Roman"/>
          <w:sz w:val="20"/>
          <w:szCs w:val="24"/>
        </w:rPr>
      </w:pPr>
    </w:p>
    <w:p w:rsidR="00CF37E6" w:rsidRDefault="00CF37E6"/>
    <w:sectPr w:rsidR="00CF37E6" w:rsidSect="00451A40">
      <w:headerReference w:type="even" r:id="rId6"/>
      <w:headerReference w:type="default" r:id="rId7"/>
      <w:footerReference w:type="even" r:id="rId8"/>
      <w:footerReference w:type="default" r:id="rId9"/>
      <w:pgSz w:w="12240" w:h="15840"/>
      <w:pgMar w:top="1440" w:right="1440" w:bottom="1440" w:left="1440" w:header="720" w:footer="720" w:gutter="0"/>
      <w:pgNumType w:start="1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40" w:rsidRDefault="00451A40" w:rsidP="00451A40">
      <w:pPr>
        <w:spacing w:after="0" w:line="240" w:lineRule="auto"/>
      </w:pPr>
      <w:r>
        <w:separator/>
      </w:r>
    </w:p>
  </w:endnote>
  <w:endnote w:type="continuationSeparator" w:id="0">
    <w:p w:rsidR="00451A40" w:rsidRDefault="00451A40" w:rsidP="0045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731507"/>
      <w:docPartObj>
        <w:docPartGallery w:val="Page Numbers (Bottom of Page)"/>
        <w:docPartUnique/>
      </w:docPartObj>
    </w:sdtPr>
    <w:sdtEndPr>
      <w:rPr>
        <w:rFonts w:ascii="Times New Roman" w:hAnsi="Times New Roman" w:cs="Times New Roman"/>
        <w:noProof/>
        <w:sz w:val="20"/>
        <w:szCs w:val="20"/>
      </w:rPr>
    </w:sdtEndPr>
    <w:sdtContent>
      <w:p w:rsidR="00451A40" w:rsidRPr="00451A40" w:rsidRDefault="00451A40" w:rsidP="00451A40">
        <w:pPr>
          <w:pStyle w:val="Footer"/>
          <w:jc w:val="center"/>
          <w:rPr>
            <w:rFonts w:ascii="Times New Roman" w:hAnsi="Times New Roman" w:cs="Times New Roman"/>
            <w:sz w:val="20"/>
            <w:szCs w:val="20"/>
          </w:rPr>
        </w:pPr>
        <w:r w:rsidRPr="00451A40">
          <w:rPr>
            <w:rFonts w:ascii="Times New Roman" w:hAnsi="Times New Roman" w:cs="Times New Roman"/>
            <w:sz w:val="20"/>
            <w:szCs w:val="20"/>
          </w:rPr>
          <w:fldChar w:fldCharType="begin"/>
        </w:r>
        <w:r w:rsidRPr="00451A40">
          <w:rPr>
            <w:rFonts w:ascii="Times New Roman" w:hAnsi="Times New Roman" w:cs="Times New Roman"/>
            <w:sz w:val="20"/>
            <w:szCs w:val="20"/>
          </w:rPr>
          <w:instrText xml:space="preserve"> PAGE   \* MERGEFORMAT </w:instrText>
        </w:r>
        <w:r w:rsidRPr="00451A40">
          <w:rPr>
            <w:rFonts w:ascii="Times New Roman" w:hAnsi="Times New Roman" w:cs="Times New Roman"/>
            <w:sz w:val="20"/>
            <w:szCs w:val="20"/>
          </w:rPr>
          <w:fldChar w:fldCharType="separate"/>
        </w:r>
        <w:r w:rsidRPr="00451A40">
          <w:rPr>
            <w:rFonts w:ascii="Times New Roman" w:hAnsi="Times New Roman" w:cs="Times New Roman"/>
            <w:noProof/>
            <w:sz w:val="20"/>
            <w:szCs w:val="20"/>
          </w:rPr>
          <w:t>2</w:t>
        </w:r>
        <w:r w:rsidRPr="00451A4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377518"/>
      <w:docPartObj>
        <w:docPartGallery w:val="Page Numbers (Bottom of Page)"/>
        <w:docPartUnique/>
      </w:docPartObj>
    </w:sdtPr>
    <w:sdtEndPr>
      <w:rPr>
        <w:rFonts w:ascii="Times New Roman" w:hAnsi="Times New Roman" w:cs="Times New Roman"/>
        <w:noProof/>
        <w:sz w:val="20"/>
        <w:szCs w:val="20"/>
      </w:rPr>
    </w:sdtEndPr>
    <w:sdtContent>
      <w:p w:rsidR="00451A40" w:rsidRPr="00451A40" w:rsidRDefault="00451A40" w:rsidP="00451A40">
        <w:pPr>
          <w:pStyle w:val="Footer"/>
          <w:jc w:val="center"/>
          <w:rPr>
            <w:rFonts w:ascii="Times New Roman" w:hAnsi="Times New Roman" w:cs="Times New Roman"/>
            <w:sz w:val="20"/>
            <w:szCs w:val="20"/>
          </w:rPr>
        </w:pPr>
        <w:r w:rsidRPr="00451A40">
          <w:rPr>
            <w:rFonts w:ascii="Times New Roman" w:hAnsi="Times New Roman" w:cs="Times New Roman"/>
            <w:sz w:val="20"/>
            <w:szCs w:val="20"/>
          </w:rPr>
          <w:fldChar w:fldCharType="begin"/>
        </w:r>
        <w:r w:rsidRPr="00451A40">
          <w:rPr>
            <w:rFonts w:ascii="Times New Roman" w:hAnsi="Times New Roman" w:cs="Times New Roman"/>
            <w:sz w:val="20"/>
            <w:szCs w:val="20"/>
          </w:rPr>
          <w:instrText xml:space="preserve"> PAGE   \* MERGEFORMAT </w:instrText>
        </w:r>
        <w:r w:rsidRPr="00451A40">
          <w:rPr>
            <w:rFonts w:ascii="Times New Roman" w:hAnsi="Times New Roman" w:cs="Times New Roman"/>
            <w:sz w:val="20"/>
            <w:szCs w:val="20"/>
          </w:rPr>
          <w:fldChar w:fldCharType="separate"/>
        </w:r>
        <w:r w:rsidRPr="00451A40">
          <w:rPr>
            <w:rFonts w:ascii="Times New Roman" w:hAnsi="Times New Roman" w:cs="Times New Roman"/>
            <w:noProof/>
            <w:sz w:val="20"/>
            <w:szCs w:val="20"/>
          </w:rPr>
          <w:t>2</w:t>
        </w:r>
        <w:r w:rsidRPr="00451A4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40" w:rsidRDefault="00451A40" w:rsidP="00451A40">
      <w:pPr>
        <w:spacing w:after="0" w:line="240" w:lineRule="auto"/>
      </w:pPr>
      <w:r>
        <w:separator/>
      </w:r>
    </w:p>
  </w:footnote>
  <w:footnote w:type="continuationSeparator" w:id="0">
    <w:p w:rsidR="00451A40" w:rsidRDefault="00451A40" w:rsidP="00451A40">
      <w:pPr>
        <w:spacing w:after="0" w:line="240" w:lineRule="auto"/>
      </w:pPr>
      <w:r>
        <w:continuationSeparator/>
      </w:r>
    </w:p>
  </w:footnote>
  <w:footnote w:id="1">
    <w:p w:rsidR="00451A40" w:rsidRPr="0002137C" w:rsidRDefault="00451A40" w:rsidP="0002137C">
      <w:pPr>
        <w:jc w:val="both"/>
        <w:rPr>
          <w:rFonts w:ascii="Times New Roman" w:hAnsi="Times New Roman" w:cs="Times New Roman"/>
          <w:i/>
          <w:iCs/>
          <w:sz w:val="20"/>
          <w:szCs w:val="20"/>
        </w:rPr>
      </w:pPr>
      <w:bookmarkStart w:id="1" w:name="_GoBack"/>
      <w:r w:rsidRPr="0002137C">
        <w:rPr>
          <w:rStyle w:val="FootnoteReference"/>
          <w:rFonts w:ascii="Times New Roman" w:hAnsi="Times New Roman"/>
          <w:sz w:val="20"/>
          <w:szCs w:val="20"/>
        </w:rPr>
        <w:sym w:font="Symbol" w:char="F02A"/>
      </w:r>
      <w:r w:rsidRPr="0002137C">
        <w:rPr>
          <w:rFonts w:ascii="Times New Roman" w:hAnsi="Times New Roman" w:cs="Times New Roman"/>
          <w:i/>
          <w:iCs/>
          <w:sz w:val="20"/>
          <w:szCs w:val="20"/>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bookmarkEnd w:id="1"/>
    <w:p w:rsidR="00451A40" w:rsidRDefault="00451A40" w:rsidP="00451A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40" w:rsidRDefault="00451A40">
    <w:pPr>
      <w:pStyle w:val="Header"/>
      <w:rPr>
        <w:rFonts w:ascii="Times New Roman" w:hAnsi="Times New Roman" w:cs="Times New Roman"/>
        <w:sz w:val="20"/>
        <w:szCs w:val="20"/>
      </w:rPr>
    </w:pPr>
    <w:r>
      <w:rPr>
        <w:rFonts w:ascii="Times New Roman" w:hAnsi="Times New Roman" w:cs="Times New Roman"/>
        <w:sz w:val="20"/>
        <w:szCs w:val="20"/>
      </w:rPr>
      <w:t>IV. Uniform Regulations</w:t>
    </w:r>
    <w:r>
      <w:rPr>
        <w:rFonts w:ascii="Times New Roman" w:hAnsi="Times New Roman" w:cs="Times New Roman"/>
        <w:sz w:val="20"/>
        <w:szCs w:val="20"/>
      </w:rPr>
      <w:tab/>
    </w:r>
    <w:r>
      <w:rPr>
        <w:rFonts w:ascii="Times New Roman" w:hAnsi="Times New Roman" w:cs="Times New Roman"/>
        <w:sz w:val="20"/>
        <w:szCs w:val="20"/>
      </w:rPr>
      <w:tab/>
      <w:t>Handbook 130 – 2019</w:t>
    </w:r>
  </w:p>
  <w:p w:rsidR="00451A40" w:rsidRPr="00451A40" w:rsidRDefault="00451A40">
    <w:pPr>
      <w:pStyle w:val="Header"/>
      <w:rPr>
        <w:rFonts w:ascii="Times New Roman" w:hAnsi="Times New Roman" w:cs="Times New Roman"/>
        <w:sz w:val="20"/>
        <w:szCs w:val="20"/>
      </w:rPr>
    </w:pPr>
    <w:r>
      <w:rPr>
        <w:rFonts w:ascii="Times New Roman" w:hAnsi="Times New Roman" w:cs="Times New Roman"/>
        <w:sz w:val="20"/>
        <w:szCs w:val="20"/>
      </w:rPr>
      <w:t>E. Uniform Open Dating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40" w:rsidRPr="00451A40" w:rsidRDefault="00451A40">
    <w:pPr>
      <w:pStyle w:val="Header"/>
      <w:rPr>
        <w:rFonts w:ascii="Times New Roman" w:hAnsi="Times New Roman" w:cs="Times New Roman"/>
        <w:sz w:val="20"/>
        <w:szCs w:val="20"/>
      </w:rPr>
    </w:pPr>
    <w:r w:rsidRPr="00451A40">
      <w:rPr>
        <w:rFonts w:ascii="Times New Roman" w:hAnsi="Times New Roman" w:cs="Times New Roman"/>
        <w:sz w:val="20"/>
        <w:szCs w:val="20"/>
      </w:rPr>
      <w:t>Handbook 130 – 2019</w:t>
    </w:r>
    <w:r w:rsidRPr="00451A40">
      <w:rPr>
        <w:rFonts w:ascii="Times New Roman" w:hAnsi="Times New Roman" w:cs="Times New Roman"/>
        <w:sz w:val="20"/>
        <w:szCs w:val="20"/>
      </w:rPr>
      <w:tab/>
    </w:r>
    <w:r w:rsidRPr="00451A40">
      <w:rPr>
        <w:rFonts w:ascii="Times New Roman" w:hAnsi="Times New Roman" w:cs="Times New Roman"/>
        <w:sz w:val="20"/>
        <w:szCs w:val="20"/>
      </w:rPr>
      <w:tab/>
      <w:t>IV. Uniform Regulations</w:t>
    </w:r>
  </w:p>
  <w:p w:rsidR="00451A40" w:rsidRPr="00451A40" w:rsidRDefault="00451A40">
    <w:pPr>
      <w:pStyle w:val="Header"/>
      <w:rPr>
        <w:rFonts w:ascii="Times New Roman" w:hAnsi="Times New Roman" w:cs="Times New Roman"/>
        <w:sz w:val="20"/>
        <w:szCs w:val="20"/>
      </w:rPr>
    </w:pPr>
    <w:r w:rsidRPr="00451A40">
      <w:rPr>
        <w:rFonts w:ascii="Times New Roman" w:hAnsi="Times New Roman" w:cs="Times New Roman"/>
        <w:sz w:val="20"/>
        <w:szCs w:val="20"/>
      </w:rPr>
      <w:tab/>
    </w:r>
    <w:r w:rsidRPr="00451A40">
      <w:rPr>
        <w:rFonts w:ascii="Times New Roman" w:hAnsi="Times New Roman" w:cs="Times New Roman"/>
        <w:sz w:val="20"/>
        <w:szCs w:val="20"/>
      </w:rPr>
      <w:tab/>
      <w:t>E. Uniform Open Dating Regulation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40"/>
    <w:rsid w:val="0002137C"/>
    <w:rsid w:val="000D3F10"/>
    <w:rsid w:val="00451A40"/>
    <w:rsid w:val="00605045"/>
    <w:rsid w:val="0091029E"/>
    <w:rsid w:val="00B7256F"/>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92FF"/>
  <w15:chartTrackingRefBased/>
  <w15:docId w15:val="{84CB3629-E6D2-47C8-96CC-66F9A22E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51A4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1A40"/>
    <w:rPr>
      <w:rFonts w:ascii="Times New Roman" w:eastAsia="Times New Roman" w:hAnsi="Times New Roman" w:cs="Times New Roman"/>
      <w:sz w:val="20"/>
      <w:szCs w:val="20"/>
    </w:rPr>
  </w:style>
  <w:style w:type="character" w:styleId="FootnoteReference">
    <w:name w:val="footnote reference"/>
    <w:basedOn w:val="DefaultParagraphFont"/>
    <w:semiHidden/>
    <w:rsid w:val="00451A40"/>
    <w:rPr>
      <w:rFonts w:cs="Times New Roman"/>
      <w:vertAlign w:val="superscript"/>
    </w:rPr>
  </w:style>
  <w:style w:type="paragraph" w:styleId="Header">
    <w:name w:val="header"/>
    <w:basedOn w:val="Normal"/>
    <w:link w:val="HeaderChar"/>
    <w:uiPriority w:val="99"/>
    <w:unhideWhenUsed/>
    <w:rsid w:val="0045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A40"/>
  </w:style>
  <w:style w:type="paragraph" w:styleId="Footer">
    <w:name w:val="footer"/>
    <w:basedOn w:val="Normal"/>
    <w:link w:val="FooterChar"/>
    <w:uiPriority w:val="99"/>
    <w:unhideWhenUsed/>
    <w:rsid w:val="0045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2390</Words>
  <Characters>13627</Characters>
  <Application>Microsoft Office Word</Application>
  <DocSecurity>0</DocSecurity>
  <Lines>113</Lines>
  <Paragraphs>31</Paragraphs>
  <ScaleCrop>false</ScaleCrop>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2</cp:revision>
  <dcterms:created xsi:type="dcterms:W3CDTF">2018-12-13T15:53:00Z</dcterms:created>
  <dcterms:modified xsi:type="dcterms:W3CDTF">2018-12-13T16:00:00Z</dcterms:modified>
</cp:coreProperties>
</file>