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5CC" w:rsidRPr="00936AFB" w:rsidRDefault="000A65CC" w:rsidP="00C81348">
      <w:r w:rsidRPr="00936AFB">
        <w:rPr>
          <w:b/>
        </w:rPr>
        <w:t>Taskforce Descriptions</w:t>
      </w:r>
      <w:r w:rsidR="00C81348">
        <w:rPr>
          <w:b/>
        </w:rPr>
        <w:t xml:space="preserve"> </w:t>
      </w:r>
    </w:p>
    <w:p w:rsidR="00936AFB" w:rsidRPr="00936AFB" w:rsidRDefault="00FA1897" w:rsidP="00936AFB">
      <w:r w:rsidRPr="00936AFB">
        <w:rPr>
          <w:b/>
        </w:rPr>
        <w:t>Alternative Assessment Taskforce</w:t>
      </w:r>
      <w:r w:rsidRPr="00936AFB">
        <w:t xml:space="preserve"> is developing and piloting a Criteri</w:t>
      </w:r>
      <w:r w:rsidR="00936AFB" w:rsidRPr="00936AFB">
        <w:t>a</w:t>
      </w:r>
      <w:r w:rsidRPr="00936AFB">
        <w:t>-based assessment that is not attached to the Baldrige Award process.</w:t>
      </w:r>
      <w:r w:rsidR="00B96571">
        <w:t xml:space="preserve"> </w:t>
      </w:r>
      <w:r w:rsidR="00B96571" w:rsidRPr="00B96571">
        <w:rPr>
          <w:rFonts w:cstheme="minorHAnsi"/>
        </w:rPr>
        <w:t>In this collaborative assessment, examiners would work closely with Criteria champions from the client organization to collect and analyze information on the organization’s processes and results. Initial feedback (in the form of strengths and opportunities to reach a higher level of maturity) would be delivered immediately, followed by an assessment report. The taskforce is now piloting the concept for the assessment, and the pilot of the assessment itself is expected to take place in June or July.</w:t>
      </w:r>
    </w:p>
    <w:p w:rsidR="00150470" w:rsidRPr="00150470" w:rsidRDefault="00150470" w:rsidP="000A65CC">
      <w:pPr>
        <w:rPr>
          <w:rFonts w:cstheme="minorHAnsi"/>
          <w:b/>
          <w:bCs/>
        </w:rPr>
      </w:pPr>
      <w:r w:rsidRPr="00150470">
        <w:rPr>
          <w:rFonts w:cstheme="minorHAnsi"/>
          <w:b/>
        </w:rPr>
        <w:t>Communications Taskforce</w:t>
      </w:r>
      <w:r w:rsidRPr="00150470">
        <w:rPr>
          <w:rFonts w:cstheme="minorHAnsi"/>
        </w:rPr>
        <w:t xml:space="preserve"> is working on consistent, coordinated, integrated, regular messaging. The team is cultivating relationships with external diplomats to craft messages for the community and to answer community concerns through better communication. Communications, including e-mails, blogs, and Web site content, continue to be written to better illustrate two main themes: value of the Baldrige Program and information on the transition. These themes are highlighted on a transition page where new content is continually updated and linked. Success stories show how Award recipients continue to use the Criteria, and team members have joined forces with Alliance partners to better create messages for the entire Enterprise. Key points, including Baldrige’s impact on health care, job creation, and economic impact, have been shared as talking points, and a greater usage and monitoring of social media outlets continue to inform communications.</w:t>
      </w:r>
    </w:p>
    <w:p w:rsidR="00FA1897" w:rsidRPr="00936AFB" w:rsidRDefault="000A65CC" w:rsidP="000A65CC">
      <w:r w:rsidRPr="00936AFB">
        <w:rPr>
          <w:b/>
          <w:bCs/>
        </w:rPr>
        <w:t>Legal Authority Taskforce</w:t>
      </w:r>
      <w:r w:rsidRPr="00936AFB">
        <w:t xml:space="preserve"> is researching ways to ensure the program's new business model adheres to all laws and ethical practices.  Current areas of emphasis include the authority for copywriting and licensing new products and services, for selling sponsorship opportunities, and for ensuring the proper collection and accounting of new fees and income.</w:t>
      </w:r>
    </w:p>
    <w:p w:rsidR="00936AFB" w:rsidRPr="00936AFB" w:rsidRDefault="00FA1897" w:rsidP="00FA1897">
      <w:pPr>
        <w:autoSpaceDE w:val="0"/>
        <w:autoSpaceDN w:val="0"/>
        <w:adjustRightInd w:val="0"/>
        <w:spacing w:after="0" w:line="240" w:lineRule="auto"/>
        <w:rPr>
          <w:rFonts w:cstheme="minorHAnsi"/>
        </w:rPr>
      </w:pPr>
      <w:r w:rsidRPr="00936AFB">
        <w:rPr>
          <w:rFonts w:cstheme="minorHAnsi"/>
          <w:b/>
        </w:rPr>
        <w:t>Product Development Taskforce</w:t>
      </w:r>
      <w:r w:rsidRPr="00936AFB">
        <w:rPr>
          <w:rFonts w:cstheme="minorHAnsi"/>
        </w:rPr>
        <w:t xml:space="preserve"> is evaluating and testing new products and services to support the new business model and to ensure program sustainability. Efforts include implementing a service and product design and development process, and launching some near-term offerings. Initially, the taskforce is providing the highly regarded examiner training to individuals and organizations (i.e., </w:t>
      </w:r>
      <w:proofErr w:type="spellStart"/>
      <w:r w:rsidRPr="00936AFB">
        <w:rPr>
          <w:rFonts w:cstheme="minorHAnsi"/>
        </w:rPr>
        <w:t>nonexaminers</w:t>
      </w:r>
      <w:proofErr w:type="spellEnd"/>
      <w:r w:rsidRPr="00936AFB">
        <w:rPr>
          <w:rFonts w:cstheme="minorHAnsi"/>
        </w:rPr>
        <w:t>) to help them in their journeys to performance excellence. It is also looking at establishing a speakers’ bureau and supporting the efforts of the Alternative Assessment and Sector Learning Task Groups. All of these efforts seek to leverage the Baldrige Program’s intellectual capital and support partners as it works to achieve the organizational mission and ensure the sustainability of the Baldrige Enterprise</w:t>
      </w:r>
      <w:r w:rsidR="00936AFB" w:rsidRPr="00936AFB">
        <w:rPr>
          <w:rFonts w:cstheme="minorHAnsi"/>
        </w:rPr>
        <w:t xml:space="preserve">. </w:t>
      </w:r>
    </w:p>
    <w:p w:rsidR="00936AFB" w:rsidRPr="00936AFB" w:rsidRDefault="00936AFB" w:rsidP="00FA1897">
      <w:pPr>
        <w:autoSpaceDE w:val="0"/>
        <w:autoSpaceDN w:val="0"/>
        <w:adjustRightInd w:val="0"/>
        <w:spacing w:after="0" w:line="240" w:lineRule="auto"/>
        <w:rPr>
          <w:rFonts w:cstheme="minorHAnsi"/>
        </w:rPr>
      </w:pPr>
    </w:p>
    <w:p w:rsidR="00936AFB" w:rsidRPr="00936AFB" w:rsidRDefault="00A6068B" w:rsidP="00936AFB">
      <w:pPr>
        <w:autoSpaceDE w:val="0"/>
        <w:autoSpaceDN w:val="0"/>
        <w:adjustRightInd w:val="0"/>
        <w:spacing w:after="0" w:line="240" w:lineRule="auto"/>
        <w:rPr>
          <w:rFonts w:cstheme="minorHAnsi"/>
        </w:rPr>
      </w:pPr>
      <w:r w:rsidRPr="00936AFB">
        <w:rPr>
          <w:rFonts w:cstheme="minorHAnsi"/>
          <w:b/>
        </w:rPr>
        <w:t>Sector Learning Taskforce</w:t>
      </w:r>
      <w:r w:rsidRPr="00936AFB">
        <w:rPr>
          <w:rFonts w:cstheme="minorHAnsi"/>
        </w:rPr>
        <w:t xml:space="preserve"> is exploring and building partnerships that give the Baldrige enterprise access to a broader community, beginning with small business and health care. To that end, we have researched the market potential for Baldrige products in both of those sectors, including an enhanced collaborative opportunity with the Association of Small Business Development Centers (ASBDC). The benefits of collaborating with ASBDC would be sustained growth and job creation for its clients, increased sustainability for BPEP and its partners, more and better applications for Alliance programs, and where possible, facilitator or consulting opportunities for Baldrige examiners. The ASBDC partnership will be an addition to the current collaboration agreement that exists between The </w:t>
      </w:r>
      <w:r w:rsidRPr="00936AFB">
        <w:rPr>
          <w:rFonts w:cstheme="minorHAnsi"/>
        </w:rPr>
        <w:lastRenderedPageBreak/>
        <w:t>Alternative Board (TAB), the Alliance, and BPEP. We continue to pursue other possible partnership opportunities, especially in the health care sector.</w:t>
      </w:r>
    </w:p>
    <w:p w:rsidR="00936AFB" w:rsidRPr="00936AFB" w:rsidRDefault="00936AFB" w:rsidP="00936AFB">
      <w:pPr>
        <w:autoSpaceDE w:val="0"/>
        <w:autoSpaceDN w:val="0"/>
        <w:adjustRightInd w:val="0"/>
        <w:spacing w:after="0" w:line="240" w:lineRule="auto"/>
        <w:rPr>
          <w:rFonts w:cstheme="minorHAnsi"/>
        </w:rPr>
      </w:pPr>
    </w:p>
    <w:p w:rsidR="004B67D6" w:rsidRDefault="00FA1897" w:rsidP="004B67D6">
      <w:r w:rsidRPr="00936AFB">
        <w:rPr>
          <w:rFonts w:cstheme="minorHAnsi"/>
          <w:b/>
        </w:rPr>
        <w:t>Sponsorships Taskforce</w:t>
      </w:r>
      <w:r w:rsidR="00220C20">
        <w:rPr>
          <w:rFonts w:cstheme="minorHAnsi"/>
        </w:rPr>
        <w:t xml:space="preserve"> </w:t>
      </w:r>
      <w:r w:rsidR="004B67D6">
        <w:t xml:space="preserve">is preparing for the </w:t>
      </w:r>
      <w:r w:rsidR="004B67D6" w:rsidRPr="006E4C91">
        <w:t>upcoming 24th Annual Quest for Excellence Conference, April 16–18, 2012</w:t>
      </w:r>
      <w:r w:rsidR="004B67D6">
        <w:t>, and</w:t>
      </w:r>
      <w:r w:rsidR="004B67D6" w:rsidRPr="0034045C">
        <w:t xml:space="preserve"> has had lots of success in its efforts to obtain sponsors for the</w:t>
      </w:r>
      <w:r w:rsidR="004B67D6">
        <w:t xml:space="preserve"> event</w:t>
      </w:r>
      <w:r w:rsidR="004B67D6" w:rsidRPr="0034045C">
        <w:t>. We have now surpassed $100k in sponsorship support</w:t>
      </w:r>
      <w:r w:rsidR="004B67D6">
        <w:t xml:space="preserve">, with </w:t>
      </w:r>
      <w:r w:rsidR="004B67D6" w:rsidRPr="0034045C">
        <w:t xml:space="preserve">seven silver sponsors at the $10k level and nine other official sponsors for various conference items and events, including the Examiner Recognition Ceremony Reception.  </w:t>
      </w:r>
      <w:r w:rsidR="004B67D6">
        <w:t>Quest s</w:t>
      </w:r>
      <w:r w:rsidR="004B67D6" w:rsidRPr="0034045C">
        <w:t>ponsorship</w:t>
      </w:r>
      <w:r w:rsidR="004B67D6">
        <w:t>s</w:t>
      </w:r>
      <w:r w:rsidR="004B67D6" w:rsidRPr="0034045C">
        <w:t xml:space="preserve"> help to offset costs for conference expenses and keep registration fees from </w:t>
      </w:r>
      <w:r w:rsidR="004B67D6">
        <w:t xml:space="preserve">significantly </w:t>
      </w:r>
      <w:r w:rsidR="004B67D6" w:rsidRPr="0034045C">
        <w:t xml:space="preserve">increasing. </w:t>
      </w:r>
      <w:r w:rsidR="004B67D6">
        <w:t>Conference attendees benefit from our sponsors who provide conference items, subsidize food events, share their latest advances in performance improvement and information about their products and services. Currently, conference ads are being finalized, and w</w:t>
      </w:r>
      <w:r w:rsidR="004B67D6" w:rsidRPr="0034045C">
        <w:t xml:space="preserve">e are working closely with our sponsors to ensure </w:t>
      </w:r>
      <w:r w:rsidR="004B67D6">
        <w:t xml:space="preserve">that </w:t>
      </w:r>
      <w:r w:rsidR="004B67D6" w:rsidRPr="0034045C">
        <w:t xml:space="preserve">they are properly acknowledged on our Web site, in the conference program, and during </w:t>
      </w:r>
      <w:r w:rsidR="004B67D6">
        <w:t>the</w:t>
      </w:r>
      <w:r w:rsidR="004B67D6" w:rsidRPr="0034045C">
        <w:t xml:space="preserve"> conference.  </w:t>
      </w:r>
    </w:p>
    <w:p w:rsidR="004B67D6" w:rsidRPr="0034045C" w:rsidRDefault="004B67D6" w:rsidP="004B67D6">
      <w:r w:rsidRPr="0034045C">
        <w:t>We are also researching other sponsorship opportunities as we prepare for regional conferences, which will be held this fall</w:t>
      </w:r>
      <w:r>
        <w:t>,</w:t>
      </w:r>
      <w:r w:rsidRPr="0034045C">
        <w:t xml:space="preserve"> and our 25th </w:t>
      </w:r>
      <w:r>
        <w:t>a</w:t>
      </w:r>
      <w:r w:rsidRPr="0034045C">
        <w:t>nniversary celebration in 2013. In addition, the printing of the Criteria for Performance Excellence may be a potential sponsorship opportunit</w:t>
      </w:r>
      <w:r>
        <w:t>y that we are exploring</w:t>
      </w:r>
      <w:r w:rsidRPr="0034045C">
        <w:t xml:space="preserve">. Over the past couple of months, the </w:t>
      </w:r>
      <w:r>
        <w:t>S</w:t>
      </w:r>
      <w:r w:rsidRPr="0034045C">
        <w:t xml:space="preserve">ponsorship </w:t>
      </w:r>
      <w:r>
        <w:t>T</w:t>
      </w:r>
      <w:r w:rsidRPr="0034045C">
        <w:t>eam has been learning, benchmarking, and researching the techniques</w:t>
      </w:r>
      <w:r>
        <w:t xml:space="preserve"> used by other nonprofit programs</w:t>
      </w:r>
      <w:r w:rsidRPr="0034045C">
        <w:t xml:space="preserve"> for obtaining sponsorships and creating sponsorship packages.    </w:t>
      </w:r>
      <w:bookmarkStart w:id="0" w:name="_GoBack"/>
      <w:bookmarkEnd w:id="0"/>
    </w:p>
    <w:p w:rsidR="00220C20" w:rsidRDefault="00220C20" w:rsidP="004B67D6"/>
    <w:p w:rsidR="00FA1897" w:rsidRPr="00936AFB" w:rsidRDefault="00FA1897" w:rsidP="00936AFB">
      <w:pPr>
        <w:autoSpaceDE w:val="0"/>
        <w:autoSpaceDN w:val="0"/>
        <w:adjustRightInd w:val="0"/>
        <w:spacing w:after="0" w:line="240" w:lineRule="auto"/>
        <w:rPr>
          <w:rFonts w:cstheme="minorHAnsi"/>
        </w:rPr>
      </w:pPr>
    </w:p>
    <w:sectPr w:rsidR="00FA1897" w:rsidRPr="00936AFB" w:rsidSect="003177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08E" w:rsidRDefault="00A1508E" w:rsidP="00C81348">
      <w:pPr>
        <w:spacing w:after="0" w:line="240" w:lineRule="auto"/>
      </w:pPr>
      <w:r>
        <w:separator/>
      </w:r>
    </w:p>
  </w:endnote>
  <w:endnote w:type="continuationSeparator" w:id="0">
    <w:p w:rsidR="00A1508E" w:rsidRDefault="00A1508E" w:rsidP="00C81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9F4" w:rsidRDefault="00BB39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9F4" w:rsidRDefault="00BB39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9F4" w:rsidRDefault="00BB3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08E" w:rsidRDefault="00A1508E" w:rsidP="00C81348">
      <w:pPr>
        <w:spacing w:after="0" w:line="240" w:lineRule="auto"/>
      </w:pPr>
      <w:r>
        <w:separator/>
      </w:r>
    </w:p>
  </w:footnote>
  <w:footnote w:type="continuationSeparator" w:id="0">
    <w:p w:rsidR="00A1508E" w:rsidRDefault="00A1508E" w:rsidP="00C813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9F4" w:rsidRDefault="00BB39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2B" w:rsidRPr="00BB39F4" w:rsidRDefault="00C10D2B" w:rsidP="00BB39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9F4" w:rsidRDefault="00BB39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0A65CC"/>
    <w:rsid w:val="00044C21"/>
    <w:rsid w:val="000A65CC"/>
    <w:rsid w:val="000A7590"/>
    <w:rsid w:val="000E553B"/>
    <w:rsid w:val="00150470"/>
    <w:rsid w:val="00220C20"/>
    <w:rsid w:val="00290E0C"/>
    <w:rsid w:val="002A6E64"/>
    <w:rsid w:val="0031770D"/>
    <w:rsid w:val="00483AB4"/>
    <w:rsid w:val="004B67D6"/>
    <w:rsid w:val="00507F13"/>
    <w:rsid w:val="00523457"/>
    <w:rsid w:val="005F2A52"/>
    <w:rsid w:val="007527DD"/>
    <w:rsid w:val="007F4223"/>
    <w:rsid w:val="00870725"/>
    <w:rsid w:val="008A6EDF"/>
    <w:rsid w:val="00907423"/>
    <w:rsid w:val="00936AFB"/>
    <w:rsid w:val="00955176"/>
    <w:rsid w:val="00995E9B"/>
    <w:rsid w:val="00A1508E"/>
    <w:rsid w:val="00A569B3"/>
    <w:rsid w:val="00A6068B"/>
    <w:rsid w:val="00B05E03"/>
    <w:rsid w:val="00B96571"/>
    <w:rsid w:val="00BB39F4"/>
    <w:rsid w:val="00C10D2B"/>
    <w:rsid w:val="00C81348"/>
    <w:rsid w:val="00D47BF2"/>
    <w:rsid w:val="00DF1059"/>
    <w:rsid w:val="00ED18C8"/>
    <w:rsid w:val="00EF3DCA"/>
    <w:rsid w:val="00FA1897"/>
    <w:rsid w:val="00FC57D2"/>
    <w:rsid w:val="00FF6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48"/>
  </w:style>
  <w:style w:type="paragraph" w:styleId="Footer">
    <w:name w:val="footer"/>
    <w:basedOn w:val="Normal"/>
    <w:link w:val="FooterChar"/>
    <w:uiPriority w:val="99"/>
    <w:semiHidden/>
    <w:unhideWhenUsed/>
    <w:rsid w:val="00C813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1348"/>
  </w:style>
  <w:style w:type="paragraph" w:styleId="BalloonText">
    <w:name w:val="Balloon Text"/>
    <w:basedOn w:val="Normal"/>
    <w:link w:val="BalloonTextChar"/>
    <w:uiPriority w:val="99"/>
    <w:semiHidden/>
    <w:unhideWhenUsed/>
    <w:rsid w:val="005F2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246786">
      <w:bodyDiv w:val="1"/>
      <w:marLeft w:val="0"/>
      <w:marRight w:val="0"/>
      <w:marTop w:val="0"/>
      <w:marBottom w:val="0"/>
      <w:divBdr>
        <w:top w:val="none" w:sz="0" w:space="0" w:color="auto"/>
        <w:left w:val="none" w:sz="0" w:space="0" w:color="auto"/>
        <w:bottom w:val="none" w:sz="0" w:space="0" w:color="auto"/>
        <w:right w:val="none" w:sz="0" w:space="0" w:color="auto"/>
      </w:divBdr>
    </w:div>
    <w:div w:id="1310087328">
      <w:bodyDiv w:val="1"/>
      <w:marLeft w:val="0"/>
      <w:marRight w:val="0"/>
      <w:marTop w:val="0"/>
      <w:marBottom w:val="0"/>
      <w:divBdr>
        <w:top w:val="none" w:sz="0" w:space="0" w:color="auto"/>
        <w:left w:val="none" w:sz="0" w:space="0" w:color="auto"/>
        <w:bottom w:val="none" w:sz="0" w:space="0" w:color="auto"/>
        <w:right w:val="none" w:sz="0" w:space="0" w:color="auto"/>
      </w:divBdr>
    </w:div>
    <w:div w:id="15434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F919A-E402-4C3B-A54D-9AB3BBDA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2012-03-19T18:09:00Z</dcterms:created>
  <dcterms:modified xsi:type="dcterms:W3CDTF">2012-03-30T20:29:00Z</dcterms:modified>
</cp:coreProperties>
</file>