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92" w:rsidRPr="00394BEE" w:rsidRDefault="003B1C88" w:rsidP="00DA3992">
      <w:pPr>
        <w:autoSpaceDE w:val="0"/>
        <w:autoSpaceDN w:val="0"/>
        <w:adjustRightInd w:val="0"/>
        <w:spacing w:after="0" w:line="240" w:lineRule="auto"/>
        <w:rPr>
          <w:rFonts w:ascii="Calibri-Bold" w:hAnsi="Calibri-Bold" w:cs="Calibri-Bold"/>
          <w:b/>
          <w:bCs/>
          <w:sz w:val="32"/>
          <w:szCs w:val="32"/>
        </w:rPr>
      </w:pPr>
      <w:bookmarkStart w:id="0" w:name="_GoBack"/>
      <w:bookmarkEnd w:id="0"/>
      <w:r>
        <w:rPr>
          <w:rFonts w:ascii="Calibri-Bold" w:hAnsi="Calibri-Bold" w:cs="Calibri-Bold"/>
          <w:b/>
          <w:bCs/>
          <w:sz w:val="32"/>
          <w:szCs w:val="32"/>
        </w:rPr>
        <w:t xml:space="preserve">Sample </w:t>
      </w:r>
      <w:r w:rsidR="00DA3992" w:rsidRPr="00394BEE">
        <w:rPr>
          <w:rFonts w:ascii="Calibri-Bold" w:hAnsi="Calibri-Bold" w:cs="Calibri-Bold"/>
          <w:b/>
          <w:bCs/>
          <w:sz w:val="32"/>
          <w:szCs w:val="32"/>
        </w:rPr>
        <w:t>Process Strength</w:t>
      </w:r>
      <w:r>
        <w:rPr>
          <w:rFonts w:ascii="Calibri-Bold" w:hAnsi="Calibri-Bold" w:cs="Calibri-Bold"/>
          <w:b/>
          <w:bCs/>
          <w:sz w:val="32"/>
          <w:szCs w:val="32"/>
        </w:rPr>
        <w:t xml:space="preserve"> Comment</w:t>
      </w:r>
      <w:r w:rsidR="00DA3992" w:rsidRPr="00394BEE">
        <w:rPr>
          <w:rFonts w:ascii="Calibri-Bold" w:hAnsi="Calibri-Bold" w:cs="Calibri-Bold"/>
          <w:b/>
          <w:bCs/>
          <w:sz w:val="32"/>
          <w:szCs w:val="32"/>
        </w:rPr>
        <w:t>s</w:t>
      </w:r>
    </w:p>
    <w:p w:rsidR="00DA3992" w:rsidRDefault="00DA3992" w:rsidP="00DA3992">
      <w:pPr>
        <w:autoSpaceDE w:val="0"/>
        <w:autoSpaceDN w:val="0"/>
        <w:adjustRightInd w:val="0"/>
        <w:spacing w:after="0" w:line="240" w:lineRule="auto"/>
        <w:rPr>
          <w:rFonts w:ascii="Arial" w:hAnsi="Arial" w:cs="Arial"/>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1.1</w:t>
      </w:r>
    </w:p>
    <w:tbl>
      <w:tblPr>
        <w:tblStyle w:val="TableGrid"/>
        <w:tblW w:w="0" w:type="auto"/>
        <w:tblLook w:val="0600" w:firstRow="0" w:lastRow="0" w:firstColumn="0" w:lastColumn="0" w:noHBand="1" w:noVBand="1"/>
      </w:tblPr>
      <w:tblGrid>
        <w:gridCol w:w="8658"/>
        <w:gridCol w:w="918"/>
      </w:tblGrid>
      <w:tr w:rsidR="009D3487" w:rsidRPr="003B1C88" w:rsidTr="009D3487">
        <w:trPr>
          <w:trHeight w:val="1305"/>
        </w:trPr>
        <w:tc>
          <w:tcPr>
            <w:tcW w:w="8658" w:type="dxa"/>
          </w:tcPr>
          <w:p w:rsidR="009D3487" w:rsidRPr="003B1C88" w:rsidRDefault="00CB16E5" w:rsidP="00394BEE">
            <w:pPr>
              <w:autoSpaceDE w:val="0"/>
              <w:autoSpaceDN w:val="0"/>
              <w:adjustRightInd w:val="0"/>
              <w:rPr>
                <w:rFonts w:cs="Times New Roman"/>
              </w:rPr>
            </w:pPr>
            <w:r w:rsidRPr="003B1C88">
              <w:rPr>
                <w:rFonts w:cs="Times New Roman"/>
              </w:rPr>
              <w:t xml:space="preserve">The applicant’s systematic approaches to setting and deploying its mission, vision, and values (MVV) help establish the direction for the entire organization. The MVV are set during the SPP (Figure 2.1-1) and deployed through the applicant’s Leadership System (Figure 1.1-1) and numerous other mechanisms (Figure 1.1-2). In 2008, the applicant refined its vision using an approach based on one </w:t>
            </w:r>
            <w:r w:rsidR="00394BEE" w:rsidRPr="003B1C88">
              <w:rPr>
                <w:rFonts w:cs="Times New Roman"/>
              </w:rPr>
              <w:t>of</w:t>
            </w:r>
            <w:r w:rsidRPr="003B1C88">
              <w:rPr>
                <w:rFonts w:cs="Times New Roman"/>
              </w:rPr>
              <w:t xml:space="preserve"> a Baldrige Award recipient.</w:t>
            </w:r>
          </w:p>
        </w:tc>
        <w:tc>
          <w:tcPr>
            <w:tcW w:w="918" w:type="dxa"/>
          </w:tcPr>
          <w:p w:rsidR="009D3487" w:rsidRPr="003B1C88" w:rsidRDefault="009D3487" w:rsidP="003B1C88">
            <w:pPr>
              <w:autoSpaceDE w:val="0"/>
              <w:autoSpaceDN w:val="0"/>
              <w:adjustRightInd w:val="0"/>
              <w:rPr>
                <w:rFonts w:cs="Times New Roman"/>
              </w:rPr>
            </w:pPr>
          </w:p>
          <w:p w:rsidR="009D3487" w:rsidRPr="003B1C88" w:rsidRDefault="009D3487" w:rsidP="003B1C88">
            <w:pPr>
              <w:autoSpaceDE w:val="0"/>
              <w:autoSpaceDN w:val="0"/>
              <w:adjustRightInd w:val="0"/>
              <w:rPr>
                <w:rFonts w:cs="Times New Roman"/>
              </w:rPr>
            </w:pPr>
          </w:p>
          <w:p w:rsidR="009D3487" w:rsidRPr="003B1C88" w:rsidRDefault="009D3487" w:rsidP="003B1C88">
            <w:pPr>
              <w:autoSpaceDE w:val="0"/>
              <w:autoSpaceDN w:val="0"/>
              <w:adjustRightInd w:val="0"/>
              <w:rPr>
                <w:rFonts w:cs="Times New Roman"/>
              </w:rPr>
            </w:pPr>
            <w:r w:rsidRPr="003B1C88">
              <w:rPr>
                <w:rFonts w:cs="Times New Roman"/>
              </w:rPr>
              <w:t>a(</w:t>
            </w:r>
            <w:r w:rsidR="00CB16E5" w:rsidRPr="003B1C88">
              <w:rPr>
                <w:rFonts w:cs="Times New Roman"/>
              </w:rPr>
              <w:t>1</w:t>
            </w:r>
            <w:r w:rsidRPr="003B1C88">
              <w:rPr>
                <w:rFonts w:cs="Times New Roman"/>
              </w:rPr>
              <w:t>)</w:t>
            </w:r>
          </w:p>
          <w:p w:rsidR="009D3487" w:rsidRPr="003B1C88" w:rsidRDefault="009D3487" w:rsidP="003B1C88">
            <w:pPr>
              <w:autoSpaceDE w:val="0"/>
              <w:autoSpaceDN w:val="0"/>
              <w:adjustRightInd w:val="0"/>
              <w:rPr>
                <w:rFonts w:cs="Times New Roman"/>
              </w:rPr>
            </w:pPr>
          </w:p>
        </w:tc>
      </w:tr>
    </w:tbl>
    <w:p w:rsidR="00E55456" w:rsidRPr="003B1C88" w:rsidRDefault="00E55456"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2.1</w:t>
      </w:r>
    </w:p>
    <w:tbl>
      <w:tblPr>
        <w:tblStyle w:val="TableGrid"/>
        <w:tblW w:w="0" w:type="auto"/>
        <w:tblLook w:val="0600" w:firstRow="0" w:lastRow="0" w:firstColumn="0" w:lastColumn="0" w:noHBand="1" w:noVBand="1"/>
      </w:tblPr>
      <w:tblGrid>
        <w:gridCol w:w="8658"/>
        <w:gridCol w:w="918"/>
      </w:tblGrid>
      <w:tr w:rsidR="00E55456" w:rsidRPr="003B1C88" w:rsidTr="007601B9">
        <w:trPr>
          <w:trHeight w:val="1305"/>
        </w:trPr>
        <w:tc>
          <w:tcPr>
            <w:tcW w:w="8658" w:type="dxa"/>
          </w:tcPr>
          <w:p w:rsidR="00E55456" w:rsidRPr="003B1C88" w:rsidRDefault="00E55456" w:rsidP="00E55456">
            <w:pPr>
              <w:autoSpaceDE w:val="0"/>
              <w:autoSpaceDN w:val="0"/>
              <w:adjustRightInd w:val="0"/>
              <w:rPr>
                <w:rFonts w:cs="Times New Roman"/>
              </w:rPr>
            </w:pPr>
            <w:r w:rsidRPr="003B1C88">
              <w:rPr>
                <w:rFonts w:cs="Times New Roman"/>
              </w:rPr>
              <w:t>The applicant’s SPP (Figure 2.1-1) is aligned with key customer, workforce, and work</w:t>
            </w:r>
          </w:p>
          <w:p w:rsidR="00E55456" w:rsidRPr="003B1C88" w:rsidRDefault="00E55456" w:rsidP="00CB16E5">
            <w:pPr>
              <w:autoSpaceDE w:val="0"/>
              <w:autoSpaceDN w:val="0"/>
              <w:adjustRightInd w:val="0"/>
              <w:rPr>
                <w:rFonts w:cs="Times New Roman"/>
              </w:rPr>
            </w:pPr>
            <w:r w:rsidRPr="003B1C88">
              <w:rPr>
                <w:rFonts w:cs="Times New Roman"/>
              </w:rPr>
              <w:t>process elements. Participants include the BOD, the EMC, the Marketing Team, branch and functional managers, and an external economist, and inputs/outputs include voice</w:t>
            </w:r>
            <w:r w:rsidR="00CB16E5" w:rsidRPr="003B1C88">
              <w:rPr>
                <w:rFonts w:cs="Times New Roman"/>
              </w:rPr>
              <w:t>-</w:t>
            </w:r>
            <w:r w:rsidRPr="003B1C88">
              <w:rPr>
                <w:rFonts w:cs="Times New Roman"/>
              </w:rPr>
              <w:t>of</w:t>
            </w:r>
            <w:r w:rsidR="00CB16E5" w:rsidRPr="003B1C88">
              <w:rPr>
                <w:rFonts w:cs="Times New Roman"/>
              </w:rPr>
              <w:t>-</w:t>
            </w:r>
            <w:r w:rsidRPr="003B1C88">
              <w:rPr>
                <w:rFonts w:cs="Times New Roman"/>
              </w:rPr>
              <w:t>the</w:t>
            </w:r>
            <w:r w:rsidR="00CB16E5" w:rsidRPr="003B1C88">
              <w:rPr>
                <w:rFonts w:cs="Times New Roman"/>
              </w:rPr>
              <w:t>-</w:t>
            </w:r>
            <w:r w:rsidRPr="003B1C88">
              <w:rPr>
                <w:rFonts w:cs="Times New Roman"/>
              </w:rPr>
              <w:t>customer (VOC) sources, regulatory watch data, and the Associate Capability and Capacity Planning Process (ACCPP).</w:t>
            </w:r>
          </w:p>
        </w:tc>
        <w:tc>
          <w:tcPr>
            <w:tcW w:w="918" w:type="dxa"/>
          </w:tcPr>
          <w:p w:rsidR="00E55456" w:rsidRPr="003B1C88" w:rsidRDefault="00E55456" w:rsidP="003B1C88">
            <w:pPr>
              <w:autoSpaceDE w:val="0"/>
              <w:autoSpaceDN w:val="0"/>
              <w:adjustRightInd w:val="0"/>
              <w:rPr>
                <w:rFonts w:cs="Times New Roman"/>
              </w:rPr>
            </w:pPr>
          </w:p>
          <w:p w:rsidR="00E55456" w:rsidRPr="003B1C88" w:rsidRDefault="00E55456" w:rsidP="003B1C88">
            <w:pPr>
              <w:autoSpaceDE w:val="0"/>
              <w:autoSpaceDN w:val="0"/>
              <w:adjustRightInd w:val="0"/>
              <w:rPr>
                <w:rFonts w:cs="Times New Roman"/>
              </w:rPr>
            </w:pPr>
          </w:p>
          <w:p w:rsidR="00E55456" w:rsidRPr="003B1C88" w:rsidRDefault="00E55456" w:rsidP="003B1C88">
            <w:pPr>
              <w:autoSpaceDE w:val="0"/>
              <w:autoSpaceDN w:val="0"/>
              <w:adjustRightInd w:val="0"/>
              <w:rPr>
                <w:rFonts w:cs="Times New Roman"/>
              </w:rPr>
            </w:pPr>
            <w:r w:rsidRPr="003B1C88">
              <w:rPr>
                <w:rFonts w:cs="Times New Roman"/>
              </w:rPr>
              <w:t>a(1)</w:t>
            </w:r>
          </w:p>
          <w:p w:rsidR="00E55456" w:rsidRPr="003B1C88" w:rsidRDefault="00E55456" w:rsidP="003B1C88">
            <w:pPr>
              <w:autoSpaceDE w:val="0"/>
              <w:autoSpaceDN w:val="0"/>
              <w:adjustRightInd w:val="0"/>
              <w:rPr>
                <w:rFonts w:cs="Times New Roman"/>
              </w:rPr>
            </w:pPr>
          </w:p>
        </w:tc>
      </w:tr>
    </w:tbl>
    <w:p w:rsidR="00E55456" w:rsidRPr="003B1C88" w:rsidRDefault="00E55456"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3.2</w:t>
      </w:r>
    </w:p>
    <w:tbl>
      <w:tblPr>
        <w:tblStyle w:val="TableGrid"/>
        <w:tblW w:w="0" w:type="auto"/>
        <w:tblLook w:val="0600" w:firstRow="0" w:lastRow="0" w:firstColumn="0" w:lastColumn="0" w:noHBand="1" w:noVBand="1"/>
      </w:tblPr>
      <w:tblGrid>
        <w:gridCol w:w="8658"/>
        <w:gridCol w:w="918"/>
      </w:tblGrid>
      <w:tr w:rsidR="00E55456" w:rsidRPr="003B1C88" w:rsidTr="007601B9">
        <w:trPr>
          <w:trHeight w:val="1305"/>
        </w:trPr>
        <w:tc>
          <w:tcPr>
            <w:tcW w:w="8658" w:type="dxa"/>
          </w:tcPr>
          <w:p w:rsidR="00E55456" w:rsidRPr="003B1C88" w:rsidRDefault="00E55456" w:rsidP="00E55456">
            <w:pPr>
              <w:autoSpaceDE w:val="0"/>
              <w:autoSpaceDN w:val="0"/>
              <w:adjustRightInd w:val="0"/>
              <w:rPr>
                <w:rFonts w:cs="Times New Roman"/>
              </w:rPr>
            </w:pPr>
            <w:r w:rsidRPr="003B1C88">
              <w:rPr>
                <w:rFonts w:cs="Times New Roman"/>
              </w:rPr>
              <w:t xml:space="preserve">In support of the overarching strategy to provide Legendary Service while increasing the number of products per household, the Customer Life Cycle Matrix (Figure 3.2-4) helps associates manage customer relationships and build multiproduct relationships with customers based on their life stages and dependent status. Strategies segmented by stage (Figure 3.2-5) help retain customers, meet their requirements, and exceed their expectations. </w:t>
            </w:r>
          </w:p>
        </w:tc>
        <w:tc>
          <w:tcPr>
            <w:tcW w:w="918" w:type="dxa"/>
          </w:tcPr>
          <w:p w:rsidR="00E55456" w:rsidRPr="003B1C88" w:rsidRDefault="00E55456" w:rsidP="003B1C88">
            <w:pPr>
              <w:autoSpaceDE w:val="0"/>
              <w:autoSpaceDN w:val="0"/>
              <w:adjustRightInd w:val="0"/>
              <w:rPr>
                <w:rFonts w:cs="Times New Roman"/>
              </w:rPr>
            </w:pPr>
          </w:p>
          <w:p w:rsidR="00E55456" w:rsidRPr="003B1C88" w:rsidRDefault="00E55456" w:rsidP="003B1C88">
            <w:pPr>
              <w:autoSpaceDE w:val="0"/>
              <w:autoSpaceDN w:val="0"/>
              <w:adjustRightInd w:val="0"/>
              <w:rPr>
                <w:rFonts w:cs="Times New Roman"/>
              </w:rPr>
            </w:pPr>
          </w:p>
          <w:p w:rsidR="00E55456" w:rsidRPr="003B1C88" w:rsidRDefault="00E55456" w:rsidP="003B1C88">
            <w:pPr>
              <w:autoSpaceDE w:val="0"/>
              <w:autoSpaceDN w:val="0"/>
              <w:adjustRightInd w:val="0"/>
              <w:rPr>
                <w:rFonts w:cs="Times New Roman"/>
              </w:rPr>
            </w:pPr>
            <w:r w:rsidRPr="003B1C88">
              <w:rPr>
                <w:rFonts w:cs="Times New Roman"/>
              </w:rPr>
              <w:t>b(1)</w:t>
            </w:r>
          </w:p>
          <w:p w:rsidR="00E55456" w:rsidRPr="003B1C88" w:rsidRDefault="00E55456" w:rsidP="003B1C88">
            <w:pPr>
              <w:autoSpaceDE w:val="0"/>
              <w:autoSpaceDN w:val="0"/>
              <w:adjustRightInd w:val="0"/>
              <w:rPr>
                <w:rFonts w:cs="Times New Roman"/>
              </w:rPr>
            </w:pPr>
          </w:p>
        </w:tc>
      </w:tr>
    </w:tbl>
    <w:p w:rsidR="00E55456" w:rsidRPr="003B1C88" w:rsidRDefault="00E55456"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4.1</w:t>
      </w:r>
    </w:p>
    <w:tbl>
      <w:tblPr>
        <w:tblStyle w:val="TableGrid"/>
        <w:tblW w:w="0" w:type="auto"/>
        <w:tblLook w:val="0600" w:firstRow="0" w:lastRow="0" w:firstColumn="0" w:lastColumn="0" w:noHBand="1" w:noVBand="1"/>
      </w:tblPr>
      <w:tblGrid>
        <w:gridCol w:w="8658"/>
        <w:gridCol w:w="918"/>
      </w:tblGrid>
      <w:tr w:rsidR="00E55456" w:rsidRPr="003B1C88" w:rsidTr="007601B9">
        <w:trPr>
          <w:trHeight w:val="1305"/>
        </w:trPr>
        <w:tc>
          <w:tcPr>
            <w:tcW w:w="8658" w:type="dxa"/>
          </w:tcPr>
          <w:p w:rsidR="00E55456" w:rsidRPr="003B1C88" w:rsidRDefault="00E55456" w:rsidP="00E55456">
            <w:pPr>
              <w:autoSpaceDE w:val="0"/>
              <w:autoSpaceDN w:val="0"/>
              <w:adjustRightInd w:val="0"/>
              <w:rPr>
                <w:rFonts w:cs="Times New Roman"/>
              </w:rPr>
            </w:pPr>
            <w:r w:rsidRPr="003B1C88">
              <w:rPr>
                <w:rFonts w:cs="Times New Roman"/>
              </w:rPr>
              <w:t>By optimizing the use of performance projections, the applicant supports its core</w:t>
            </w:r>
          </w:p>
          <w:p w:rsidR="00E55456" w:rsidRPr="003B1C88" w:rsidRDefault="00E55456" w:rsidP="00E55456">
            <w:pPr>
              <w:autoSpaceDE w:val="0"/>
              <w:autoSpaceDN w:val="0"/>
              <w:adjustRightInd w:val="0"/>
              <w:rPr>
                <w:rFonts w:cs="Times New Roman"/>
              </w:rPr>
            </w:pPr>
            <w:r w:rsidRPr="003B1C88">
              <w:rPr>
                <w:rFonts w:cs="Times New Roman"/>
              </w:rPr>
              <w:t>competency of agility. Performance is projected using performance review findings,</w:t>
            </w:r>
          </w:p>
          <w:p w:rsidR="00E55456" w:rsidRPr="003B1C88" w:rsidRDefault="00E55456" w:rsidP="00E55456">
            <w:pPr>
              <w:autoSpaceDE w:val="0"/>
              <w:autoSpaceDN w:val="0"/>
              <w:adjustRightInd w:val="0"/>
              <w:rPr>
                <w:rFonts w:cs="Times New Roman"/>
              </w:rPr>
            </w:pPr>
            <w:r w:rsidRPr="003B1C88">
              <w:rPr>
                <w:rFonts w:cs="Times New Roman"/>
              </w:rPr>
              <w:t>comparative and competitive data, and extrapolated historical trends. The three alternate risk scenarios created during the SPP automatically adjust performance levels for the key performance indicators.</w:t>
            </w:r>
          </w:p>
        </w:tc>
        <w:tc>
          <w:tcPr>
            <w:tcW w:w="918" w:type="dxa"/>
          </w:tcPr>
          <w:p w:rsidR="00E55456" w:rsidRPr="003B1C88" w:rsidRDefault="00E55456" w:rsidP="003B1C88">
            <w:pPr>
              <w:autoSpaceDE w:val="0"/>
              <w:autoSpaceDN w:val="0"/>
              <w:adjustRightInd w:val="0"/>
              <w:rPr>
                <w:rFonts w:cs="Times New Roman"/>
              </w:rPr>
            </w:pPr>
          </w:p>
          <w:p w:rsidR="00E55456" w:rsidRPr="003B1C88" w:rsidRDefault="00E55456" w:rsidP="003B1C88">
            <w:pPr>
              <w:autoSpaceDE w:val="0"/>
              <w:autoSpaceDN w:val="0"/>
              <w:adjustRightInd w:val="0"/>
              <w:rPr>
                <w:rFonts w:cs="Times New Roman"/>
              </w:rPr>
            </w:pPr>
          </w:p>
          <w:p w:rsidR="00E55456" w:rsidRPr="003B1C88" w:rsidRDefault="00E55456" w:rsidP="003B1C88">
            <w:pPr>
              <w:autoSpaceDE w:val="0"/>
              <w:autoSpaceDN w:val="0"/>
              <w:adjustRightInd w:val="0"/>
              <w:rPr>
                <w:rFonts w:cs="Times New Roman"/>
              </w:rPr>
            </w:pPr>
            <w:r w:rsidRPr="003B1C88">
              <w:rPr>
                <w:rFonts w:cs="Times New Roman"/>
              </w:rPr>
              <w:t>c(2)</w:t>
            </w:r>
          </w:p>
          <w:p w:rsidR="00E55456" w:rsidRPr="003B1C88" w:rsidRDefault="00E55456" w:rsidP="003B1C88">
            <w:pPr>
              <w:autoSpaceDE w:val="0"/>
              <w:autoSpaceDN w:val="0"/>
              <w:adjustRightInd w:val="0"/>
              <w:rPr>
                <w:rFonts w:cs="Times New Roman"/>
              </w:rPr>
            </w:pPr>
          </w:p>
        </w:tc>
      </w:tr>
    </w:tbl>
    <w:p w:rsidR="00E55456" w:rsidRPr="003B1C88" w:rsidRDefault="00E55456" w:rsidP="00DA3992">
      <w:pPr>
        <w:autoSpaceDE w:val="0"/>
        <w:autoSpaceDN w:val="0"/>
        <w:adjustRightInd w:val="0"/>
        <w:spacing w:after="0" w:line="240" w:lineRule="auto"/>
        <w:rPr>
          <w:rFonts w:cs="Times New Roman"/>
        </w:rPr>
      </w:pPr>
    </w:p>
    <w:p w:rsidR="00394BEE" w:rsidRPr="003B1C88" w:rsidRDefault="00394BEE" w:rsidP="00394BEE">
      <w:pPr>
        <w:autoSpaceDE w:val="0"/>
        <w:autoSpaceDN w:val="0"/>
        <w:adjustRightInd w:val="0"/>
        <w:spacing w:after="0" w:line="240" w:lineRule="auto"/>
        <w:rPr>
          <w:rFonts w:cs="Times New Roman"/>
        </w:rPr>
      </w:pPr>
      <w:r w:rsidRPr="003B1C88">
        <w:rPr>
          <w:rFonts w:cs="Times New Roman"/>
        </w:rPr>
        <w:t>5.1</w:t>
      </w:r>
    </w:p>
    <w:tbl>
      <w:tblPr>
        <w:tblStyle w:val="TableGrid"/>
        <w:tblW w:w="0" w:type="auto"/>
        <w:tblLook w:val="0600" w:firstRow="0" w:lastRow="0" w:firstColumn="0" w:lastColumn="0" w:noHBand="1" w:noVBand="1"/>
      </w:tblPr>
      <w:tblGrid>
        <w:gridCol w:w="8658"/>
        <w:gridCol w:w="918"/>
      </w:tblGrid>
      <w:tr w:rsidR="00394BEE" w:rsidRPr="003B1C88" w:rsidTr="007601B9">
        <w:trPr>
          <w:trHeight w:val="1305"/>
        </w:trPr>
        <w:tc>
          <w:tcPr>
            <w:tcW w:w="8658" w:type="dxa"/>
          </w:tcPr>
          <w:p w:rsidR="00394BEE" w:rsidRPr="003B1C88" w:rsidRDefault="00394BEE" w:rsidP="00394BEE">
            <w:pPr>
              <w:autoSpaceDE w:val="0"/>
              <w:autoSpaceDN w:val="0"/>
              <w:adjustRightInd w:val="0"/>
              <w:rPr>
                <w:rFonts w:cs="Times New Roman"/>
              </w:rPr>
            </w:pPr>
            <w:r w:rsidRPr="003B1C88">
              <w:rPr>
                <w:rFonts w:cs="Times New Roman"/>
              </w:rPr>
              <w:t>A proactive approach helps the applicant increase capability and flexibility without</w:t>
            </w:r>
          </w:p>
          <w:p w:rsidR="00394BEE" w:rsidRPr="003B1C88" w:rsidRDefault="00394BEE" w:rsidP="00394BEE">
            <w:pPr>
              <w:autoSpaceDE w:val="0"/>
              <w:autoSpaceDN w:val="0"/>
              <w:adjustRightInd w:val="0"/>
              <w:rPr>
                <w:rFonts w:cs="Times New Roman"/>
              </w:rPr>
            </w:pPr>
            <w:r w:rsidRPr="003B1C88">
              <w:rPr>
                <w:rFonts w:cs="Times New Roman"/>
              </w:rPr>
              <w:t>increasing staffing levels. The applicant formalizes workforce planning through the ACCPP (Figure 5.1-1), aligned with the SPP. The Legendary Workforce Database provides information for departmental planning and facilitates management of current and emerging capability and capacity needs. The applicant avoids workforce reduction by controlling costs and backfilling positions selectively for specific skills.</w:t>
            </w:r>
          </w:p>
        </w:tc>
        <w:tc>
          <w:tcPr>
            <w:tcW w:w="918" w:type="dxa"/>
          </w:tcPr>
          <w:p w:rsidR="00394BEE" w:rsidRPr="003B1C88" w:rsidRDefault="00394BEE" w:rsidP="003B1C88">
            <w:pPr>
              <w:autoSpaceDE w:val="0"/>
              <w:autoSpaceDN w:val="0"/>
              <w:adjustRightInd w:val="0"/>
              <w:rPr>
                <w:rFonts w:cs="Times New Roman"/>
              </w:rPr>
            </w:pPr>
          </w:p>
          <w:p w:rsidR="00394BEE" w:rsidRPr="003B1C88" w:rsidRDefault="00394BEE" w:rsidP="003B1C88">
            <w:pPr>
              <w:autoSpaceDE w:val="0"/>
              <w:autoSpaceDN w:val="0"/>
              <w:adjustRightInd w:val="0"/>
              <w:rPr>
                <w:rFonts w:cs="Times New Roman"/>
              </w:rPr>
            </w:pPr>
          </w:p>
          <w:p w:rsidR="00394BEE" w:rsidRPr="003B1C88" w:rsidRDefault="00394BEE" w:rsidP="003B1C88">
            <w:pPr>
              <w:autoSpaceDE w:val="0"/>
              <w:autoSpaceDN w:val="0"/>
              <w:adjustRightInd w:val="0"/>
              <w:rPr>
                <w:rFonts w:cs="Times New Roman"/>
              </w:rPr>
            </w:pPr>
            <w:r w:rsidRPr="003B1C88">
              <w:rPr>
                <w:rFonts w:cs="Times New Roman"/>
              </w:rPr>
              <w:t xml:space="preserve">a(1,4) </w:t>
            </w:r>
          </w:p>
          <w:p w:rsidR="00394BEE" w:rsidRPr="003B1C88" w:rsidRDefault="00394BEE" w:rsidP="003B1C88">
            <w:pPr>
              <w:autoSpaceDE w:val="0"/>
              <w:autoSpaceDN w:val="0"/>
              <w:adjustRightInd w:val="0"/>
              <w:rPr>
                <w:rFonts w:cs="Times New Roman"/>
              </w:rPr>
            </w:pPr>
          </w:p>
        </w:tc>
      </w:tr>
    </w:tbl>
    <w:p w:rsidR="00394BEE" w:rsidRPr="003B1C88" w:rsidRDefault="00394BEE"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6.</w:t>
      </w:r>
      <w:r w:rsidR="00E55456" w:rsidRPr="003B1C88">
        <w:rPr>
          <w:rFonts w:cs="Times New Roman"/>
        </w:rPr>
        <w:t>1</w:t>
      </w:r>
    </w:p>
    <w:tbl>
      <w:tblPr>
        <w:tblStyle w:val="TableGrid"/>
        <w:tblW w:w="0" w:type="auto"/>
        <w:tblLook w:val="0600" w:firstRow="0" w:lastRow="0" w:firstColumn="0" w:lastColumn="0" w:noHBand="1" w:noVBand="1"/>
      </w:tblPr>
      <w:tblGrid>
        <w:gridCol w:w="8658"/>
        <w:gridCol w:w="918"/>
      </w:tblGrid>
      <w:tr w:rsidR="00E55456" w:rsidRPr="003B1C88" w:rsidTr="007601B9">
        <w:trPr>
          <w:trHeight w:val="1305"/>
        </w:trPr>
        <w:tc>
          <w:tcPr>
            <w:tcW w:w="8658" w:type="dxa"/>
          </w:tcPr>
          <w:p w:rsidR="00E55456" w:rsidRPr="003B1C88" w:rsidRDefault="00E55456" w:rsidP="00394BEE">
            <w:pPr>
              <w:autoSpaceDE w:val="0"/>
              <w:autoSpaceDN w:val="0"/>
              <w:adjustRightInd w:val="0"/>
              <w:rPr>
                <w:rFonts w:cs="Times New Roman"/>
              </w:rPr>
            </w:pPr>
            <w:r w:rsidRPr="003B1C88">
              <w:rPr>
                <w:rFonts w:cs="Times New Roman"/>
              </w:rPr>
              <w:t>Process owners/teams have identified performance measures/indicators and in-process measures (Figure 6.1-3) for assigned work processes, helping the applicant monitor, maintain, and improve process performance and provide consistent Legendary Service. After establishing upper and lower process</w:t>
            </w:r>
            <w:r w:rsidR="00394BEE" w:rsidRPr="003B1C88">
              <w:rPr>
                <w:rFonts w:cs="Times New Roman"/>
              </w:rPr>
              <w:t>-</w:t>
            </w:r>
            <w:r w:rsidRPr="003B1C88">
              <w:rPr>
                <w:rFonts w:cs="Times New Roman"/>
              </w:rPr>
              <w:t>control limits, the teams verify conformance, fix obvious problems, eliminate special causes of variation, and identify and mitigate potential problems.</w:t>
            </w:r>
          </w:p>
        </w:tc>
        <w:tc>
          <w:tcPr>
            <w:tcW w:w="918" w:type="dxa"/>
          </w:tcPr>
          <w:p w:rsidR="00E55456" w:rsidRPr="003B1C88" w:rsidRDefault="00E55456" w:rsidP="003B1C88">
            <w:pPr>
              <w:autoSpaceDE w:val="0"/>
              <w:autoSpaceDN w:val="0"/>
              <w:adjustRightInd w:val="0"/>
              <w:rPr>
                <w:rFonts w:cs="Times New Roman"/>
              </w:rPr>
            </w:pPr>
          </w:p>
          <w:p w:rsidR="00E55456" w:rsidRPr="003B1C88" w:rsidRDefault="00E55456" w:rsidP="003B1C88">
            <w:pPr>
              <w:autoSpaceDE w:val="0"/>
              <w:autoSpaceDN w:val="0"/>
              <w:adjustRightInd w:val="0"/>
              <w:rPr>
                <w:rFonts w:cs="Times New Roman"/>
              </w:rPr>
            </w:pPr>
          </w:p>
          <w:p w:rsidR="00E55456" w:rsidRPr="003B1C88" w:rsidRDefault="00E55456" w:rsidP="003B1C88">
            <w:pPr>
              <w:autoSpaceDE w:val="0"/>
              <w:autoSpaceDN w:val="0"/>
              <w:adjustRightInd w:val="0"/>
              <w:rPr>
                <w:rFonts w:cs="Times New Roman"/>
              </w:rPr>
            </w:pPr>
            <w:r w:rsidRPr="003B1C88">
              <w:rPr>
                <w:rFonts w:cs="Times New Roman"/>
              </w:rPr>
              <w:t>b(1)</w:t>
            </w:r>
          </w:p>
          <w:p w:rsidR="00E55456" w:rsidRPr="003B1C88" w:rsidRDefault="00E55456" w:rsidP="003B1C88">
            <w:pPr>
              <w:autoSpaceDE w:val="0"/>
              <w:autoSpaceDN w:val="0"/>
              <w:adjustRightInd w:val="0"/>
              <w:rPr>
                <w:rFonts w:cs="Times New Roman"/>
              </w:rPr>
            </w:pPr>
          </w:p>
        </w:tc>
      </w:tr>
    </w:tbl>
    <w:p w:rsidR="00DA3992" w:rsidRPr="003B1C88" w:rsidRDefault="00DA3992" w:rsidP="00DA3992">
      <w:pPr>
        <w:autoSpaceDE w:val="0"/>
        <w:autoSpaceDN w:val="0"/>
        <w:adjustRightInd w:val="0"/>
        <w:spacing w:after="0" w:line="240" w:lineRule="auto"/>
        <w:rPr>
          <w:rFonts w:cs="Times New Roman"/>
        </w:rPr>
      </w:pPr>
    </w:p>
    <w:p w:rsidR="00E55456" w:rsidRPr="003B1C88" w:rsidRDefault="00E55456">
      <w:pPr>
        <w:rPr>
          <w:rFonts w:cs="Times New Roman"/>
          <w:b/>
          <w:bCs/>
        </w:rPr>
      </w:pPr>
      <w:r w:rsidRPr="003B1C88">
        <w:rPr>
          <w:rFonts w:cs="Times New Roman"/>
          <w:b/>
          <w:bCs/>
        </w:rPr>
        <w:br w:type="page"/>
      </w:r>
    </w:p>
    <w:p w:rsidR="00DA3992" w:rsidRPr="003B1C88" w:rsidRDefault="003B1C88" w:rsidP="00DA3992">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lastRenderedPageBreak/>
        <w:t xml:space="preserve">Sample </w:t>
      </w:r>
      <w:r w:rsidR="00DA3992" w:rsidRPr="003B1C88">
        <w:rPr>
          <w:rFonts w:ascii="Calibri-Bold" w:hAnsi="Calibri-Bold" w:cs="Calibri-Bold"/>
          <w:b/>
          <w:bCs/>
          <w:sz w:val="32"/>
          <w:szCs w:val="32"/>
        </w:rPr>
        <w:t>Process OFI</w:t>
      </w:r>
      <w:r>
        <w:rPr>
          <w:rFonts w:ascii="Calibri-Bold" w:hAnsi="Calibri-Bold" w:cs="Calibri-Bold"/>
          <w:b/>
          <w:bCs/>
          <w:sz w:val="32"/>
          <w:szCs w:val="32"/>
        </w:rPr>
        <w:t xml:space="preserve"> Comments</w:t>
      </w:r>
    </w:p>
    <w:p w:rsidR="00B01DC6" w:rsidRPr="003B1C88" w:rsidRDefault="00B01DC6"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1.1</w:t>
      </w:r>
    </w:p>
    <w:tbl>
      <w:tblPr>
        <w:tblStyle w:val="TableGrid"/>
        <w:tblW w:w="0" w:type="auto"/>
        <w:tblLook w:val="0600" w:firstRow="0" w:lastRow="0" w:firstColumn="0" w:lastColumn="0" w:noHBand="1" w:noVBand="1"/>
      </w:tblPr>
      <w:tblGrid>
        <w:gridCol w:w="8658"/>
        <w:gridCol w:w="918"/>
      </w:tblGrid>
      <w:tr w:rsidR="00B01DC6" w:rsidRPr="003B1C88" w:rsidTr="007601B9">
        <w:trPr>
          <w:trHeight w:val="1305"/>
        </w:trPr>
        <w:tc>
          <w:tcPr>
            <w:tcW w:w="8658" w:type="dxa"/>
          </w:tcPr>
          <w:p w:rsidR="00B01DC6" w:rsidRPr="003B1C88" w:rsidRDefault="00B01DC6" w:rsidP="00B01DC6">
            <w:pPr>
              <w:autoSpaceDE w:val="0"/>
              <w:autoSpaceDN w:val="0"/>
              <w:adjustRightInd w:val="0"/>
              <w:rPr>
                <w:rFonts w:cs="Times New Roman"/>
              </w:rPr>
            </w:pPr>
            <w:r w:rsidRPr="003B1C88">
              <w:rPr>
                <w:rFonts w:cs="Times New Roman"/>
              </w:rPr>
              <w:t>The applicant presents limited evidence of systematic evaluation and refinement of</w:t>
            </w:r>
          </w:p>
          <w:p w:rsidR="00B01DC6" w:rsidRPr="003B1C88" w:rsidRDefault="00B01DC6" w:rsidP="00B01DC6">
            <w:pPr>
              <w:autoSpaceDE w:val="0"/>
              <w:autoSpaceDN w:val="0"/>
              <w:adjustRightInd w:val="0"/>
              <w:rPr>
                <w:rFonts w:cs="Times New Roman"/>
              </w:rPr>
            </w:pPr>
            <w:r w:rsidRPr="003B1C88">
              <w:rPr>
                <w:rFonts w:cs="Times New Roman"/>
              </w:rPr>
              <w:t>several key leadership approaches that support operational excellence and enhance</w:t>
            </w:r>
          </w:p>
          <w:p w:rsidR="00B01DC6" w:rsidRPr="003B1C88" w:rsidRDefault="00B01DC6" w:rsidP="00B01DC6">
            <w:pPr>
              <w:autoSpaceDE w:val="0"/>
              <w:autoSpaceDN w:val="0"/>
              <w:adjustRightInd w:val="0"/>
              <w:rPr>
                <w:rFonts w:cs="Times New Roman"/>
              </w:rPr>
            </w:pPr>
            <w:r w:rsidRPr="003B1C88">
              <w:rPr>
                <w:rFonts w:cs="Times New Roman"/>
              </w:rPr>
              <w:t>sustainability. These include approaches for innovation, the LDS, legal and ethical</w:t>
            </w:r>
          </w:p>
          <w:p w:rsidR="00B01DC6" w:rsidRPr="003B1C88" w:rsidRDefault="00B01DC6" w:rsidP="00B01DC6">
            <w:pPr>
              <w:autoSpaceDE w:val="0"/>
              <w:autoSpaceDN w:val="0"/>
              <w:adjustRightInd w:val="0"/>
              <w:rPr>
                <w:rFonts w:cs="Times New Roman"/>
              </w:rPr>
            </w:pPr>
            <w:r w:rsidRPr="003B1C88">
              <w:rPr>
                <w:rFonts w:cs="Times New Roman"/>
              </w:rPr>
              <w:t>approaches, and Legendary Service standards.</w:t>
            </w:r>
          </w:p>
        </w:tc>
        <w:tc>
          <w:tcPr>
            <w:tcW w:w="918" w:type="dxa"/>
          </w:tcPr>
          <w:p w:rsidR="00B01DC6" w:rsidRPr="003B1C88" w:rsidRDefault="00B01DC6" w:rsidP="007601B9">
            <w:pPr>
              <w:autoSpaceDE w:val="0"/>
              <w:autoSpaceDN w:val="0"/>
              <w:adjustRightInd w:val="0"/>
              <w:jc w:val="center"/>
              <w:rPr>
                <w:rFonts w:cs="Times New Roman"/>
              </w:rPr>
            </w:pPr>
          </w:p>
          <w:p w:rsidR="00B01DC6" w:rsidRPr="003B1C88" w:rsidRDefault="00B01DC6" w:rsidP="007601B9">
            <w:pPr>
              <w:autoSpaceDE w:val="0"/>
              <w:autoSpaceDN w:val="0"/>
              <w:adjustRightInd w:val="0"/>
              <w:jc w:val="center"/>
              <w:rPr>
                <w:rFonts w:cs="Times New Roman"/>
              </w:rPr>
            </w:pPr>
          </w:p>
          <w:p w:rsidR="00B01DC6" w:rsidRPr="003B1C88" w:rsidRDefault="00B01DC6" w:rsidP="00B01DC6">
            <w:pPr>
              <w:autoSpaceDE w:val="0"/>
              <w:autoSpaceDN w:val="0"/>
              <w:adjustRightInd w:val="0"/>
              <w:rPr>
                <w:rFonts w:cs="Times New Roman"/>
              </w:rPr>
            </w:pPr>
            <w:r w:rsidRPr="003B1C88">
              <w:rPr>
                <w:rFonts w:cs="Times New Roman"/>
              </w:rPr>
              <w:t>a, b</w:t>
            </w:r>
          </w:p>
        </w:tc>
      </w:tr>
    </w:tbl>
    <w:p w:rsidR="00B01DC6" w:rsidRPr="003B1C88" w:rsidRDefault="00B01DC6"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2.1</w:t>
      </w:r>
    </w:p>
    <w:tbl>
      <w:tblPr>
        <w:tblStyle w:val="TableGrid"/>
        <w:tblW w:w="0" w:type="auto"/>
        <w:tblLook w:val="0600" w:firstRow="0" w:lastRow="0" w:firstColumn="0" w:lastColumn="0" w:noHBand="1" w:noVBand="1"/>
      </w:tblPr>
      <w:tblGrid>
        <w:gridCol w:w="8658"/>
        <w:gridCol w:w="918"/>
      </w:tblGrid>
      <w:tr w:rsidR="00B01DC6" w:rsidRPr="003B1C88" w:rsidTr="007601B9">
        <w:trPr>
          <w:trHeight w:val="1305"/>
        </w:trPr>
        <w:tc>
          <w:tcPr>
            <w:tcW w:w="8658" w:type="dxa"/>
          </w:tcPr>
          <w:p w:rsidR="00B01DC6" w:rsidRPr="003B1C88" w:rsidRDefault="00B01DC6" w:rsidP="00B01DC6">
            <w:pPr>
              <w:autoSpaceDE w:val="0"/>
              <w:autoSpaceDN w:val="0"/>
              <w:adjustRightInd w:val="0"/>
              <w:rPr>
                <w:rFonts w:cs="Times New Roman"/>
              </w:rPr>
            </w:pPr>
            <w:r w:rsidRPr="003B1C88">
              <w:rPr>
                <w:rFonts w:cs="Times New Roman"/>
              </w:rPr>
              <w:t>The applicant does not appear to address several strategic objective considerations.</w:t>
            </w:r>
          </w:p>
          <w:p w:rsidR="00B01DC6" w:rsidRPr="003B1C88" w:rsidRDefault="00B01DC6" w:rsidP="00B01DC6">
            <w:pPr>
              <w:autoSpaceDE w:val="0"/>
              <w:autoSpaceDN w:val="0"/>
              <w:adjustRightInd w:val="0"/>
              <w:rPr>
                <w:rFonts w:cs="Times New Roman"/>
              </w:rPr>
            </w:pPr>
            <w:r w:rsidRPr="003B1C88">
              <w:rPr>
                <w:rFonts w:cs="Times New Roman"/>
              </w:rPr>
              <w:t>These are the challenge of a retirement wave, which may affect workforce capacity</w:t>
            </w:r>
          </w:p>
          <w:p w:rsidR="00B01DC6" w:rsidRPr="003B1C88" w:rsidRDefault="00B01DC6" w:rsidP="00B01DC6">
            <w:pPr>
              <w:autoSpaceDE w:val="0"/>
              <w:autoSpaceDN w:val="0"/>
              <w:adjustRightInd w:val="0"/>
              <w:rPr>
                <w:rFonts w:cs="Times New Roman"/>
              </w:rPr>
            </w:pPr>
            <w:r w:rsidRPr="003B1C88">
              <w:rPr>
                <w:rFonts w:cs="Times New Roman"/>
              </w:rPr>
              <w:t>planning; the community, which may hinder addressing the loss of public confidence;</w:t>
            </w:r>
          </w:p>
          <w:p w:rsidR="00B01DC6" w:rsidRPr="003B1C88" w:rsidRDefault="00B01DC6" w:rsidP="00B01DC6">
            <w:pPr>
              <w:autoSpaceDE w:val="0"/>
              <w:autoSpaceDN w:val="0"/>
              <w:adjustRightInd w:val="0"/>
              <w:rPr>
                <w:rFonts w:cs="Times New Roman"/>
              </w:rPr>
            </w:pPr>
            <w:r w:rsidRPr="003B1C88">
              <w:rPr>
                <w:rFonts w:cs="Times New Roman"/>
              </w:rPr>
              <w:t>and innovations in products and operations, which may limit opportunities to gain</w:t>
            </w:r>
          </w:p>
          <w:p w:rsidR="00B01DC6" w:rsidRPr="003B1C88" w:rsidRDefault="00B01DC6" w:rsidP="00B01DC6">
            <w:pPr>
              <w:autoSpaceDE w:val="0"/>
              <w:autoSpaceDN w:val="0"/>
              <w:adjustRightInd w:val="0"/>
              <w:rPr>
                <w:rFonts w:cs="Times New Roman"/>
              </w:rPr>
            </w:pPr>
            <w:r w:rsidRPr="003B1C88">
              <w:rPr>
                <w:rFonts w:cs="Times New Roman"/>
              </w:rPr>
              <w:t>market share.</w:t>
            </w:r>
          </w:p>
        </w:tc>
        <w:tc>
          <w:tcPr>
            <w:tcW w:w="918" w:type="dxa"/>
          </w:tcPr>
          <w:p w:rsidR="00B01DC6" w:rsidRPr="003B1C88" w:rsidRDefault="00B01DC6" w:rsidP="003B1C88">
            <w:pPr>
              <w:autoSpaceDE w:val="0"/>
              <w:autoSpaceDN w:val="0"/>
              <w:adjustRightInd w:val="0"/>
              <w:rPr>
                <w:rFonts w:cs="Times New Roman"/>
              </w:rPr>
            </w:pPr>
          </w:p>
          <w:p w:rsidR="00B01DC6" w:rsidRPr="003B1C88" w:rsidRDefault="00B01DC6" w:rsidP="003B1C88">
            <w:pPr>
              <w:autoSpaceDE w:val="0"/>
              <w:autoSpaceDN w:val="0"/>
              <w:adjustRightInd w:val="0"/>
              <w:rPr>
                <w:rFonts w:cs="Times New Roman"/>
              </w:rPr>
            </w:pPr>
          </w:p>
          <w:p w:rsidR="00B01DC6" w:rsidRPr="003B1C88" w:rsidRDefault="00B01DC6" w:rsidP="003B1C88">
            <w:pPr>
              <w:autoSpaceDE w:val="0"/>
              <w:autoSpaceDN w:val="0"/>
              <w:adjustRightInd w:val="0"/>
              <w:rPr>
                <w:rFonts w:cs="Times New Roman"/>
              </w:rPr>
            </w:pPr>
            <w:r w:rsidRPr="003B1C88">
              <w:rPr>
                <w:rFonts w:cs="Times New Roman"/>
              </w:rPr>
              <w:t>b(2)</w:t>
            </w:r>
          </w:p>
          <w:p w:rsidR="00B01DC6" w:rsidRPr="003B1C88" w:rsidRDefault="00B01DC6" w:rsidP="003B1C88">
            <w:pPr>
              <w:autoSpaceDE w:val="0"/>
              <w:autoSpaceDN w:val="0"/>
              <w:adjustRightInd w:val="0"/>
              <w:rPr>
                <w:rFonts w:cs="Times New Roman"/>
              </w:rPr>
            </w:pPr>
          </w:p>
        </w:tc>
      </w:tr>
    </w:tbl>
    <w:p w:rsidR="00B01DC6" w:rsidRPr="003B1C88" w:rsidRDefault="00B01DC6"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3.2</w:t>
      </w:r>
    </w:p>
    <w:tbl>
      <w:tblPr>
        <w:tblStyle w:val="TableGrid"/>
        <w:tblW w:w="0" w:type="auto"/>
        <w:tblLook w:val="0600" w:firstRow="0" w:lastRow="0" w:firstColumn="0" w:lastColumn="0" w:noHBand="1" w:noVBand="1"/>
      </w:tblPr>
      <w:tblGrid>
        <w:gridCol w:w="8658"/>
        <w:gridCol w:w="918"/>
      </w:tblGrid>
      <w:tr w:rsidR="00B01DC6" w:rsidRPr="003B1C88" w:rsidTr="007601B9">
        <w:trPr>
          <w:trHeight w:val="1305"/>
        </w:trPr>
        <w:tc>
          <w:tcPr>
            <w:tcW w:w="8658" w:type="dxa"/>
          </w:tcPr>
          <w:p w:rsidR="00B01DC6" w:rsidRPr="003B1C88" w:rsidRDefault="00B01DC6" w:rsidP="00B01DC6">
            <w:pPr>
              <w:autoSpaceDE w:val="0"/>
              <w:autoSpaceDN w:val="0"/>
              <w:adjustRightInd w:val="0"/>
              <w:rPr>
                <w:rFonts w:cs="Times New Roman"/>
              </w:rPr>
            </w:pPr>
            <w:r w:rsidRPr="003B1C88">
              <w:rPr>
                <w:rFonts w:cs="Times New Roman"/>
              </w:rPr>
              <w:t>It is not evident that the applicant fully deploys several customer support approaches.</w:t>
            </w:r>
          </w:p>
          <w:p w:rsidR="00B01DC6" w:rsidRPr="003B1C88" w:rsidRDefault="00B01DC6" w:rsidP="00B01DC6">
            <w:pPr>
              <w:autoSpaceDE w:val="0"/>
              <w:autoSpaceDN w:val="0"/>
              <w:adjustRightInd w:val="0"/>
              <w:rPr>
                <w:rFonts w:cs="Times New Roman"/>
              </w:rPr>
            </w:pPr>
            <w:r w:rsidRPr="003B1C88">
              <w:rPr>
                <w:rFonts w:cs="Times New Roman"/>
              </w:rPr>
              <w:t>For example, the VOC Process (Figure 3.2-1) does not appear to be deployed to all 47</w:t>
            </w:r>
          </w:p>
          <w:p w:rsidR="00B01DC6" w:rsidRPr="003B1C88" w:rsidRDefault="00B01DC6" w:rsidP="00B01DC6">
            <w:pPr>
              <w:autoSpaceDE w:val="0"/>
              <w:autoSpaceDN w:val="0"/>
              <w:adjustRightInd w:val="0"/>
              <w:rPr>
                <w:rFonts w:cs="Times New Roman"/>
              </w:rPr>
            </w:pPr>
            <w:r w:rsidRPr="003B1C88">
              <w:rPr>
                <w:rFonts w:cs="Times New Roman"/>
              </w:rPr>
              <w:t>branches, the DirectServe Center, and the Mortgage Division. In addition, it is not clear that the Principles of Legendary Service (Figure 3.2-2) and Customer Service</w:t>
            </w:r>
          </w:p>
          <w:p w:rsidR="00B01DC6" w:rsidRPr="003B1C88" w:rsidRDefault="00B01DC6" w:rsidP="00B01DC6">
            <w:pPr>
              <w:autoSpaceDE w:val="0"/>
              <w:autoSpaceDN w:val="0"/>
              <w:adjustRightInd w:val="0"/>
              <w:rPr>
                <w:rFonts w:cs="Times New Roman"/>
              </w:rPr>
            </w:pPr>
            <w:r w:rsidRPr="003B1C88">
              <w:rPr>
                <w:rFonts w:cs="Times New Roman"/>
              </w:rPr>
              <w:t>Standards (Figure 3.2-3) address former Widmark customers’ support requirements.</w:t>
            </w:r>
          </w:p>
        </w:tc>
        <w:tc>
          <w:tcPr>
            <w:tcW w:w="918" w:type="dxa"/>
          </w:tcPr>
          <w:p w:rsidR="00B01DC6" w:rsidRPr="003B1C88" w:rsidRDefault="00B01DC6" w:rsidP="003B1C88">
            <w:pPr>
              <w:autoSpaceDE w:val="0"/>
              <w:autoSpaceDN w:val="0"/>
              <w:adjustRightInd w:val="0"/>
              <w:rPr>
                <w:rFonts w:cs="Times New Roman"/>
              </w:rPr>
            </w:pPr>
          </w:p>
          <w:p w:rsidR="00B01DC6" w:rsidRPr="003B1C88" w:rsidRDefault="00B01DC6" w:rsidP="003B1C88">
            <w:pPr>
              <w:autoSpaceDE w:val="0"/>
              <w:autoSpaceDN w:val="0"/>
              <w:adjustRightInd w:val="0"/>
              <w:rPr>
                <w:rFonts w:cs="Times New Roman"/>
              </w:rPr>
            </w:pPr>
          </w:p>
          <w:p w:rsidR="00B01DC6" w:rsidRPr="003B1C88" w:rsidRDefault="00B01DC6" w:rsidP="003B1C88">
            <w:pPr>
              <w:autoSpaceDE w:val="0"/>
              <w:autoSpaceDN w:val="0"/>
              <w:adjustRightInd w:val="0"/>
              <w:rPr>
                <w:rFonts w:cs="Times New Roman"/>
              </w:rPr>
            </w:pPr>
            <w:r w:rsidRPr="003B1C88">
              <w:rPr>
                <w:rFonts w:cs="Times New Roman"/>
              </w:rPr>
              <w:t>a(1-3)</w:t>
            </w:r>
          </w:p>
          <w:p w:rsidR="00B01DC6" w:rsidRPr="003B1C88" w:rsidRDefault="00B01DC6" w:rsidP="003B1C88">
            <w:pPr>
              <w:autoSpaceDE w:val="0"/>
              <w:autoSpaceDN w:val="0"/>
              <w:adjustRightInd w:val="0"/>
              <w:rPr>
                <w:rFonts w:cs="Times New Roman"/>
              </w:rPr>
            </w:pPr>
          </w:p>
        </w:tc>
      </w:tr>
    </w:tbl>
    <w:p w:rsidR="00B01DC6" w:rsidRPr="003B1C88" w:rsidRDefault="00B01DC6"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4.2</w:t>
      </w:r>
    </w:p>
    <w:tbl>
      <w:tblPr>
        <w:tblStyle w:val="TableGrid"/>
        <w:tblW w:w="0" w:type="auto"/>
        <w:tblLook w:val="0600" w:firstRow="0" w:lastRow="0" w:firstColumn="0" w:lastColumn="0" w:noHBand="1" w:noVBand="1"/>
      </w:tblPr>
      <w:tblGrid>
        <w:gridCol w:w="8658"/>
        <w:gridCol w:w="918"/>
      </w:tblGrid>
      <w:tr w:rsidR="00B01DC6" w:rsidRPr="003B1C88" w:rsidTr="007601B9">
        <w:trPr>
          <w:trHeight w:val="1305"/>
        </w:trPr>
        <w:tc>
          <w:tcPr>
            <w:tcW w:w="8658" w:type="dxa"/>
          </w:tcPr>
          <w:p w:rsidR="00B01DC6" w:rsidRPr="003B1C88" w:rsidRDefault="00B01DC6" w:rsidP="00B01DC6">
            <w:pPr>
              <w:autoSpaceDE w:val="0"/>
              <w:autoSpaceDN w:val="0"/>
              <w:adjustRightInd w:val="0"/>
              <w:rPr>
                <w:rFonts w:cs="Times New Roman"/>
              </w:rPr>
            </w:pPr>
            <w:r w:rsidRPr="003B1C88">
              <w:rPr>
                <w:rFonts w:cs="Times New Roman"/>
              </w:rPr>
              <w:t>It is not evident that the applicant’s mechanisms for sharing data and information are</w:t>
            </w:r>
          </w:p>
          <w:p w:rsidR="00B01DC6" w:rsidRPr="003B1C88" w:rsidRDefault="00B01DC6" w:rsidP="00B01DC6">
            <w:pPr>
              <w:autoSpaceDE w:val="0"/>
              <w:autoSpaceDN w:val="0"/>
              <w:adjustRightInd w:val="0"/>
              <w:rPr>
                <w:rFonts w:cs="Times New Roman"/>
              </w:rPr>
            </w:pPr>
            <w:r w:rsidRPr="003B1C88">
              <w:rPr>
                <w:rFonts w:cs="Times New Roman"/>
              </w:rPr>
              <w:t>aligned with associates’, suppliers’, partners’ and customers’ preferred methods of</w:t>
            </w:r>
          </w:p>
          <w:p w:rsidR="00B01DC6" w:rsidRPr="003B1C88" w:rsidRDefault="00B01DC6" w:rsidP="00B01DC6">
            <w:pPr>
              <w:autoSpaceDE w:val="0"/>
              <w:autoSpaceDN w:val="0"/>
              <w:adjustRightInd w:val="0"/>
              <w:rPr>
                <w:rFonts w:cs="Times New Roman"/>
              </w:rPr>
            </w:pPr>
            <w:r w:rsidRPr="003B1C88">
              <w:rPr>
                <w:rFonts w:cs="Times New Roman"/>
              </w:rPr>
              <w:t>communication. For example, the applicant does not appear to consider</w:t>
            </w:r>
          </w:p>
          <w:p w:rsidR="00B01DC6" w:rsidRPr="003B1C88" w:rsidRDefault="00B01DC6" w:rsidP="00B01DC6">
            <w:pPr>
              <w:autoSpaceDE w:val="0"/>
              <w:autoSpaceDN w:val="0"/>
              <w:adjustRightInd w:val="0"/>
              <w:rPr>
                <w:rFonts w:cs="Times New Roman"/>
              </w:rPr>
            </w:pPr>
            <w:r w:rsidRPr="003B1C88">
              <w:rPr>
                <w:rFonts w:cs="Times New Roman"/>
              </w:rPr>
              <w:t>responsiveness to information requests when establishing these mechanisms.</w:t>
            </w:r>
          </w:p>
          <w:p w:rsidR="00B01DC6" w:rsidRPr="003B1C88" w:rsidRDefault="00B01DC6" w:rsidP="00B01DC6">
            <w:pPr>
              <w:autoSpaceDE w:val="0"/>
              <w:autoSpaceDN w:val="0"/>
              <w:adjustRightInd w:val="0"/>
              <w:rPr>
                <w:rFonts w:cs="Times New Roman"/>
              </w:rPr>
            </w:pPr>
            <w:r w:rsidRPr="003B1C88">
              <w:rPr>
                <w:rFonts w:cs="Times New Roman"/>
              </w:rPr>
              <w:t>Considering stakeholders’ preferences may help ensure that they receive the</w:t>
            </w:r>
          </w:p>
          <w:p w:rsidR="00B01DC6" w:rsidRPr="003B1C88" w:rsidRDefault="00B01DC6" w:rsidP="00B01DC6">
            <w:pPr>
              <w:autoSpaceDE w:val="0"/>
              <w:autoSpaceDN w:val="0"/>
              <w:adjustRightInd w:val="0"/>
              <w:rPr>
                <w:rFonts w:cs="Times New Roman"/>
              </w:rPr>
            </w:pPr>
            <w:r w:rsidRPr="003B1C88">
              <w:rPr>
                <w:rFonts w:cs="Times New Roman"/>
              </w:rPr>
              <w:t>information they want, need, and can use.</w:t>
            </w:r>
          </w:p>
        </w:tc>
        <w:tc>
          <w:tcPr>
            <w:tcW w:w="918" w:type="dxa"/>
          </w:tcPr>
          <w:p w:rsidR="00B01DC6" w:rsidRPr="003B1C88" w:rsidRDefault="00B01DC6" w:rsidP="007601B9">
            <w:pPr>
              <w:autoSpaceDE w:val="0"/>
              <w:autoSpaceDN w:val="0"/>
              <w:adjustRightInd w:val="0"/>
              <w:jc w:val="center"/>
              <w:rPr>
                <w:rFonts w:cs="Times New Roman"/>
              </w:rPr>
            </w:pPr>
          </w:p>
          <w:p w:rsidR="00B01DC6" w:rsidRPr="003B1C88" w:rsidRDefault="00B01DC6" w:rsidP="007601B9">
            <w:pPr>
              <w:autoSpaceDE w:val="0"/>
              <w:autoSpaceDN w:val="0"/>
              <w:adjustRightInd w:val="0"/>
              <w:jc w:val="center"/>
              <w:rPr>
                <w:rFonts w:cs="Times New Roman"/>
              </w:rPr>
            </w:pPr>
          </w:p>
          <w:p w:rsidR="00B01DC6" w:rsidRPr="003B1C88" w:rsidRDefault="00B01DC6" w:rsidP="007601B9">
            <w:pPr>
              <w:autoSpaceDE w:val="0"/>
              <w:autoSpaceDN w:val="0"/>
              <w:adjustRightInd w:val="0"/>
              <w:jc w:val="center"/>
              <w:rPr>
                <w:rFonts w:cs="Times New Roman"/>
              </w:rPr>
            </w:pPr>
            <w:r w:rsidRPr="003B1C88">
              <w:rPr>
                <w:rFonts w:cs="Times New Roman"/>
              </w:rPr>
              <w:t>b(</w:t>
            </w:r>
            <w:r w:rsidR="002E6797">
              <w:rPr>
                <w:rFonts w:cs="Times New Roman"/>
              </w:rPr>
              <w:t>3</w:t>
            </w:r>
            <w:r w:rsidRPr="003B1C88">
              <w:rPr>
                <w:rFonts w:cs="Times New Roman"/>
              </w:rPr>
              <w:t>)</w:t>
            </w:r>
          </w:p>
          <w:p w:rsidR="00B01DC6" w:rsidRPr="003B1C88" w:rsidRDefault="00B01DC6" w:rsidP="007601B9">
            <w:pPr>
              <w:autoSpaceDE w:val="0"/>
              <w:autoSpaceDN w:val="0"/>
              <w:adjustRightInd w:val="0"/>
              <w:jc w:val="center"/>
              <w:rPr>
                <w:rFonts w:cs="Times New Roman"/>
              </w:rPr>
            </w:pPr>
          </w:p>
        </w:tc>
      </w:tr>
    </w:tbl>
    <w:p w:rsidR="00B01DC6" w:rsidRPr="003B1C88" w:rsidRDefault="00B01DC6"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5.1</w:t>
      </w:r>
    </w:p>
    <w:tbl>
      <w:tblPr>
        <w:tblStyle w:val="TableGrid"/>
        <w:tblW w:w="0" w:type="auto"/>
        <w:tblLook w:val="0600" w:firstRow="0" w:lastRow="0" w:firstColumn="0" w:lastColumn="0" w:noHBand="1" w:noVBand="1"/>
      </w:tblPr>
      <w:tblGrid>
        <w:gridCol w:w="8658"/>
        <w:gridCol w:w="918"/>
      </w:tblGrid>
      <w:tr w:rsidR="00B01DC6" w:rsidRPr="003B1C88" w:rsidTr="007601B9">
        <w:trPr>
          <w:trHeight w:val="1305"/>
        </w:trPr>
        <w:tc>
          <w:tcPr>
            <w:tcW w:w="8658" w:type="dxa"/>
          </w:tcPr>
          <w:p w:rsidR="00B01DC6" w:rsidRPr="003B1C88" w:rsidRDefault="00B01DC6" w:rsidP="00B01DC6">
            <w:pPr>
              <w:autoSpaceDE w:val="0"/>
              <w:autoSpaceDN w:val="0"/>
              <w:adjustRightInd w:val="0"/>
              <w:rPr>
                <w:rFonts w:cs="Times New Roman"/>
              </w:rPr>
            </w:pPr>
            <w:r w:rsidRPr="003B1C88">
              <w:rPr>
                <w:rFonts w:cs="Times New Roman"/>
              </w:rPr>
              <w:t>It is not clear how the applicant’s plan to manage workforce change addresses periods</w:t>
            </w:r>
          </w:p>
          <w:p w:rsidR="00B01DC6" w:rsidRPr="003B1C88" w:rsidRDefault="00B01DC6" w:rsidP="00B01DC6">
            <w:pPr>
              <w:autoSpaceDE w:val="0"/>
              <w:autoSpaceDN w:val="0"/>
              <w:adjustRightInd w:val="0"/>
              <w:rPr>
                <w:rFonts w:cs="Times New Roman"/>
              </w:rPr>
            </w:pPr>
            <w:r w:rsidRPr="003B1C88">
              <w:rPr>
                <w:rFonts w:cs="Times New Roman"/>
              </w:rPr>
              <w:t>of workforce growth, as all efforts appear to be focused on maintaining current</w:t>
            </w:r>
          </w:p>
          <w:p w:rsidR="00B01DC6" w:rsidRPr="003B1C88" w:rsidRDefault="00B01DC6" w:rsidP="00B01DC6">
            <w:pPr>
              <w:autoSpaceDE w:val="0"/>
              <w:autoSpaceDN w:val="0"/>
              <w:adjustRightInd w:val="0"/>
              <w:rPr>
                <w:rFonts w:cs="Times New Roman"/>
              </w:rPr>
            </w:pPr>
            <w:r w:rsidRPr="003B1C88">
              <w:rPr>
                <w:rFonts w:cs="Times New Roman"/>
              </w:rPr>
              <w:t>capability and capacity. Considering the recent acquisition and the emerging core</w:t>
            </w:r>
          </w:p>
          <w:p w:rsidR="00B01DC6" w:rsidRPr="003B1C88" w:rsidRDefault="00B01DC6" w:rsidP="00B01DC6">
            <w:pPr>
              <w:autoSpaceDE w:val="0"/>
              <w:autoSpaceDN w:val="0"/>
              <w:adjustRightInd w:val="0"/>
              <w:rPr>
                <w:rFonts w:cs="Times New Roman"/>
              </w:rPr>
            </w:pPr>
            <w:r w:rsidRPr="003B1C88">
              <w:rPr>
                <w:rFonts w:cs="Times New Roman"/>
              </w:rPr>
              <w:t>competency of mergers and acquisitions, planning to address possible workforce</w:t>
            </w:r>
          </w:p>
          <w:p w:rsidR="00B01DC6" w:rsidRPr="003B1C88" w:rsidRDefault="00B01DC6" w:rsidP="00B01DC6">
            <w:pPr>
              <w:autoSpaceDE w:val="0"/>
              <w:autoSpaceDN w:val="0"/>
              <w:adjustRightInd w:val="0"/>
              <w:rPr>
                <w:rFonts w:cs="Times New Roman"/>
              </w:rPr>
            </w:pPr>
            <w:r w:rsidRPr="003B1C88">
              <w:rPr>
                <w:rFonts w:cs="Times New Roman"/>
              </w:rPr>
              <w:t>growth may be of particular significance.</w:t>
            </w:r>
          </w:p>
        </w:tc>
        <w:tc>
          <w:tcPr>
            <w:tcW w:w="918" w:type="dxa"/>
          </w:tcPr>
          <w:p w:rsidR="00B01DC6" w:rsidRPr="003B1C88" w:rsidRDefault="00B01DC6" w:rsidP="007601B9">
            <w:pPr>
              <w:autoSpaceDE w:val="0"/>
              <w:autoSpaceDN w:val="0"/>
              <w:adjustRightInd w:val="0"/>
              <w:jc w:val="center"/>
              <w:rPr>
                <w:rFonts w:cs="Times New Roman"/>
              </w:rPr>
            </w:pPr>
          </w:p>
          <w:p w:rsidR="00B01DC6" w:rsidRPr="003B1C88" w:rsidRDefault="00B01DC6" w:rsidP="007601B9">
            <w:pPr>
              <w:autoSpaceDE w:val="0"/>
              <w:autoSpaceDN w:val="0"/>
              <w:adjustRightInd w:val="0"/>
              <w:jc w:val="center"/>
              <w:rPr>
                <w:rFonts w:cs="Times New Roman"/>
              </w:rPr>
            </w:pPr>
          </w:p>
          <w:p w:rsidR="00B01DC6" w:rsidRPr="003B1C88" w:rsidRDefault="00B01DC6" w:rsidP="007601B9">
            <w:pPr>
              <w:autoSpaceDE w:val="0"/>
              <w:autoSpaceDN w:val="0"/>
              <w:adjustRightInd w:val="0"/>
              <w:jc w:val="center"/>
              <w:rPr>
                <w:rFonts w:cs="Times New Roman"/>
              </w:rPr>
            </w:pPr>
            <w:r w:rsidRPr="003B1C88">
              <w:rPr>
                <w:rFonts w:cs="Times New Roman"/>
              </w:rPr>
              <w:t>a(4)</w:t>
            </w:r>
          </w:p>
          <w:p w:rsidR="00B01DC6" w:rsidRPr="003B1C88" w:rsidRDefault="00B01DC6" w:rsidP="007601B9">
            <w:pPr>
              <w:autoSpaceDE w:val="0"/>
              <w:autoSpaceDN w:val="0"/>
              <w:adjustRightInd w:val="0"/>
              <w:jc w:val="center"/>
              <w:rPr>
                <w:rFonts w:cs="Times New Roman"/>
              </w:rPr>
            </w:pPr>
          </w:p>
        </w:tc>
      </w:tr>
    </w:tbl>
    <w:p w:rsidR="00DA3992" w:rsidRPr="003B1C88" w:rsidRDefault="00DA3992" w:rsidP="00DA3992">
      <w:pPr>
        <w:autoSpaceDE w:val="0"/>
        <w:autoSpaceDN w:val="0"/>
        <w:adjustRightInd w:val="0"/>
        <w:spacing w:after="0" w:line="240" w:lineRule="auto"/>
        <w:rPr>
          <w:rFonts w:cs="Times New Roman"/>
        </w:rPr>
      </w:pPr>
    </w:p>
    <w:p w:rsidR="00CB16E5" w:rsidRPr="003B1C88" w:rsidRDefault="00CB16E5" w:rsidP="00DA3992">
      <w:pPr>
        <w:autoSpaceDE w:val="0"/>
        <w:autoSpaceDN w:val="0"/>
        <w:adjustRightInd w:val="0"/>
        <w:spacing w:after="0" w:line="240" w:lineRule="auto"/>
        <w:rPr>
          <w:rFonts w:cs="Times New Roman"/>
          <w:b/>
          <w:bCs/>
        </w:rPr>
      </w:pPr>
    </w:p>
    <w:p w:rsidR="00394BEE" w:rsidRPr="003B1C88" w:rsidRDefault="00394BEE" w:rsidP="00394BEE">
      <w:pPr>
        <w:autoSpaceDE w:val="0"/>
        <w:autoSpaceDN w:val="0"/>
        <w:adjustRightInd w:val="0"/>
        <w:spacing w:after="0" w:line="240" w:lineRule="auto"/>
        <w:rPr>
          <w:rFonts w:cs="Times New Roman"/>
        </w:rPr>
      </w:pPr>
      <w:r w:rsidRPr="003B1C88">
        <w:rPr>
          <w:rFonts w:cs="Times New Roman"/>
        </w:rPr>
        <w:t>6.</w:t>
      </w:r>
      <w:r w:rsidR="003B1C88">
        <w:rPr>
          <w:rFonts w:cs="Times New Roman"/>
        </w:rPr>
        <w:t>2</w:t>
      </w:r>
    </w:p>
    <w:tbl>
      <w:tblPr>
        <w:tblStyle w:val="TableGrid"/>
        <w:tblW w:w="0" w:type="auto"/>
        <w:tblLook w:val="0600" w:firstRow="0" w:lastRow="0" w:firstColumn="0" w:lastColumn="0" w:noHBand="1" w:noVBand="1"/>
      </w:tblPr>
      <w:tblGrid>
        <w:gridCol w:w="8658"/>
        <w:gridCol w:w="918"/>
      </w:tblGrid>
      <w:tr w:rsidR="00394BEE" w:rsidRPr="003B1C88" w:rsidTr="007601B9">
        <w:trPr>
          <w:trHeight w:val="1305"/>
        </w:trPr>
        <w:tc>
          <w:tcPr>
            <w:tcW w:w="8658" w:type="dxa"/>
          </w:tcPr>
          <w:p w:rsidR="00394BEE" w:rsidRPr="007F1DE1" w:rsidRDefault="003B1C88" w:rsidP="007F1DE1">
            <w:pPr>
              <w:autoSpaceDE w:val="0"/>
              <w:autoSpaceDN w:val="0"/>
              <w:adjustRightInd w:val="0"/>
              <w:rPr>
                <w:rFonts w:cs="Times New Roman"/>
              </w:rPr>
            </w:pPr>
            <w:r w:rsidRPr="007F1DE1">
              <w:rPr>
                <w:rFonts w:ascii="Calibri" w:hAnsi="Calibri" w:cs="Calibri"/>
              </w:rPr>
              <w:t xml:space="preserve">It is not clear how well </w:t>
            </w:r>
            <w:r w:rsidR="007F1DE1" w:rsidRPr="007F1DE1">
              <w:rPr>
                <w:rFonts w:ascii="Calibri" w:hAnsi="Calibri" w:cs="Calibri"/>
              </w:rPr>
              <w:t>the applicant’s Emergency Preparedness Plan</w:t>
            </w:r>
            <w:r w:rsidRPr="007F1DE1">
              <w:rPr>
                <w:rFonts w:ascii="Calibri" w:hAnsi="Calibri" w:cs="Calibri"/>
              </w:rPr>
              <w:t xml:space="preserve"> </w:t>
            </w:r>
            <w:r w:rsidR="007F1DE1" w:rsidRPr="007F1DE1">
              <w:rPr>
                <w:rFonts w:ascii="Calibri" w:hAnsi="Calibri" w:cs="Calibri"/>
              </w:rPr>
              <w:t>(</w:t>
            </w:r>
            <w:r w:rsidRPr="007F1DE1">
              <w:rPr>
                <w:rFonts w:ascii="Calibri" w:hAnsi="Calibri" w:cs="Calibri"/>
              </w:rPr>
              <w:t>E</w:t>
            </w:r>
            <w:r w:rsidR="007F1DE1" w:rsidRPr="007F1DE1">
              <w:rPr>
                <w:rFonts w:ascii="Calibri" w:hAnsi="Calibri" w:cs="Calibri"/>
              </w:rPr>
              <w:t>P</w:t>
            </w:r>
            <w:r w:rsidRPr="007F1DE1">
              <w:rPr>
                <w:rFonts w:ascii="Calibri" w:hAnsi="Calibri" w:cs="Calibri"/>
              </w:rPr>
              <w:t>P</w:t>
            </w:r>
            <w:r w:rsidR="007F1DE1" w:rsidRPr="007F1DE1">
              <w:rPr>
                <w:rFonts w:ascii="Calibri" w:hAnsi="Calibri" w:cs="Calibri"/>
              </w:rPr>
              <w:t xml:space="preserve">; </w:t>
            </w:r>
            <w:r w:rsidRPr="007F1DE1">
              <w:rPr>
                <w:rFonts w:ascii="Calibri" w:hAnsi="Calibri" w:cs="Calibri"/>
              </w:rPr>
              <w:t>Figure 6.</w:t>
            </w:r>
            <w:r w:rsidR="007F1DE1" w:rsidRPr="007F1DE1">
              <w:rPr>
                <w:rFonts w:ascii="Calibri" w:hAnsi="Calibri" w:cs="Calibri"/>
              </w:rPr>
              <w:t>2</w:t>
            </w:r>
            <w:r w:rsidRPr="007F1DE1">
              <w:rPr>
                <w:rFonts w:ascii="Calibri" w:hAnsi="Calibri" w:cs="Calibri"/>
              </w:rPr>
              <w:t>-5) is deployed to associates at the</w:t>
            </w:r>
            <w:r w:rsidR="007F1DE1" w:rsidRPr="007F1DE1">
              <w:rPr>
                <w:rFonts w:ascii="Calibri" w:hAnsi="Calibri" w:cs="Calibri"/>
              </w:rPr>
              <w:t xml:space="preserve"> </w:t>
            </w:r>
            <w:r w:rsidRPr="007F1DE1">
              <w:rPr>
                <w:rFonts w:ascii="Calibri" w:hAnsi="Calibri" w:cs="Calibri"/>
              </w:rPr>
              <w:t xml:space="preserve">Operations Center, </w:t>
            </w:r>
            <w:r w:rsidR="007F1DE1" w:rsidRPr="007F1DE1">
              <w:rPr>
                <w:rFonts w:ascii="Calibri" w:hAnsi="Calibri" w:cs="Calibri"/>
              </w:rPr>
              <w:t xml:space="preserve">the </w:t>
            </w:r>
            <w:r w:rsidRPr="007F1DE1">
              <w:rPr>
                <w:rFonts w:ascii="Calibri" w:hAnsi="Calibri" w:cs="Calibri"/>
              </w:rPr>
              <w:t>DirectServe Center, and the newly acquired mortgage company,</w:t>
            </w:r>
            <w:r w:rsidR="007F1DE1" w:rsidRPr="007F1DE1">
              <w:rPr>
                <w:rFonts w:ascii="Calibri" w:hAnsi="Calibri" w:cs="Calibri"/>
              </w:rPr>
              <w:t xml:space="preserve"> </w:t>
            </w:r>
            <w:r w:rsidRPr="007F1DE1">
              <w:rPr>
                <w:rFonts w:ascii="Calibri" w:hAnsi="Calibri" w:cs="Calibri"/>
              </w:rPr>
              <w:t xml:space="preserve">including how their input is collected during </w:t>
            </w:r>
            <w:r w:rsidR="007F1DE1" w:rsidRPr="007F1DE1">
              <w:rPr>
                <w:rFonts w:ascii="Calibri" w:hAnsi="Calibri" w:cs="Calibri"/>
              </w:rPr>
              <w:t>s</w:t>
            </w:r>
            <w:r w:rsidRPr="007F1DE1">
              <w:rPr>
                <w:rFonts w:ascii="Calibri" w:hAnsi="Calibri" w:cs="Calibri"/>
              </w:rPr>
              <w:t>tep 1</w:t>
            </w:r>
            <w:r w:rsidR="007F1DE1" w:rsidRPr="007F1DE1">
              <w:rPr>
                <w:rFonts w:ascii="Calibri" w:hAnsi="Calibri" w:cs="Calibri"/>
              </w:rPr>
              <w:t xml:space="preserve"> (“</w:t>
            </w:r>
            <w:r w:rsidRPr="007F1DE1">
              <w:rPr>
                <w:rFonts w:ascii="Calibri" w:hAnsi="Calibri" w:cs="Calibri"/>
              </w:rPr>
              <w:t>Assess risk</w:t>
            </w:r>
            <w:r w:rsidR="007F1DE1" w:rsidRPr="007F1DE1">
              <w:rPr>
                <w:rFonts w:ascii="Calibri" w:hAnsi="Calibri" w:cs="Calibri"/>
              </w:rPr>
              <w:t>”)</w:t>
            </w:r>
            <w:r w:rsidRPr="007F1DE1">
              <w:rPr>
                <w:rFonts w:ascii="Calibri" w:hAnsi="Calibri" w:cs="Calibri"/>
              </w:rPr>
              <w:t>. A systematic approach to</w:t>
            </w:r>
            <w:r w:rsidR="007F1DE1" w:rsidRPr="007F1DE1">
              <w:rPr>
                <w:rFonts w:ascii="Calibri" w:hAnsi="Calibri" w:cs="Calibri"/>
              </w:rPr>
              <w:t xml:space="preserve"> </w:t>
            </w:r>
            <w:r w:rsidRPr="007F1DE1">
              <w:rPr>
                <w:rFonts w:ascii="Calibri" w:hAnsi="Calibri" w:cs="Calibri"/>
              </w:rPr>
              <w:t xml:space="preserve">determine and deploy emergency requirements may enable </w:t>
            </w:r>
            <w:r w:rsidR="007F1DE1" w:rsidRPr="007F1DE1">
              <w:rPr>
                <w:rFonts w:ascii="Calibri" w:hAnsi="Calibri" w:cs="Calibri"/>
              </w:rPr>
              <w:t>the applicant</w:t>
            </w:r>
            <w:r w:rsidRPr="007F1DE1">
              <w:rPr>
                <w:rFonts w:ascii="Calibri" w:hAnsi="Calibri" w:cs="Calibri"/>
              </w:rPr>
              <w:t xml:space="preserve"> to better recover from</w:t>
            </w:r>
            <w:r w:rsidR="007F1DE1" w:rsidRPr="007F1DE1">
              <w:rPr>
                <w:rFonts w:ascii="Calibri" w:hAnsi="Calibri" w:cs="Calibri"/>
              </w:rPr>
              <w:t xml:space="preserve"> </w:t>
            </w:r>
            <w:r w:rsidRPr="007F1DE1">
              <w:rPr>
                <w:rFonts w:ascii="Calibri" w:hAnsi="Calibri" w:cs="Calibri"/>
              </w:rPr>
              <w:t>emergencies.</w:t>
            </w:r>
          </w:p>
        </w:tc>
        <w:tc>
          <w:tcPr>
            <w:tcW w:w="918" w:type="dxa"/>
          </w:tcPr>
          <w:p w:rsidR="00394BEE" w:rsidRPr="003B1C88" w:rsidRDefault="00394BEE" w:rsidP="007601B9">
            <w:pPr>
              <w:autoSpaceDE w:val="0"/>
              <w:autoSpaceDN w:val="0"/>
              <w:adjustRightInd w:val="0"/>
              <w:jc w:val="center"/>
              <w:rPr>
                <w:rFonts w:cs="Times New Roman"/>
              </w:rPr>
            </w:pPr>
          </w:p>
          <w:p w:rsidR="00394BEE" w:rsidRPr="003B1C88" w:rsidRDefault="00394BEE" w:rsidP="007601B9">
            <w:pPr>
              <w:autoSpaceDE w:val="0"/>
              <w:autoSpaceDN w:val="0"/>
              <w:adjustRightInd w:val="0"/>
              <w:jc w:val="center"/>
              <w:rPr>
                <w:rFonts w:cs="Times New Roman"/>
              </w:rPr>
            </w:pPr>
          </w:p>
          <w:p w:rsidR="00394BEE" w:rsidRPr="003B1C88" w:rsidRDefault="007F1DE1" w:rsidP="007601B9">
            <w:pPr>
              <w:autoSpaceDE w:val="0"/>
              <w:autoSpaceDN w:val="0"/>
              <w:adjustRightInd w:val="0"/>
              <w:jc w:val="center"/>
              <w:rPr>
                <w:rFonts w:cs="Times New Roman"/>
              </w:rPr>
            </w:pPr>
            <w:r>
              <w:rPr>
                <w:rFonts w:cs="Times New Roman"/>
              </w:rPr>
              <w:t>c</w:t>
            </w:r>
            <w:r w:rsidR="00394BEE" w:rsidRPr="003B1C88">
              <w:rPr>
                <w:rFonts w:cs="Times New Roman"/>
              </w:rPr>
              <w:t>(</w:t>
            </w:r>
            <w:r>
              <w:rPr>
                <w:rFonts w:cs="Times New Roman"/>
              </w:rPr>
              <w:t>2</w:t>
            </w:r>
            <w:r w:rsidR="00394BEE" w:rsidRPr="003B1C88">
              <w:rPr>
                <w:rFonts w:cs="Times New Roman"/>
              </w:rPr>
              <w:t>)</w:t>
            </w:r>
          </w:p>
          <w:p w:rsidR="00394BEE" w:rsidRPr="003B1C88" w:rsidRDefault="00394BEE" w:rsidP="007601B9">
            <w:pPr>
              <w:autoSpaceDE w:val="0"/>
              <w:autoSpaceDN w:val="0"/>
              <w:adjustRightInd w:val="0"/>
              <w:jc w:val="center"/>
              <w:rPr>
                <w:rFonts w:cs="Times New Roman"/>
              </w:rPr>
            </w:pPr>
          </w:p>
        </w:tc>
      </w:tr>
    </w:tbl>
    <w:p w:rsidR="00394BEE" w:rsidRPr="003B1C88" w:rsidRDefault="00394BEE" w:rsidP="00394BEE">
      <w:pPr>
        <w:autoSpaceDE w:val="0"/>
        <w:autoSpaceDN w:val="0"/>
        <w:adjustRightInd w:val="0"/>
        <w:spacing w:after="0" w:line="240" w:lineRule="auto"/>
        <w:rPr>
          <w:rFonts w:cs="Times New Roman"/>
        </w:rPr>
      </w:pPr>
    </w:p>
    <w:p w:rsidR="00CB16E5" w:rsidRPr="003B1C88" w:rsidRDefault="00CB16E5" w:rsidP="00DA3992">
      <w:pPr>
        <w:autoSpaceDE w:val="0"/>
        <w:autoSpaceDN w:val="0"/>
        <w:adjustRightInd w:val="0"/>
        <w:spacing w:after="0" w:line="240" w:lineRule="auto"/>
        <w:rPr>
          <w:rFonts w:cs="Times New Roman"/>
          <w:b/>
          <w:bCs/>
        </w:rPr>
      </w:pPr>
    </w:p>
    <w:p w:rsidR="00DA3992" w:rsidRPr="003B1C88" w:rsidRDefault="003B1C88" w:rsidP="00DA3992">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lastRenderedPageBreak/>
        <w:t xml:space="preserve">Sample </w:t>
      </w:r>
      <w:r w:rsidR="00DA3992" w:rsidRPr="003B1C88">
        <w:rPr>
          <w:rFonts w:ascii="Calibri-Bold" w:hAnsi="Calibri-Bold" w:cs="Calibri-Bold"/>
          <w:b/>
          <w:bCs/>
          <w:sz w:val="32"/>
          <w:szCs w:val="32"/>
        </w:rPr>
        <w:t>Results Strength</w:t>
      </w:r>
      <w:r>
        <w:rPr>
          <w:rFonts w:ascii="Calibri-Bold" w:hAnsi="Calibri-Bold" w:cs="Calibri-Bold"/>
          <w:b/>
          <w:bCs/>
          <w:sz w:val="32"/>
          <w:szCs w:val="32"/>
        </w:rPr>
        <w:t xml:space="preserve"> Comment</w:t>
      </w:r>
      <w:r w:rsidR="00DA3992" w:rsidRPr="003B1C88">
        <w:rPr>
          <w:rFonts w:ascii="Calibri-Bold" w:hAnsi="Calibri-Bold" w:cs="Calibri-Bold"/>
          <w:b/>
          <w:bCs/>
          <w:sz w:val="32"/>
          <w:szCs w:val="32"/>
        </w:rPr>
        <w:t>s</w:t>
      </w:r>
    </w:p>
    <w:p w:rsidR="00700BFB" w:rsidRPr="003B1C88" w:rsidRDefault="00700BFB" w:rsidP="00DA3992">
      <w:pPr>
        <w:autoSpaceDE w:val="0"/>
        <w:autoSpaceDN w:val="0"/>
        <w:adjustRightInd w:val="0"/>
        <w:spacing w:after="0" w:line="240" w:lineRule="auto"/>
        <w:rPr>
          <w:rFonts w:cs="Times New Roman"/>
        </w:rPr>
      </w:pPr>
    </w:p>
    <w:p w:rsidR="00CB16E5" w:rsidRPr="003B1C88" w:rsidRDefault="00CB16E5" w:rsidP="00CB16E5">
      <w:pPr>
        <w:autoSpaceDE w:val="0"/>
        <w:autoSpaceDN w:val="0"/>
        <w:adjustRightInd w:val="0"/>
        <w:spacing w:after="0" w:line="240" w:lineRule="auto"/>
        <w:rPr>
          <w:rFonts w:cs="Times New Roman"/>
        </w:rPr>
      </w:pPr>
      <w:r w:rsidRPr="003B1C88">
        <w:rPr>
          <w:rFonts w:cs="Times New Roman"/>
        </w:rPr>
        <w:t>7.1</w:t>
      </w:r>
    </w:p>
    <w:tbl>
      <w:tblPr>
        <w:tblStyle w:val="TableGrid"/>
        <w:tblW w:w="0" w:type="auto"/>
        <w:tblLook w:val="0600" w:firstRow="0" w:lastRow="0" w:firstColumn="0" w:lastColumn="0" w:noHBand="1" w:noVBand="1"/>
      </w:tblPr>
      <w:tblGrid>
        <w:gridCol w:w="8658"/>
        <w:gridCol w:w="918"/>
      </w:tblGrid>
      <w:tr w:rsidR="00CB16E5" w:rsidRPr="003B1C88" w:rsidTr="007601B9">
        <w:trPr>
          <w:trHeight w:val="1305"/>
        </w:trPr>
        <w:tc>
          <w:tcPr>
            <w:tcW w:w="8658" w:type="dxa"/>
          </w:tcPr>
          <w:p w:rsidR="00CB16E5" w:rsidRPr="003B1C88" w:rsidRDefault="00CB16E5" w:rsidP="00CB16E5">
            <w:pPr>
              <w:autoSpaceDE w:val="0"/>
              <w:autoSpaceDN w:val="0"/>
              <w:adjustRightInd w:val="0"/>
              <w:rPr>
                <w:rFonts w:cs="Times New Roman"/>
              </w:rPr>
            </w:pPr>
            <w:r w:rsidRPr="003B1C88">
              <w:rPr>
                <w:rFonts w:cs="Times New Roman"/>
              </w:rPr>
              <w:t>Results from the ERP Audit of Practice Drill Activities (Figure 7.1-18) that show</w:t>
            </w:r>
          </w:p>
          <w:p w:rsidR="00CB16E5" w:rsidRPr="003B1C88" w:rsidRDefault="00CB16E5" w:rsidP="00CB16E5">
            <w:pPr>
              <w:autoSpaceDE w:val="0"/>
              <w:autoSpaceDN w:val="0"/>
              <w:adjustRightInd w:val="0"/>
              <w:rPr>
                <w:rFonts w:cs="Times New Roman"/>
              </w:rPr>
            </w:pPr>
            <w:r w:rsidRPr="003B1C88">
              <w:rPr>
                <w:rFonts w:cs="Times New Roman"/>
              </w:rPr>
              <w:t>consistent improvement support the applicant’s core competency of agility, particularly its ability to make decisions quickly. Results improved over the period shown in all ten areas, including practice drill outcomes, training of associates, and follow-up resulting from reviews.</w:t>
            </w:r>
          </w:p>
        </w:tc>
        <w:tc>
          <w:tcPr>
            <w:tcW w:w="918" w:type="dxa"/>
          </w:tcPr>
          <w:p w:rsidR="00CB16E5" w:rsidRPr="003B1C88" w:rsidRDefault="00CB16E5" w:rsidP="007601B9">
            <w:pPr>
              <w:autoSpaceDE w:val="0"/>
              <w:autoSpaceDN w:val="0"/>
              <w:adjustRightInd w:val="0"/>
              <w:jc w:val="center"/>
              <w:rPr>
                <w:rFonts w:cs="Times New Roman"/>
              </w:rPr>
            </w:pPr>
          </w:p>
          <w:p w:rsidR="00CB16E5" w:rsidRPr="003B1C88" w:rsidRDefault="00CB16E5" w:rsidP="007601B9">
            <w:pPr>
              <w:autoSpaceDE w:val="0"/>
              <w:autoSpaceDN w:val="0"/>
              <w:adjustRightInd w:val="0"/>
              <w:jc w:val="center"/>
              <w:rPr>
                <w:rFonts w:cs="Times New Roman"/>
              </w:rPr>
            </w:pPr>
          </w:p>
          <w:p w:rsidR="00CB16E5" w:rsidRPr="003B1C88" w:rsidRDefault="00CB16E5" w:rsidP="007601B9">
            <w:pPr>
              <w:autoSpaceDE w:val="0"/>
              <w:autoSpaceDN w:val="0"/>
              <w:adjustRightInd w:val="0"/>
              <w:jc w:val="center"/>
              <w:rPr>
                <w:rFonts w:cs="Times New Roman"/>
              </w:rPr>
            </w:pPr>
            <w:r w:rsidRPr="003B1C88">
              <w:rPr>
                <w:rFonts w:cs="Times New Roman"/>
              </w:rPr>
              <w:t>b(2)</w:t>
            </w:r>
          </w:p>
          <w:p w:rsidR="00CB16E5" w:rsidRPr="003B1C88" w:rsidRDefault="00CB16E5" w:rsidP="007601B9">
            <w:pPr>
              <w:autoSpaceDE w:val="0"/>
              <w:autoSpaceDN w:val="0"/>
              <w:adjustRightInd w:val="0"/>
              <w:jc w:val="center"/>
              <w:rPr>
                <w:rFonts w:cs="Times New Roman"/>
              </w:rPr>
            </w:pPr>
          </w:p>
        </w:tc>
      </w:tr>
    </w:tbl>
    <w:p w:rsidR="00CB16E5" w:rsidRPr="003B1C88" w:rsidRDefault="00CB16E5" w:rsidP="00CB16E5">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7.2</w:t>
      </w:r>
    </w:p>
    <w:tbl>
      <w:tblPr>
        <w:tblStyle w:val="TableGrid"/>
        <w:tblW w:w="0" w:type="auto"/>
        <w:tblLook w:val="0600" w:firstRow="0" w:lastRow="0" w:firstColumn="0" w:lastColumn="0" w:noHBand="1" w:noVBand="1"/>
      </w:tblPr>
      <w:tblGrid>
        <w:gridCol w:w="8658"/>
        <w:gridCol w:w="918"/>
      </w:tblGrid>
      <w:tr w:rsidR="00B01DC6" w:rsidRPr="003B1C88" w:rsidTr="007601B9">
        <w:trPr>
          <w:trHeight w:val="1305"/>
        </w:trPr>
        <w:tc>
          <w:tcPr>
            <w:tcW w:w="8658" w:type="dxa"/>
          </w:tcPr>
          <w:p w:rsidR="00700BFB" w:rsidRPr="003B1C88" w:rsidRDefault="00700BFB" w:rsidP="00700BFB">
            <w:pPr>
              <w:autoSpaceDE w:val="0"/>
              <w:autoSpaceDN w:val="0"/>
              <w:adjustRightInd w:val="0"/>
              <w:rPr>
                <w:rFonts w:cs="Times New Roman"/>
              </w:rPr>
            </w:pPr>
            <w:r w:rsidRPr="003B1C88">
              <w:rPr>
                <w:rFonts w:cs="Times New Roman"/>
              </w:rPr>
              <w:t>Several results reflect the applicant’s focus on customer satisfaction and loyalty. The</w:t>
            </w:r>
          </w:p>
          <w:p w:rsidR="00700BFB" w:rsidRPr="003B1C88" w:rsidRDefault="00700BFB" w:rsidP="00700BFB">
            <w:pPr>
              <w:autoSpaceDE w:val="0"/>
              <w:autoSpaceDN w:val="0"/>
              <w:adjustRightInd w:val="0"/>
              <w:rPr>
                <w:rFonts w:cs="Times New Roman"/>
              </w:rPr>
            </w:pPr>
            <w:r w:rsidRPr="003B1C88">
              <w:rPr>
                <w:rFonts w:cs="Times New Roman"/>
              </w:rPr>
              <w:t>number of products per household (a key reflection of customer engagement and</w:t>
            </w:r>
          </w:p>
          <w:p w:rsidR="00700BFB" w:rsidRPr="003B1C88" w:rsidRDefault="00700BFB" w:rsidP="00700BFB">
            <w:pPr>
              <w:autoSpaceDE w:val="0"/>
              <w:autoSpaceDN w:val="0"/>
              <w:adjustRightInd w:val="0"/>
              <w:rPr>
                <w:rFonts w:cs="Times New Roman"/>
              </w:rPr>
            </w:pPr>
            <w:r w:rsidRPr="003B1C88">
              <w:rPr>
                <w:rFonts w:cs="Times New Roman"/>
              </w:rPr>
              <w:t>progress toward gaining a dominant “share of the wallet") has increased 25% since</w:t>
            </w:r>
          </w:p>
          <w:p w:rsidR="00700BFB" w:rsidRPr="003B1C88" w:rsidRDefault="007601B9" w:rsidP="00700BFB">
            <w:pPr>
              <w:autoSpaceDE w:val="0"/>
              <w:autoSpaceDN w:val="0"/>
              <w:adjustRightInd w:val="0"/>
              <w:rPr>
                <w:rFonts w:cs="Times New Roman"/>
              </w:rPr>
            </w:pPr>
            <w:r>
              <w:rPr>
                <w:rFonts w:cs="Times New Roman"/>
              </w:rPr>
              <w:t>2000</w:t>
            </w:r>
            <w:r w:rsidR="00700BFB" w:rsidRPr="003B1C88">
              <w:rPr>
                <w:rFonts w:cs="Times New Roman"/>
              </w:rPr>
              <w:t xml:space="preserve"> (</w:t>
            </w:r>
            <w:proofErr w:type="gramStart"/>
            <w:r w:rsidR="00700BFB" w:rsidRPr="003B1C88">
              <w:rPr>
                <w:rFonts w:cs="Times New Roman"/>
              </w:rPr>
              <w:t>7.2a[</w:t>
            </w:r>
            <w:proofErr w:type="gramEnd"/>
            <w:r w:rsidR="00700BFB" w:rsidRPr="003B1C88">
              <w:rPr>
                <w:rFonts w:cs="Times New Roman"/>
              </w:rPr>
              <w:t>2]). In addition, from 2009 through second quarter 2010, the organization</w:t>
            </w:r>
          </w:p>
          <w:p w:rsidR="00B01DC6" w:rsidRPr="003B1C88" w:rsidRDefault="00700BFB" w:rsidP="00700BFB">
            <w:pPr>
              <w:autoSpaceDE w:val="0"/>
              <w:autoSpaceDN w:val="0"/>
              <w:adjustRightInd w:val="0"/>
              <w:rPr>
                <w:rFonts w:cs="Times New Roman"/>
              </w:rPr>
            </w:pPr>
            <w:r w:rsidRPr="003B1C88">
              <w:rPr>
                <w:rFonts w:cs="Times New Roman"/>
              </w:rPr>
              <w:t>exceeded the benchmark for overall customer engagement (Figure 7.2-14).</w:t>
            </w:r>
          </w:p>
        </w:tc>
        <w:tc>
          <w:tcPr>
            <w:tcW w:w="918" w:type="dxa"/>
          </w:tcPr>
          <w:p w:rsidR="00B01DC6" w:rsidRPr="003B1C88" w:rsidRDefault="00B01DC6" w:rsidP="007601B9">
            <w:pPr>
              <w:autoSpaceDE w:val="0"/>
              <w:autoSpaceDN w:val="0"/>
              <w:adjustRightInd w:val="0"/>
              <w:jc w:val="center"/>
              <w:rPr>
                <w:rFonts w:cs="Times New Roman"/>
              </w:rPr>
            </w:pPr>
          </w:p>
          <w:p w:rsidR="00B01DC6" w:rsidRPr="003B1C88" w:rsidRDefault="00B01DC6" w:rsidP="007601B9">
            <w:pPr>
              <w:autoSpaceDE w:val="0"/>
              <w:autoSpaceDN w:val="0"/>
              <w:adjustRightInd w:val="0"/>
              <w:jc w:val="center"/>
              <w:rPr>
                <w:rFonts w:cs="Times New Roman"/>
              </w:rPr>
            </w:pPr>
          </w:p>
          <w:p w:rsidR="00B01DC6" w:rsidRPr="003B1C88" w:rsidRDefault="00700BFB" w:rsidP="007601B9">
            <w:pPr>
              <w:autoSpaceDE w:val="0"/>
              <w:autoSpaceDN w:val="0"/>
              <w:adjustRightInd w:val="0"/>
              <w:jc w:val="center"/>
              <w:rPr>
                <w:rFonts w:cs="Times New Roman"/>
              </w:rPr>
            </w:pPr>
            <w:r w:rsidRPr="003B1C88">
              <w:rPr>
                <w:rFonts w:cs="Times New Roman"/>
              </w:rPr>
              <w:t>a</w:t>
            </w:r>
            <w:r w:rsidR="00B01DC6" w:rsidRPr="003B1C88">
              <w:rPr>
                <w:rFonts w:cs="Times New Roman"/>
              </w:rPr>
              <w:t>(</w:t>
            </w:r>
            <w:r w:rsidRPr="003B1C88">
              <w:rPr>
                <w:rFonts w:cs="Times New Roman"/>
              </w:rPr>
              <w:t>2</w:t>
            </w:r>
            <w:r w:rsidR="00B01DC6" w:rsidRPr="003B1C88">
              <w:rPr>
                <w:rFonts w:cs="Times New Roman"/>
              </w:rPr>
              <w:t>)</w:t>
            </w:r>
          </w:p>
          <w:p w:rsidR="00B01DC6" w:rsidRPr="003B1C88" w:rsidRDefault="00B01DC6" w:rsidP="007601B9">
            <w:pPr>
              <w:autoSpaceDE w:val="0"/>
              <w:autoSpaceDN w:val="0"/>
              <w:adjustRightInd w:val="0"/>
              <w:jc w:val="center"/>
              <w:rPr>
                <w:rFonts w:cs="Times New Roman"/>
              </w:rPr>
            </w:pPr>
          </w:p>
        </w:tc>
      </w:tr>
    </w:tbl>
    <w:p w:rsidR="00700BFB" w:rsidRPr="003B1C88" w:rsidRDefault="00700BFB"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7.3</w:t>
      </w:r>
    </w:p>
    <w:tbl>
      <w:tblPr>
        <w:tblStyle w:val="TableGrid"/>
        <w:tblW w:w="0" w:type="auto"/>
        <w:tblLook w:val="0600" w:firstRow="0" w:lastRow="0" w:firstColumn="0" w:lastColumn="0" w:noHBand="1" w:noVBand="1"/>
      </w:tblPr>
      <w:tblGrid>
        <w:gridCol w:w="8658"/>
        <w:gridCol w:w="918"/>
      </w:tblGrid>
      <w:tr w:rsidR="00B01DC6" w:rsidRPr="003B1C88" w:rsidTr="007601B9">
        <w:trPr>
          <w:trHeight w:val="1305"/>
        </w:trPr>
        <w:tc>
          <w:tcPr>
            <w:tcW w:w="8658" w:type="dxa"/>
          </w:tcPr>
          <w:p w:rsidR="00700BFB" w:rsidRPr="003B1C88" w:rsidRDefault="00700BFB" w:rsidP="00700BFB">
            <w:pPr>
              <w:autoSpaceDE w:val="0"/>
              <w:autoSpaceDN w:val="0"/>
              <w:adjustRightInd w:val="0"/>
              <w:rPr>
                <w:rFonts w:cs="Times New Roman"/>
              </w:rPr>
            </w:pPr>
            <w:r w:rsidRPr="003B1C88">
              <w:rPr>
                <w:rFonts w:cs="Times New Roman"/>
              </w:rPr>
              <w:t>Several survey results indicate that the applicant is maintaining its loyal and stable</w:t>
            </w:r>
          </w:p>
          <w:p w:rsidR="00700BFB" w:rsidRPr="003B1C88" w:rsidRDefault="00700BFB" w:rsidP="00700BFB">
            <w:pPr>
              <w:autoSpaceDE w:val="0"/>
              <w:autoSpaceDN w:val="0"/>
              <w:adjustRightInd w:val="0"/>
              <w:rPr>
                <w:rFonts w:cs="Times New Roman"/>
              </w:rPr>
            </w:pPr>
            <w:r w:rsidRPr="003B1C88">
              <w:rPr>
                <w:rFonts w:cs="Times New Roman"/>
              </w:rPr>
              <w:t>workforce. The percentage of associates assigning a 4 or 5 rating (out of 5) for overall</w:t>
            </w:r>
          </w:p>
          <w:p w:rsidR="00700BFB" w:rsidRPr="003B1C88" w:rsidRDefault="00700BFB" w:rsidP="00700BFB">
            <w:pPr>
              <w:autoSpaceDE w:val="0"/>
              <w:autoSpaceDN w:val="0"/>
              <w:adjustRightInd w:val="0"/>
              <w:rPr>
                <w:rFonts w:cs="Times New Roman"/>
              </w:rPr>
            </w:pPr>
            <w:r w:rsidRPr="003B1C88">
              <w:rPr>
                <w:rFonts w:cs="Times New Roman"/>
              </w:rPr>
              <w:t>satisfaction (Figure 7.3-1) steadily increased over four years, surpassing the 75th</w:t>
            </w:r>
          </w:p>
          <w:p w:rsidR="00B01DC6" w:rsidRPr="003B1C88" w:rsidRDefault="00700BFB" w:rsidP="007601B9">
            <w:pPr>
              <w:autoSpaceDE w:val="0"/>
              <w:autoSpaceDN w:val="0"/>
              <w:adjustRightInd w:val="0"/>
              <w:rPr>
                <w:rFonts w:cs="Times New Roman"/>
              </w:rPr>
            </w:pPr>
            <w:proofErr w:type="gramStart"/>
            <w:r w:rsidRPr="003B1C88">
              <w:rPr>
                <w:rFonts w:cs="Times New Roman"/>
              </w:rPr>
              <w:t>percentile</w:t>
            </w:r>
            <w:proofErr w:type="gramEnd"/>
            <w:r w:rsidRPr="003B1C88">
              <w:rPr>
                <w:rFonts w:cs="Times New Roman"/>
              </w:rPr>
              <w:t xml:space="preserve"> benchmark each year, with similar increases for willingness to refer a friend (Figure 7.3-2). Also, </w:t>
            </w:r>
            <w:r w:rsidRPr="003B1C88">
              <w:rPr>
                <w:rFonts w:cs="Times New Roman"/>
                <w:i/>
                <w:iCs/>
              </w:rPr>
              <w:t xml:space="preserve">Financial Pulse Magazine </w:t>
            </w:r>
            <w:r w:rsidRPr="003B1C88">
              <w:rPr>
                <w:rFonts w:cs="Times New Roman"/>
              </w:rPr>
              <w:t>rates the</w:t>
            </w:r>
            <w:r w:rsidR="007601B9">
              <w:rPr>
                <w:rFonts w:cs="Times New Roman"/>
              </w:rPr>
              <w:t xml:space="preserve"> </w:t>
            </w:r>
            <w:r w:rsidRPr="003B1C88">
              <w:rPr>
                <w:rFonts w:cs="Times New Roman"/>
              </w:rPr>
              <w:t xml:space="preserve">applicant 23rd among best </w:t>
            </w:r>
            <w:r w:rsidR="007601B9">
              <w:rPr>
                <w:rFonts w:cs="Times New Roman"/>
              </w:rPr>
              <w:t xml:space="preserve">places to work in the </w:t>
            </w:r>
            <w:r w:rsidRPr="003B1C88">
              <w:rPr>
                <w:rFonts w:cs="Times New Roman"/>
              </w:rPr>
              <w:t>banking</w:t>
            </w:r>
            <w:r w:rsidR="007601B9">
              <w:rPr>
                <w:rFonts w:cs="Times New Roman"/>
              </w:rPr>
              <w:t xml:space="preserve"> </w:t>
            </w:r>
            <w:r w:rsidRPr="003B1C88">
              <w:rPr>
                <w:rFonts w:cs="Times New Roman"/>
              </w:rPr>
              <w:t>sector.</w:t>
            </w:r>
          </w:p>
        </w:tc>
        <w:tc>
          <w:tcPr>
            <w:tcW w:w="918" w:type="dxa"/>
          </w:tcPr>
          <w:p w:rsidR="00B01DC6" w:rsidRPr="003B1C88" w:rsidRDefault="00B01DC6" w:rsidP="007601B9">
            <w:pPr>
              <w:autoSpaceDE w:val="0"/>
              <w:autoSpaceDN w:val="0"/>
              <w:adjustRightInd w:val="0"/>
              <w:jc w:val="center"/>
              <w:rPr>
                <w:rFonts w:cs="Times New Roman"/>
              </w:rPr>
            </w:pPr>
          </w:p>
          <w:p w:rsidR="00B01DC6" w:rsidRPr="003B1C88" w:rsidRDefault="00B01DC6" w:rsidP="007601B9">
            <w:pPr>
              <w:autoSpaceDE w:val="0"/>
              <w:autoSpaceDN w:val="0"/>
              <w:adjustRightInd w:val="0"/>
              <w:jc w:val="center"/>
              <w:rPr>
                <w:rFonts w:cs="Times New Roman"/>
              </w:rPr>
            </w:pPr>
          </w:p>
          <w:p w:rsidR="00B01DC6" w:rsidRPr="003B1C88" w:rsidRDefault="00700BFB" w:rsidP="007601B9">
            <w:pPr>
              <w:autoSpaceDE w:val="0"/>
              <w:autoSpaceDN w:val="0"/>
              <w:adjustRightInd w:val="0"/>
              <w:jc w:val="center"/>
              <w:rPr>
                <w:rFonts w:cs="Times New Roman"/>
              </w:rPr>
            </w:pPr>
            <w:r w:rsidRPr="003B1C88">
              <w:rPr>
                <w:rFonts w:cs="Times New Roman"/>
              </w:rPr>
              <w:t>a</w:t>
            </w:r>
            <w:r w:rsidR="00B01DC6" w:rsidRPr="003B1C88">
              <w:rPr>
                <w:rFonts w:cs="Times New Roman"/>
              </w:rPr>
              <w:t>(</w:t>
            </w:r>
            <w:r w:rsidRPr="003B1C88">
              <w:rPr>
                <w:rFonts w:cs="Times New Roman"/>
              </w:rPr>
              <w:t>3</w:t>
            </w:r>
            <w:r w:rsidR="00B01DC6" w:rsidRPr="003B1C88">
              <w:rPr>
                <w:rFonts w:cs="Times New Roman"/>
              </w:rPr>
              <w:t>)</w:t>
            </w:r>
          </w:p>
          <w:p w:rsidR="00B01DC6" w:rsidRPr="003B1C88" w:rsidRDefault="00B01DC6" w:rsidP="007601B9">
            <w:pPr>
              <w:autoSpaceDE w:val="0"/>
              <w:autoSpaceDN w:val="0"/>
              <w:adjustRightInd w:val="0"/>
              <w:jc w:val="center"/>
              <w:rPr>
                <w:rFonts w:cs="Times New Roman"/>
              </w:rPr>
            </w:pPr>
          </w:p>
        </w:tc>
      </w:tr>
    </w:tbl>
    <w:p w:rsidR="00700BFB" w:rsidRPr="003B1C88" w:rsidRDefault="00700BFB" w:rsidP="00DA3992">
      <w:pPr>
        <w:autoSpaceDE w:val="0"/>
        <w:autoSpaceDN w:val="0"/>
        <w:adjustRightInd w:val="0"/>
        <w:spacing w:after="0" w:line="240" w:lineRule="auto"/>
        <w:rPr>
          <w:rFonts w:cs="Times New Roman"/>
        </w:rPr>
      </w:pPr>
    </w:p>
    <w:p w:rsidR="00317657" w:rsidRPr="003B1C88" w:rsidRDefault="00317657" w:rsidP="00317657">
      <w:pPr>
        <w:autoSpaceDE w:val="0"/>
        <w:autoSpaceDN w:val="0"/>
        <w:adjustRightInd w:val="0"/>
        <w:spacing w:after="0" w:line="240" w:lineRule="auto"/>
        <w:rPr>
          <w:rFonts w:cs="Times New Roman"/>
        </w:rPr>
      </w:pPr>
      <w:r w:rsidRPr="003B1C88">
        <w:rPr>
          <w:rFonts w:cs="Times New Roman"/>
        </w:rPr>
        <w:t>7.4</w:t>
      </w:r>
    </w:p>
    <w:tbl>
      <w:tblPr>
        <w:tblStyle w:val="TableGrid"/>
        <w:tblW w:w="0" w:type="auto"/>
        <w:tblLook w:val="0600" w:firstRow="0" w:lastRow="0" w:firstColumn="0" w:lastColumn="0" w:noHBand="1" w:noVBand="1"/>
      </w:tblPr>
      <w:tblGrid>
        <w:gridCol w:w="8658"/>
        <w:gridCol w:w="918"/>
      </w:tblGrid>
      <w:tr w:rsidR="00317657" w:rsidRPr="003B1C88" w:rsidTr="007601B9">
        <w:trPr>
          <w:trHeight w:val="1305"/>
        </w:trPr>
        <w:tc>
          <w:tcPr>
            <w:tcW w:w="8658" w:type="dxa"/>
          </w:tcPr>
          <w:p w:rsidR="00317657" w:rsidRPr="003B1C88" w:rsidRDefault="00317657" w:rsidP="007601B9">
            <w:pPr>
              <w:autoSpaceDE w:val="0"/>
              <w:autoSpaceDN w:val="0"/>
              <w:adjustRightInd w:val="0"/>
              <w:rPr>
                <w:rFonts w:cs="Times New Roman"/>
              </w:rPr>
            </w:pPr>
            <w:r w:rsidRPr="003B1C88">
              <w:rPr>
                <w:rFonts w:cs="Times New Roman"/>
              </w:rPr>
              <w:t>Sustained improvement in the percentage of strategic action plans accomplished, as</w:t>
            </w:r>
          </w:p>
          <w:p w:rsidR="00317657" w:rsidRPr="003B1C88" w:rsidRDefault="00317657" w:rsidP="007601B9">
            <w:pPr>
              <w:autoSpaceDE w:val="0"/>
              <w:autoSpaceDN w:val="0"/>
              <w:adjustRightInd w:val="0"/>
              <w:rPr>
                <w:rFonts w:cs="Times New Roman"/>
              </w:rPr>
            </w:pPr>
            <w:r w:rsidRPr="003B1C88">
              <w:rPr>
                <w:rFonts w:cs="Times New Roman"/>
              </w:rPr>
              <w:t>well as in the impact of the plans (Figure 7.1-19), illustrates the applicant’s improving</w:t>
            </w:r>
          </w:p>
          <w:p w:rsidR="00317657" w:rsidRPr="003B1C88" w:rsidRDefault="00317657" w:rsidP="007601B9">
            <w:pPr>
              <w:autoSpaceDE w:val="0"/>
              <w:autoSpaceDN w:val="0"/>
              <w:adjustRightInd w:val="0"/>
              <w:rPr>
                <w:rFonts w:cs="Times New Roman"/>
              </w:rPr>
            </w:pPr>
            <w:r w:rsidRPr="003B1C88">
              <w:rPr>
                <w:rFonts w:cs="Times New Roman"/>
              </w:rPr>
              <w:t>capability to meet its most important strategic objectives. These results equal or</w:t>
            </w:r>
          </w:p>
          <w:p w:rsidR="00317657" w:rsidRPr="003B1C88" w:rsidRDefault="00317657" w:rsidP="007E427E">
            <w:pPr>
              <w:autoSpaceDE w:val="0"/>
              <w:autoSpaceDN w:val="0"/>
              <w:adjustRightInd w:val="0"/>
              <w:rPr>
                <w:rFonts w:cs="Times New Roman"/>
              </w:rPr>
            </w:pPr>
            <w:proofErr w:type="gramStart"/>
            <w:r w:rsidRPr="003B1C88">
              <w:rPr>
                <w:rFonts w:cs="Times New Roman"/>
              </w:rPr>
              <w:t>surpass</w:t>
            </w:r>
            <w:proofErr w:type="gramEnd"/>
            <w:r w:rsidRPr="003B1C88">
              <w:rPr>
                <w:rFonts w:cs="Times New Roman"/>
              </w:rPr>
              <w:t xml:space="preserve"> those of the respective top-quartile comparisons.</w:t>
            </w:r>
          </w:p>
        </w:tc>
        <w:tc>
          <w:tcPr>
            <w:tcW w:w="918" w:type="dxa"/>
          </w:tcPr>
          <w:p w:rsidR="00317657" w:rsidRPr="003B1C88" w:rsidRDefault="00317657" w:rsidP="007601B9">
            <w:pPr>
              <w:autoSpaceDE w:val="0"/>
              <w:autoSpaceDN w:val="0"/>
              <w:adjustRightInd w:val="0"/>
              <w:jc w:val="center"/>
              <w:rPr>
                <w:rFonts w:cs="Times New Roman"/>
              </w:rPr>
            </w:pPr>
          </w:p>
          <w:p w:rsidR="00317657" w:rsidRPr="003B1C88" w:rsidRDefault="00317657" w:rsidP="007601B9">
            <w:pPr>
              <w:autoSpaceDE w:val="0"/>
              <w:autoSpaceDN w:val="0"/>
              <w:adjustRightInd w:val="0"/>
              <w:jc w:val="center"/>
              <w:rPr>
                <w:rFonts w:cs="Times New Roman"/>
              </w:rPr>
            </w:pPr>
          </w:p>
          <w:p w:rsidR="00317657" w:rsidRPr="003B1C88" w:rsidRDefault="00317657" w:rsidP="007601B9">
            <w:pPr>
              <w:autoSpaceDE w:val="0"/>
              <w:autoSpaceDN w:val="0"/>
              <w:adjustRightInd w:val="0"/>
              <w:jc w:val="center"/>
              <w:rPr>
                <w:rFonts w:cs="Times New Roman"/>
              </w:rPr>
            </w:pPr>
            <w:r w:rsidRPr="003B1C88">
              <w:rPr>
                <w:rFonts w:cs="Times New Roman"/>
              </w:rPr>
              <w:t>b</w:t>
            </w:r>
          </w:p>
          <w:p w:rsidR="00317657" w:rsidRPr="003B1C88" w:rsidRDefault="00317657" w:rsidP="007601B9">
            <w:pPr>
              <w:autoSpaceDE w:val="0"/>
              <w:autoSpaceDN w:val="0"/>
              <w:adjustRightInd w:val="0"/>
              <w:jc w:val="center"/>
              <w:rPr>
                <w:rFonts w:cs="Times New Roman"/>
              </w:rPr>
            </w:pPr>
          </w:p>
        </w:tc>
      </w:tr>
    </w:tbl>
    <w:p w:rsidR="00317657" w:rsidRPr="003B1C88" w:rsidRDefault="00317657"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7.5</w:t>
      </w:r>
    </w:p>
    <w:tbl>
      <w:tblPr>
        <w:tblStyle w:val="TableGrid"/>
        <w:tblW w:w="0" w:type="auto"/>
        <w:tblLook w:val="0600" w:firstRow="0" w:lastRow="0" w:firstColumn="0" w:lastColumn="0" w:noHBand="1" w:noVBand="1"/>
      </w:tblPr>
      <w:tblGrid>
        <w:gridCol w:w="8658"/>
        <w:gridCol w:w="918"/>
      </w:tblGrid>
      <w:tr w:rsidR="00B01DC6" w:rsidRPr="003B1C88" w:rsidTr="007601B9">
        <w:trPr>
          <w:trHeight w:val="1305"/>
        </w:trPr>
        <w:tc>
          <w:tcPr>
            <w:tcW w:w="8658" w:type="dxa"/>
          </w:tcPr>
          <w:p w:rsidR="00700BFB" w:rsidRPr="003B1C88" w:rsidRDefault="00700BFB" w:rsidP="00700BFB">
            <w:pPr>
              <w:autoSpaceDE w:val="0"/>
              <w:autoSpaceDN w:val="0"/>
              <w:adjustRightInd w:val="0"/>
              <w:rPr>
                <w:rFonts w:cs="Times New Roman"/>
              </w:rPr>
            </w:pPr>
            <w:r w:rsidRPr="003B1C88">
              <w:rPr>
                <w:rFonts w:cs="Times New Roman"/>
              </w:rPr>
              <w:t>Results for Return on Equity (ROE) illustrate the applicant’s ability to sustain its</w:t>
            </w:r>
          </w:p>
          <w:p w:rsidR="00700BFB" w:rsidRPr="003B1C88" w:rsidRDefault="00700BFB" w:rsidP="00700BFB">
            <w:pPr>
              <w:autoSpaceDE w:val="0"/>
              <w:autoSpaceDN w:val="0"/>
              <w:adjustRightInd w:val="0"/>
              <w:rPr>
                <w:rFonts w:cs="Times New Roman"/>
              </w:rPr>
            </w:pPr>
            <w:r w:rsidRPr="003B1C88">
              <w:rPr>
                <w:rFonts w:cs="Times New Roman"/>
              </w:rPr>
              <w:t>earnings performance relative to the industry. Overall ROE (Figure 7.5-1) exceeded the</w:t>
            </w:r>
          </w:p>
          <w:p w:rsidR="00B01DC6" w:rsidRPr="003B1C88" w:rsidRDefault="00700BFB" w:rsidP="007E427E">
            <w:pPr>
              <w:autoSpaceDE w:val="0"/>
              <w:autoSpaceDN w:val="0"/>
              <w:adjustRightInd w:val="0"/>
              <w:rPr>
                <w:rFonts w:cs="Times New Roman"/>
              </w:rPr>
            </w:pPr>
            <w:r w:rsidRPr="003B1C88">
              <w:rPr>
                <w:rFonts w:cs="Times New Roman"/>
              </w:rPr>
              <w:t>top-quartile comparisons during the period shown and is approaching the best comparison megabank, and ROE by Customer Group (Figure 7.5-2) is meeting or</w:t>
            </w:r>
            <w:r w:rsidR="007E427E">
              <w:rPr>
                <w:rFonts w:cs="Times New Roman"/>
              </w:rPr>
              <w:t xml:space="preserve"> </w:t>
            </w:r>
            <w:r w:rsidRPr="003B1C88">
              <w:rPr>
                <w:rFonts w:cs="Times New Roman"/>
              </w:rPr>
              <w:t>exceeding best-comparison benchmarks.</w:t>
            </w:r>
          </w:p>
        </w:tc>
        <w:tc>
          <w:tcPr>
            <w:tcW w:w="918" w:type="dxa"/>
          </w:tcPr>
          <w:p w:rsidR="00B01DC6" w:rsidRPr="003B1C88" w:rsidRDefault="00B01DC6" w:rsidP="007601B9">
            <w:pPr>
              <w:autoSpaceDE w:val="0"/>
              <w:autoSpaceDN w:val="0"/>
              <w:adjustRightInd w:val="0"/>
              <w:jc w:val="center"/>
              <w:rPr>
                <w:rFonts w:cs="Times New Roman"/>
              </w:rPr>
            </w:pPr>
          </w:p>
          <w:p w:rsidR="00B01DC6" w:rsidRPr="003B1C88" w:rsidRDefault="00B01DC6" w:rsidP="007601B9">
            <w:pPr>
              <w:autoSpaceDE w:val="0"/>
              <w:autoSpaceDN w:val="0"/>
              <w:adjustRightInd w:val="0"/>
              <w:jc w:val="center"/>
              <w:rPr>
                <w:rFonts w:cs="Times New Roman"/>
              </w:rPr>
            </w:pPr>
          </w:p>
          <w:p w:rsidR="00B01DC6" w:rsidRPr="003B1C88" w:rsidRDefault="00700BFB" w:rsidP="007601B9">
            <w:pPr>
              <w:autoSpaceDE w:val="0"/>
              <w:autoSpaceDN w:val="0"/>
              <w:adjustRightInd w:val="0"/>
              <w:jc w:val="center"/>
              <w:rPr>
                <w:rFonts w:cs="Times New Roman"/>
              </w:rPr>
            </w:pPr>
            <w:r w:rsidRPr="003B1C88">
              <w:rPr>
                <w:rFonts w:cs="Times New Roman"/>
              </w:rPr>
              <w:t>a</w:t>
            </w:r>
            <w:r w:rsidR="00B01DC6" w:rsidRPr="003B1C88">
              <w:rPr>
                <w:rFonts w:cs="Times New Roman"/>
              </w:rPr>
              <w:t>(1)</w:t>
            </w:r>
          </w:p>
          <w:p w:rsidR="00B01DC6" w:rsidRPr="003B1C88" w:rsidRDefault="00B01DC6" w:rsidP="007601B9">
            <w:pPr>
              <w:autoSpaceDE w:val="0"/>
              <w:autoSpaceDN w:val="0"/>
              <w:adjustRightInd w:val="0"/>
              <w:jc w:val="center"/>
              <w:rPr>
                <w:rFonts w:cs="Times New Roman"/>
              </w:rPr>
            </w:pPr>
          </w:p>
        </w:tc>
      </w:tr>
    </w:tbl>
    <w:p w:rsidR="00DA3992" w:rsidRPr="003B1C88" w:rsidRDefault="00DA3992" w:rsidP="00DA3992">
      <w:pPr>
        <w:autoSpaceDE w:val="0"/>
        <w:autoSpaceDN w:val="0"/>
        <w:adjustRightInd w:val="0"/>
        <w:spacing w:after="0" w:line="240" w:lineRule="auto"/>
        <w:rPr>
          <w:rFonts w:cs="Times New Roman"/>
        </w:rPr>
      </w:pPr>
    </w:p>
    <w:p w:rsidR="00B01DC6" w:rsidRPr="003B1C88" w:rsidRDefault="00B01DC6">
      <w:pPr>
        <w:rPr>
          <w:rFonts w:cs="Times New Roman"/>
          <w:b/>
          <w:bCs/>
        </w:rPr>
      </w:pPr>
      <w:r w:rsidRPr="003B1C88">
        <w:rPr>
          <w:rFonts w:cs="Times New Roman"/>
          <w:b/>
          <w:bCs/>
        </w:rPr>
        <w:br w:type="page"/>
      </w:r>
    </w:p>
    <w:p w:rsidR="00DA3992" w:rsidRPr="003B1C88" w:rsidRDefault="003B1C88" w:rsidP="00DA3992">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lastRenderedPageBreak/>
        <w:t xml:space="preserve">Sample </w:t>
      </w:r>
      <w:r w:rsidR="00DA3992" w:rsidRPr="003B1C88">
        <w:rPr>
          <w:rFonts w:ascii="Calibri-Bold" w:hAnsi="Calibri-Bold" w:cs="Calibri-Bold"/>
          <w:b/>
          <w:bCs/>
          <w:sz w:val="32"/>
          <w:szCs w:val="32"/>
        </w:rPr>
        <w:t>Results OFI</w:t>
      </w:r>
      <w:r>
        <w:rPr>
          <w:rFonts w:ascii="Calibri-Bold" w:hAnsi="Calibri-Bold" w:cs="Calibri-Bold"/>
          <w:b/>
          <w:bCs/>
          <w:sz w:val="32"/>
          <w:szCs w:val="32"/>
        </w:rPr>
        <w:t xml:space="preserve"> Comment</w:t>
      </w:r>
      <w:r w:rsidR="00DA3992" w:rsidRPr="003B1C88">
        <w:rPr>
          <w:rFonts w:ascii="Calibri-Bold" w:hAnsi="Calibri-Bold" w:cs="Calibri-Bold"/>
          <w:b/>
          <w:bCs/>
          <w:sz w:val="32"/>
          <w:szCs w:val="32"/>
        </w:rPr>
        <w:t>s</w:t>
      </w:r>
    </w:p>
    <w:p w:rsidR="00700BFB" w:rsidRPr="003B1C88" w:rsidRDefault="00700BFB" w:rsidP="00DA3992">
      <w:pPr>
        <w:autoSpaceDE w:val="0"/>
        <w:autoSpaceDN w:val="0"/>
        <w:adjustRightInd w:val="0"/>
        <w:spacing w:after="0" w:line="240" w:lineRule="auto"/>
        <w:rPr>
          <w:rFonts w:ascii="Calibri-Bold" w:hAnsi="Calibri-Bold" w:cs="Calibri-Bold"/>
          <w:b/>
          <w:bCs/>
          <w:sz w:val="32"/>
          <w:szCs w:val="32"/>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7.1</w:t>
      </w:r>
    </w:p>
    <w:tbl>
      <w:tblPr>
        <w:tblStyle w:val="TableGrid"/>
        <w:tblW w:w="0" w:type="auto"/>
        <w:tblLook w:val="0600" w:firstRow="0" w:lastRow="0" w:firstColumn="0" w:lastColumn="0" w:noHBand="1" w:noVBand="1"/>
      </w:tblPr>
      <w:tblGrid>
        <w:gridCol w:w="8658"/>
        <w:gridCol w:w="918"/>
      </w:tblGrid>
      <w:tr w:rsidR="00B01DC6" w:rsidRPr="003B1C88" w:rsidTr="007601B9">
        <w:trPr>
          <w:trHeight w:val="1305"/>
        </w:trPr>
        <w:tc>
          <w:tcPr>
            <w:tcW w:w="8658" w:type="dxa"/>
          </w:tcPr>
          <w:p w:rsidR="00B01DC6" w:rsidRPr="003B1C88" w:rsidRDefault="007601B9" w:rsidP="007601B9">
            <w:pPr>
              <w:autoSpaceDE w:val="0"/>
              <w:autoSpaceDN w:val="0"/>
              <w:adjustRightInd w:val="0"/>
              <w:rPr>
                <w:rFonts w:cs="Times New Roman"/>
              </w:rPr>
            </w:pPr>
            <w:r>
              <w:rPr>
                <w:rFonts w:cs="Times New Roman"/>
              </w:rPr>
              <w:t>The applicant’s c</w:t>
            </w:r>
            <w:r w:rsidR="00317657" w:rsidRPr="003B1C88">
              <w:rPr>
                <w:rFonts w:cs="Times New Roman"/>
              </w:rPr>
              <w:t>ustomer-focused p</w:t>
            </w:r>
            <w:r w:rsidR="00700BFB" w:rsidRPr="003B1C88">
              <w:rPr>
                <w:rFonts w:cs="Times New Roman"/>
              </w:rPr>
              <w:t xml:space="preserve">roduct and process </w:t>
            </w:r>
            <w:r w:rsidR="00317657" w:rsidRPr="003B1C88">
              <w:rPr>
                <w:rFonts w:cs="Times New Roman"/>
              </w:rPr>
              <w:t>results</w:t>
            </w:r>
            <w:r w:rsidR="00700BFB" w:rsidRPr="003B1C88">
              <w:rPr>
                <w:rFonts w:cs="Times New Roman"/>
              </w:rPr>
              <w:t xml:space="preserve"> include limited segmented data by, for example,</w:t>
            </w:r>
            <w:r w:rsidR="00317657" w:rsidRPr="003B1C88">
              <w:rPr>
                <w:rFonts w:cs="Times New Roman"/>
              </w:rPr>
              <w:t xml:space="preserve"> </w:t>
            </w:r>
            <w:r>
              <w:rPr>
                <w:rFonts w:cs="Times New Roman"/>
              </w:rPr>
              <w:t>customer group</w:t>
            </w:r>
            <w:r w:rsidR="00700BFB" w:rsidRPr="003B1C88">
              <w:rPr>
                <w:rFonts w:cs="Times New Roman"/>
              </w:rPr>
              <w:t xml:space="preserve"> (Figure 7.1-</w:t>
            </w:r>
            <w:r>
              <w:rPr>
                <w:rFonts w:cs="Times New Roman"/>
              </w:rPr>
              <w:t>2</w:t>
            </w:r>
            <w:r w:rsidR="00700BFB" w:rsidRPr="003B1C88">
              <w:rPr>
                <w:rFonts w:cs="Times New Roman"/>
              </w:rPr>
              <w:t xml:space="preserve">) and </w:t>
            </w:r>
            <w:r>
              <w:rPr>
                <w:rFonts w:cs="Times New Roman"/>
              </w:rPr>
              <w:t>market segment</w:t>
            </w:r>
            <w:r w:rsidR="00700BFB" w:rsidRPr="003B1C88">
              <w:rPr>
                <w:rFonts w:cs="Times New Roman"/>
              </w:rPr>
              <w:t xml:space="preserve"> (Figure 7.1-</w:t>
            </w:r>
            <w:r>
              <w:rPr>
                <w:rFonts w:cs="Times New Roman"/>
              </w:rPr>
              <w:t>9</w:t>
            </w:r>
            <w:r w:rsidR="00700BFB" w:rsidRPr="003B1C88">
              <w:rPr>
                <w:rFonts w:cs="Times New Roman"/>
              </w:rPr>
              <w:t>). Additional</w:t>
            </w:r>
            <w:r w:rsidR="00317657" w:rsidRPr="003B1C88">
              <w:rPr>
                <w:rFonts w:cs="Times New Roman"/>
              </w:rPr>
              <w:t xml:space="preserve"> </w:t>
            </w:r>
            <w:r w:rsidR="00700BFB" w:rsidRPr="003B1C88">
              <w:rPr>
                <w:rFonts w:cs="Times New Roman"/>
              </w:rPr>
              <w:t xml:space="preserve">segmentation may enhance the </w:t>
            </w:r>
            <w:r>
              <w:rPr>
                <w:rFonts w:cs="Times New Roman"/>
              </w:rPr>
              <w:t>organization</w:t>
            </w:r>
            <w:r w:rsidR="00700BFB" w:rsidRPr="003B1C88">
              <w:rPr>
                <w:rFonts w:cs="Times New Roman"/>
              </w:rPr>
              <w:t>'s ability to apply root cause analysis—a key</w:t>
            </w:r>
            <w:r w:rsidR="00317657" w:rsidRPr="003B1C88">
              <w:rPr>
                <w:rFonts w:cs="Times New Roman"/>
              </w:rPr>
              <w:t xml:space="preserve"> </w:t>
            </w:r>
            <w:r w:rsidR="00700BFB" w:rsidRPr="003B1C88">
              <w:rPr>
                <w:rFonts w:cs="Times New Roman"/>
              </w:rPr>
              <w:t>tool used by Trust Teams to identify opportunities for breakthrough improvements.</w:t>
            </w:r>
          </w:p>
        </w:tc>
        <w:tc>
          <w:tcPr>
            <w:tcW w:w="918" w:type="dxa"/>
          </w:tcPr>
          <w:p w:rsidR="00B01DC6" w:rsidRPr="003B1C88" w:rsidRDefault="00B01DC6" w:rsidP="007601B9">
            <w:pPr>
              <w:autoSpaceDE w:val="0"/>
              <w:autoSpaceDN w:val="0"/>
              <w:adjustRightInd w:val="0"/>
              <w:jc w:val="center"/>
              <w:rPr>
                <w:rFonts w:cs="Times New Roman"/>
              </w:rPr>
            </w:pPr>
          </w:p>
          <w:p w:rsidR="00B01DC6" w:rsidRPr="003B1C88" w:rsidRDefault="00B01DC6" w:rsidP="007601B9">
            <w:pPr>
              <w:autoSpaceDE w:val="0"/>
              <w:autoSpaceDN w:val="0"/>
              <w:adjustRightInd w:val="0"/>
              <w:jc w:val="center"/>
              <w:rPr>
                <w:rFonts w:cs="Times New Roman"/>
              </w:rPr>
            </w:pPr>
          </w:p>
          <w:p w:rsidR="00B01DC6" w:rsidRPr="003B1C88" w:rsidRDefault="00700BFB" w:rsidP="007601B9">
            <w:pPr>
              <w:autoSpaceDE w:val="0"/>
              <w:autoSpaceDN w:val="0"/>
              <w:adjustRightInd w:val="0"/>
              <w:jc w:val="center"/>
              <w:rPr>
                <w:rFonts w:cs="Times New Roman"/>
              </w:rPr>
            </w:pPr>
            <w:r w:rsidRPr="003B1C88">
              <w:rPr>
                <w:rFonts w:cs="Times New Roman"/>
              </w:rPr>
              <w:t>a</w:t>
            </w:r>
          </w:p>
          <w:p w:rsidR="00B01DC6" w:rsidRPr="003B1C88" w:rsidRDefault="00B01DC6" w:rsidP="007601B9">
            <w:pPr>
              <w:autoSpaceDE w:val="0"/>
              <w:autoSpaceDN w:val="0"/>
              <w:adjustRightInd w:val="0"/>
              <w:jc w:val="center"/>
              <w:rPr>
                <w:rFonts w:cs="Times New Roman"/>
              </w:rPr>
            </w:pPr>
          </w:p>
        </w:tc>
      </w:tr>
    </w:tbl>
    <w:p w:rsidR="00700BFB" w:rsidRPr="003B1C88" w:rsidRDefault="00700BFB"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7.2</w:t>
      </w:r>
    </w:p>
    <w:tbl>
      <w:tblPr>
        <w:tblStyle w:val="TableGrid"/>
        <w:tblW w:w="0" w:type="auto"/>
        <w:tblLook w:val="0600" w:firstRow="0" w:lastRow="0" w:firstColumn="0" w:lastColumn="0" w:noHBand="1" w:noVBand="1"/>
      </w:tblPr>
      <w:tblGrid>
        <w:gridCol w:w="8658"/>
        <w:gridCol w:w="918"/>
      </w:tblGrid>
      <w:tr w:rsidR="00B01DC6" w:rsidRPr="003B1C88" w:rsidTr="007601B9">
        <w:trPr>
          <w:trHeight w:val="1305"/>
        </w:trPr>
        <w:tc>
          <w:tcPr>
            <w:tcW w:w="8658" w:type="dxa"/>
          </w:tcPr>
          <w:p w:rsidR="00700BFB" w:rsidRPr="003B1C88" w:rsidRDefault="00700BFB" w:rsidP="00700BFB">
            <w:pPr>
              <w:autoSpaceDE w:val="0"/>
              <w:autoSpaceDN w:val="0"/>
              <w:adjustRightInd w:val="0"/>
              <w:rPr>
                <w:rFonts w:cs="Times New Roman"/>
              </w:rPr>
            </w:pPr>
            <w:r w:rsidRPr="003B1C88">
              <w:rPr>
                <w:rFonts w:cs="Times New Roman"/>
              </w:rPr>
              <w:t>The applicant’s results do not yet reflect the impact of its response to customer</w:t>
            </w:r>
          </w:p>
          <w:p w:rsidR="00700BFB" w:rsidRPr="003B1C88" w:rsidRDefault="00700BFB" w:rsidP="00700BFB">
            <w:pPr>
              <w:autoSpaceDE w:val="0"/>
              <w:autoSpaceDN w:val="0"/>
              <w:adjustRightInd w:val="0"/>
              <w:rPr>
                <w:rFonts w:cs="Times New Roman"/>
              </w:rPr>
            </w:pPr>
            <w:proofErr w:type="gramStart"/>
            <w:r w:rsidRPr="003B1C88">
              <w:rPr>
                <w:rFonts w:cs="Times New Roman"/>
              </w:rPr>
              <w:t>satisfaction</w:t>
            </w:r>
            <w:proofErr w:type="gramEnd"/>
            <w:r w:rsidRPr="003B1C88">
              <w:rPr>
                <w:rFonts w:cs="Times New Roman"/>
              </w:rPr>
              <w:t xml:space="preserve"> declines after the </w:t>
            </w:r>
            <w:r w:rsidR="007601B9">
              <w:rPr>
                <w:rFonts w:cs="Times New Roman"/>
              </w:rPr>
              <w:t>major</w:t>
            </w:r>
            <w:r w:rsidRPr="003B1C88">
              <w:rPr>
                <w:rFonts w:cs="Times New Roman"/>
              </w:rPr>
              <w:t xml:space="preserve"> acquisition. Overall satisfaction levels and</w:t>
            </w:r>
          </w:p>
          <w:p w:rsidR="00700BFB" w:rsidRPr="003B1C88" w:rsidRDefault="00700BFB" w:rsidP="00700BFB">
            <w:pPr>
              <w:autoSpaceDE w:val="0"/>
              <w:autoSpaceDN w:val="0"/>
              <w:adjustRightInd w:val="0"/>
              <w:rPr>
                <w:rFonts w:cs="Times New Roman"/>
              </w:rPr>
            </w:pPr>
            <w:r w:rsidRPr="003B1C88">
              <w:rPr>
                <w:rFonts w:cs="Times New Roman"/>
              </w:rPr>
              <w:t>satisfaction with CSR knowledge in all markets declined in the second half of 201</w:t>
            </w:r>
            <w:r w:rsidR="007601B9">
              <w:rPr>
                <w:rFonts w:cs="Times New Roman"/>
              </w:rPr>
              <w:t>4</w:t>
            </w:r>
          </w:p>
          <w:p w:rsidR="00700BFB" w:rsidRPr="003B1C88" w:rsidRDefault="00700BFB" w:rsidP="00700BFB">
            <w:pPr>
              <w:autoSpaceDE w:val="0"/>
              <w:autoSpaceDN w:val="0"/>
              <w:adjustRightInd w:val="0"/>
              <w:rPr>
                <w:rFonts w:cs="Times New Roman"/>
              </w:rPr>
            </w:pPr>
            <w:r w:rsidRPr="003B1C88">
              <w:rPr>
                <w:rFonts w:cs="Times New Roman"/>
              </w:rPr>
              <w:t>(Figures 7.2-1 through 7.2-4, 7.2-6). Satisfaction with problem resolution was low for</w:t>
            </w:r>
          </w:p>
          <w:p w:rsidR="00700BFB" w:rsidRPr="003B1C88" w:rsidRDefault="00700BFB" w:rsidP="00700BFB">
            <w:pPr>
              <w:autoSpaceDE w:val="0"/>
              <w:autoSpaceDN w:val="0"/>
              <w:adjustRightInd w:val="0"/>
              <w:rPr>
                <w:rFonts w:cs="Times New Roman"/>
              </w:rPr>
            </w:pPr>
            <w:r w:rsidRPr="003B1C88">
              <w:rPr>
                <w:rFonts w:cs="Times New Roman"/>
              </w:rPr>
              <w:t>mortgage customers (Figure 7.2-8), and mortgages received more complaints than</w:t>
            </w:r>
          </w:p>
          <w:p w:rsidR="00B01DC6" w:rsidRPr="003B1C88" w:rsidRDefault="00700BFB" w:rsidP="00700BFB">
            <w:pPr>
              <w:autoSpaceDE w:val="0"/>
              <w:autoSpaceDN w:val="0"/>
              <w:adjustRightInd w:val="0"/>
              <w:rPr>
                <w:rFonts w:cs="Times New Roman"/>
              </w:rPr>
            </w:pPr>
            <w:r w:rsidRPr="003B1C88">
              <w:rPr>
                <w:rFonts w:cs="Times New Roman"/>
              </w:rPr>
              <w:t>other products (Figure 7.2-10).</w:t>
            </w:r>
          </w:p>
        </w:tc>
        <w:tc>
          <w:tcPr>
            <w:tcW w:w="918" w:type="dxa"/>
          </w:tcPr>
          <w:p w:rsidR="00B01DC6" w:rsidRPr="003B1C88" w:rsidRDefault="00B01DC6" w:rsidP="007601B9">
            <w:pPr>
              <w:autoSpaceDE w:val="0"/>
              <w:autoSpaceDN w:val="0"/>
              <w:adjustRightInd w:val="0"/>
              <w:jc w:val="center"/>
              <w:rPr>
                <w:rFonts w:cs="Times New Roman"/>
              </w:rPr>
            </w:pPr>
          </w:p>
          <w:p w:rsidR="00B01DC6" w:rsidRPr="003B1C88" w:rsidRDefault="00B01DC6" w:rsidP="007601B9">
            <w:pPr>
              <w:autoSpaceDE w:val="0"/>
              <w:autoSpaceDN w:val="0"/>
              <w:adjustRightInd w:val="0"/>
              <w:jc w:val="center"/>
              <w:rPr>
                <w:rFonts w:cs="Times New Roman"/>
              </w:rPr>
            </w:pPr>
          </w:p>
          <w:p w:rsidR="00B01DC6" w:rsidRPr="003B1C88" w:rsidRDefault="00700BFB" w:rsidP="007601B9">
            <w:pPr>
              <w:autoSpaceDE w:val="0"/>
              <w:autoSpaceDN w:val="0"/>
              <w:adjustRightInd w:val="0"/>
              <w:jc w:val="center"/>
              <w:rPr>
                <w:rFonts w:cs="Times New Roman"/>
              </w:rPr>
            </w:pPr>
            <w:r w:rsidRPr="003B1C88">
              <w:rPr>
                <w:rFonts w:cs="Times New Roman"/>
              </w:rPr>
              <w:t>a</w:t>
            </w:r>
            <w:r w:rsidR="00B01DC6" w:rsidRPr="003B1C88">
              <w:rPr>
                <w:rFonts w:cs="Times New Roman"/>
              </w:rPr>
              <w:t>(1)</w:t>
            </w:r>
          </w:p>
          <w:p w:rsidR="00B01DC6" w:rsidRPr="003B1C88" w:rsidRDefault="00B01DC6" w:rsidP="007601B9">
            <w:pPr>
              <w:autoSpaceDE w:val="0"/>
              <w:autoSpaceDN w:val="0"/>
              <w:adjustRightInd w:val="0"/>
              <w:jc w:val="center"/>
              <w:rPr>
                <w:rFonts w:cs="Times New Roman"/>
              </w:rPr>
            </w:pPr>
          </w:p>
        </w:tc>
      </w:tr>
    </w:tbl>
    <w:p w:rsidR="00700BFB" w:rsidRPr="003B1C88" w:rsidRDefault="00700BFB"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7.3</w:t>
      </w:r>
    </w:p>
    <w:tbl>
      <w:tblPr>
        <w:tblStyle w:val="TableGrid"/>
        <w:tblW w:w="0" w:type="auto"/>
        <w:tblLook w:val="0600" w:firstRow="0" w:lastRow="0" w:firstColumn="0" w:lastColumn="0" w:noHBand="1" w:noVBand="1"/>
      </w:tblPr>
      <w:tblGrid>
        <w:gridCol w:w="8658"/>
        <w:gridCol w:w="918"/>
      </w:tblGrid>
      <w:tr w:rsidR="00B01DC6" w:rsidRPr="003B1C88" w:rsidTr="007601B9">
        <w:trPr>
          <w:trHeight w:val="1305"/>
        </w:trPr>
        <w:tc>
          <w:tcPr>
            <w:tcW w:w="8658" w:type="dxa"/>
          </w:tcPr>
          <w:p w:rsidR="00B01DC6" w:rsidRPr="003B1C88" w:rsidRDefault="00D02983" w:rsidP="00D02983">
            <w:pPr>
              <w:autoSpaceDE w:val="0"/>
              <w:autoSpaceDN w:val="0"/>
              <w:adjustRightInd w:val="0"/>
              <w:rPr>
                <w:rFonts w:cs="Times New Roman"/>
              </w:rPr>
            </w:pPr>
            <w:r>
              <w:rPr>
                <w:rFonts w:ascii="Calibri" w:hAnsi="Calibri" w:cs="Calibri"/>
                <w:sz w:val="24"/>
                <w:szCs w:val="24"/>
              </w:rPr>
              <w:t>The organization provides limited results related to the Career Path Management Process (Figure 5.2‐1) and the emerging leader system, and the percentage of employees demonstrating leadership remained basically flat from 2009 to 2013 (Figure 7.3‐9). Monitoring additional leadership development results may help the organization meet its recognized need to expand the emerging leader system in order to prepare employees for rotating team leader roles and sustain the company.</w:t>
            </w:r>
          </w:p>
        </w:tc>
        <w:tc>
          <w:tcPr>
            <w:tcW w:w="918" w:type="dxa"/>
          </w:tcPr>
          <w:p w:rsidR="00B01DC6" w:rsidRPr="003B1C88" w:rsidRDefault="00B01DC6" w:rsidP="007601B9">
            <w:pPr>
              <w:autoSpaceDE w:val="0"/>
              <w:autoSpaceDN w:val="0"/>
              <w:adjustRightInd w:val="0"/>
              <w:jc w:val="center"/>
              <w:rPr>
                <w:rFonts w:cs="Times New Roman"/>
              </w:rPr>
            </w:pPr>
          </w:p>
          <w:p w:rsidR="00B01DC6" w:rsidRPr="003B1C88" w:rsidRDefault="00B01DC6" w:rsidP="007601B9">
            <w:pPr>
              <w:autoSpaceDE w:val="0"/>
              <w:autoSpaceDN w:val="0"/>
              <w:adjustRightInd w:val="0"/>
              <w:jc w:val="center"/>
              <w:rPr>
                <w:rFonts w:cs="Times New Roman"/>
              </w:rPr>
            </w:pPr>
          </w:p>
          <w:p w:rsidR="00B01DC6" w:rsidRPr="003B1C88" w:rsidRDefault="00700BFB" w:rsidP="007601B9">
            <w:pPr>
              <w:autoSpaceDE w:val="0"/>
              <w:autoSpaceDN w:val="0"/>
              <w:adjustRightInd w:val="0"/>
              <w:jc w:val="center"/>
              <w:rPr>
                <w:rFonts w:cs="Times New Roman"/>
              </w:rPr>
            </w:pPr>
            <w:r w:rsidRPr="003B1C88">
              <w:rPr>
                <w:rFonts w:cs="Times New Roman"/>
              </w:rPr>
              <w:t>a</w:t>
            </w:r>
            <w:r w:rsidR="00B01DC6" w:rsidRPr="003B1C88">
              <w:rPr>
                <w:rFonts w:cs="Times New Roman"/>
              </w:rPr>
              <w:t>(</w:t>
            </w:r>
            <w:r w:rsidR="00D02983">
              <w:rPr>
                <w:rFonts w:cs="Times New Roman"/>
              </w:rPr>
              <w:t>4</w:t>
            </w:r>
            <w:r w:rsidR="00B01DC6" w:rsidRPr="003B1C88">
              <w:rPr>
                <w:rFonts w:cs="Times New Roman"/>
              </w:rPr>
              <w:t>)</w:t>
            </w:r>
          </w:p>
          <w:p w:rsidR="00B01DC6" w:rsidRPr="003B1C88" w:rsidRDefault="00B01DC6" w:rsidP="007601B9">
            <w:pPr>
              <w:autoSpaceDE w:val="0"/>
              <w:autoSpaceDN w:val="0"/>
              <w:adjustRightInd w:val="0"/>
              <w:jc w:val="center"/>
              <w:rPr>
                <w:rFonts w:cs="Times New Roman"/>
              </w:rPr>
            </w:pPr>
          </w:p>
        </w:tc>
      </w:tr>
    </w:tbl>
    <w:p w:rsidR="00700BFB" w:rsidRPr="003B1C88" w:rsidRDefault="00700BFB"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7.4</w:t>
      </w:r>
    </w:p>
    <w:tbl>
      <w:tblPr>
        <w:tblStyle w:val="TableGrid"/>
        <w:tblW w:w="0" w:type="auto"/>
        <w:tblLook w:val="0600" w:firstRow="0" w:lastRow="0" w:firstColumn="0" w:lastColumn="0" w:noHBand="1" w:noVBand="1"/>
      </w:tblPr>
      <w:tblGrid>
        <w:gridCol w:w="8658"/>
        <w:gridCol w:w="918"/>
      </w:tblGrid>
      <w:tr w:rsidR="00B01DC6" w:rsidRPr="003B1C88" w:rsidTr="007601B9">
        <w:trPr>
          <w:trHeight w:val="1305"/>
        </w:trPr>
        <w:tc>
          <w:tcPr>
            <w:tcW w:w="8658" w:type="dxa"/>
          </w:tcPr>
          <w:p w:rsidR="00B01DC6" w:rsidRPr="003B1C88" w:rsidRDefault="00700BFB" w:rsidP="00700BFB">
            <w:pPr>
              <w:autoSpaceDE w:val="0"/>
              <w:autoSpaceDN w:val="0"/>
              <w:adjustRightInd w:val="0"/>
              <w:rPr>
                <w:rFonts w:cs="Times New Roman"/>
              </w:rPr>
            </w:pPr>
            <w:r w:rsidRPr="003B1C88">
              <w:rPr>
                <w:rFonts w:cs="Times New Roman"/>
              </w:rPr>
              <w:t>Limited results are provided for several senior leaders’ communication and engagement with the workforce. Results for encouragement of two-way communication (Figure 7.4-2) include only attendance measures, and no results are provided for PMDP deployment, Trust Team involvement, rounding, job shadowing, or associates receiving health benefits for community service.</w:t>
            </w:r>
          </w:p>
        </w:tc>
        <w:tc>
          <w:tcPr>
            <w:tcW w:w="918" w:type="dxa"/>
          </w:tcPr>
          <w:p w:rsidR="00B01DC6" w:rsidRPr="003B1C88" w:rsidRDefault="00B01DC6" w:rsidP="007601B9">
            <w:pPr>
              <w:autoSpaceDE w:val="0"/>
              <w:autoSpaceDN w:val="0"/>
              <w:adjustRightInd w:val="0"/>
              <w:jc w:val="center"/>
              <w:rPr>
                <w:rFonts w:cs="Times New Roman"/>
              </w:rPr>
            </w:pPr>
          </w:p>
          <w:p w:rsidR="00B01DC6" w:rsidRPr="003B1C88" w:rsidRDefault="00B01DC6" w:rsidP="007601B9">
            <w:pPr>
              <w:autoSpaceDE w:val="0"/>
              <w:autoSpaceDN w:val="0"/>
              <w:adjustRightInd w:val="0"/>
              <w:jc w:val="center"/>
              <w:rPr>
                <w:rFonts w:cs="Times New Roman"/>
              </w:rPr>
            </w:pPr>
          </w:p>
          <w:p w:rsidR="00B01DC6" w:rsidRPr="003B1C88" w:rsidRDefault="00700BFB" w:rsidP="007601B9">
            <w:pPr>
              <w:autoSpaceDE w:val="0"/>
              <w:autoSpaceDN w:val="0"/>
              <w:adjustRightInd w:val="0"/>
              <w:jc w:val="center"/>
              <w:rPr>
                <w:rFonts w:cs="Times New Roman"/>
              </w:rPr>
            </w:pPr>
            <w:r w:rsidRPr="003B1C88">
              <w:rPr>
                <w:rFonts w:cs="Times New Roman"/>
              </w:rPr>
              <w:t>a</w:t>
            </w:r>
            <w:r w:rsidR="00B01DC6" w:rsidRPr="003B1C88">
              <w:rPr>
                <w:rFonts w:cs="Times New Roman"/>
              </w:rPr>
              <w:t>(1)</w:t>
            </w:r>
          </w:p>
          <w:p w:rsidR="00B01DC6" w:rsidRPr="003B1C88" w:rsidRDefault="00B01DC6" w:rsidP="007601B9">
            <w:pPr>
              <w:autoSpaceDE w:val="0"/>
              <w:autoSpaceDN w:val="0"/>
              <w:adjustRightInd w:val="0"/>
              <w:jc w:val="center"/>
              <w:rPr>
                <w:rFonts w:cs="Times New Roman"/>
              </w:rPr>
            </w:pPr>
          </w:p>
        </w:tc>
      </w:tr>
    </w:tbl>
    <w:p w:rsidR="00700BFB" w:rsidRPr="003B1C88" w:rsidRDefault="00700BFB" w:rsidP="00DA3992">
      <w:pPr>
        <w:autoSpaceDE w:val="0"/>
        <w:autoSpaceDN w:val="0"/>
        <w:adjustRightInd w:val="0"/>
        <w:spacing w:after="0" w:line="240" w:lineRule="auto"/>
        <w:rPr>
          <w:rFonts w:cs="Times New Roman"/>
        </w:rPr>
      </w:pPr>
    </w:p>
    <w:p w:rsidR="00DA3992" w:rsidRPr="003B1C88" w:rsidRDefault="00DA3992" w:rsidP="00DA3992">
      <w:pPr>
        <w:autoSpaceDE w:val="0"/>
        <w:autoSpaceDN w:val="0"/>
        <w:adjustRightInd w:val="0"/>
        <w:spacing w:after="0" w:line="240" w:lineRule="auto"/>
        <w:rPr>
          <w:rFonts w:cs="Times New Roman"/>
        </w:rPr>
      </w:pPr>
      <w:r w:rsidRPr="003B1C88">
        <w:rPr>
          <w:rFonts w:cs="Times New Roman"/>
        </w:rPr>
        <w:t>7.5</w:t>
      </w:r>
    </w:p>
    <w:tbl>
      <w:tblPr>
        <w:tblStyle w:val="TableGrid"/>
        <w:tblW w:w="0" w:type="auto"/>
        <w:tblLook w:val="0600" w:firstRow="0" w:lastRow="0" w:firstColumn="0" w:lastColumn="0" w:noHBand="1" w:noVBand="1"/>
      </w:tblPr>
      <w:tblGrid>
        <w:gridCol w:w="8658"/>
        <w:gridCol w:w="918"/>
      </w:tblGrid>
      <w:tr w:rsidR="00B01DC6" w:rsidRPr="003B1C88" w:rsidTr="007601B9">
        <w:trPr>
          <w:trHeight w:val="1305"/>
        </w:trPr>
        <w:tc>
          <w:tcPr>
            <w:tcW w:w="8658" w:type="dxa"/>
          </w:tcPr>
          <w:p w:rsidR="00B01DC6" w:rsidRPr="003B1C88" w:rsidRDefault="00700BFB" w:rsidP="007E427E">
            <w:pPr>
              <w:autoSpaceDE w:val="0"/>
              <w:autoSpaceDN w:val="0"/>
              <w:adjustRightInd w:val="0"/>
              <w:rPr>
                <w:rFonts w:cs="Times New Roman"/>
              </w:rPr>
            </w:pPr>
            <w:r w:rsidRPr="003B1C88">
              <w:rPr>
                <w:rFonts w:cs="Times New Roman"/>
              </w:rPr>
              <w:t>Most market</w:t>
            </w:r>
            <w:r w:rsidR="007E427E">
              <w:rPr>
                <w:rFonts w:cs="Times New Roman"/>
              </w:rPr>
              <w:t>place performance</w:t>
            </w:r>
            <w:r w:rsidRPr="003B1C88">
              <w:rPr>
                <w:rFonts w:cs="Times New Roman"/>
              </w:rPr>
              <w:t xml:space="preserve"> </w:t>
            </w:r>
            <w:r w:rsidR="00317657" w:rsidRPr="003B1C88">
              <w:rPr>
                <w:rFonts w:cs="Times New Roman"/>
              </w:rPr>
              <w:t>results</w:t>
            </w:r>
            <w:r w:rsidRPr="003B1C88">
              <w:rPr>
                <w:rFonts w:cs="Times New Roman"/>
              </w:rPr>
              <w:t xml:space="preserve"> are not segmented. For example, </w:t>
            </w:r>
            <w:r w:rsidR="007E427E">
              <w:rPr>
                <w:rFonts w:cs="Times New Roman"/>
              </w:rPr>
              <w:t>results do not differ by customer groups</w:t>
            </w:r>
            <w:r w:rsidRPr="003B1C88">
              <w:rPr>
                <w:rFonts w:cs="Times New Roman"/>
              </w:rPr>
              <w:t xml:space="preserve"> defined by the</w:t>
            </w:r>
            <w:r w:rsidR="007E427E">
              <w:rPr>
                <w:rFonts w:cs="Times New Roman"/>
              </w:rPr>
              <w:t xml:space="preserve"> </w:t>
            </w:r>
            <w:r w:rsidRPr="003B1C88">
              <w:rPr>
                <w:rFonts w:cs="Times New Roman"/>
              </w:rPr>
              <w:t>Customer Life Cycle Matrix (Figure 3.2-4) or Customer Engagement Cycle (Figure 3.2-5). Segmented data ma</w:t>
            </w:r>
            <w:r w:rsidR="00317657" w:rsidRPr="003B1C88">
              <w:rPr>
                <w:rFonts w:cs="Times New Roman"/>
              </w:rPr>
              <w:t>y</w:t>
            </w:r>
            <w:r w:rsidRPr="003B1C88">
              <w:rPr>
                <w:rFonts w:cs="Times New Roman"/>
              </w:rPr>
              <w:t xml:space="preserve"> help the applicant identify and focus needed improvements</w:t>
            </w:r>
            <w:r w:rsidR="007E427E">
              <w:rPr>
                <w:rFonts w:cs="Times New Roman"/>
              </w:rPr>
              <w:t xml:space="preserve"> </w:t>
            </w:r>
            <w:r w:rsidRPr="003B1C88">
              <w:rPr>
                <w:rFonts w:cs="Times New Roman"/>
              </w:rPr>
              <w:t>within its broad marketplace and diverse customer groups.</w:t>
            </w:r>
          </w:p>
        </w:tc>
        <w:tc>
          <w:tcPr>
            <w:tcW w:w="918" w:type="dxa"/>
          </w:tcPr>
          <w:p w:rsidR="00B01DC6" w:rsidRPr="003B1C88" w:rsidRDefault="00B01DC6" w:rsidP="007601B9">
            <w:pPr>
              <w:autoSpaceDE w:val="0"/>
              <w:autoSpaceDN w:val="0"/>
              <w:adjustRightInd w:val="0"/>
              <w:jc w:val="center"/>
              <w:rPr>
                <w:rFonts w:cs="Times New Roman"/>
              </w:rPr>
            </w:pPr>
          </w:p>
          <w:p w:rsidR="00B01DC6" w:rsidRPr="003B1C88" w:rsidRDefault="00B01DC6" w:rsidP="007601B9">
            <w:pPr>
              <w:autoSpaceDE w:val="0"/>
              <w:autoSpaceDN w:val="0"/>
              <w:adjustRightInd w:val="0"/>
              <w:jc w:val="center"/>
              <w:rPr>
                <w:rFonts w:cs="Times New Roman"/>
              </w:rPr>
            </w:pPr>
          </w:p>
          <w:p w:rsidR="00B01DC6" w:rsidRPr="003B1C88" w:rsidRDefault="00700BFB" w:rsidP="007601B9">
            <w:pPr>
              <w:autoSpaceDE w:val="0"/>
              <w:autoSpaceDN w:val="0"/>
              <w:adjustRightInd w:val="0"/>
              <w:jc w:val="center"/>
              <w:rPr>
                <w:rFonts w:cs="Times New Roman"/>
              </w:rPr>
            </w:pPr>
            <w:r w:rsidRPr="003B1C88">
              <w:rPr>
                <w:rFonts w:cs="Times New Roman"/>
              </w:rPr>
              <w:t>a</w:t>
            </w:r>
            <w:r w:rsidR="00B01DC6" w:rsidRPr="003B1C88">
              <w:rPr>
                <w:rFonts w:cs="Times New Roman"/>
              </w:rPr>
              <w:t>(</w:t>
            </w:r>
            <w:r w:rsidRPr="003B1C88">
              <w:rPr>
                <w:rFonts w:cs="Times New Roman"/>
              </w:rPr>
              <w:t>2</w:t>
            </w:r>
            <w:r w:rsidR="00B01DC6" w:rsidRPr="003B1C88">
              <w:rPr>
                <w:rFonts w:cs="Times New Roman"/>
              </w:rPr>
              <w:t>)</w:t>
            </w:r>
          </w:p>
          <w:p w:rsidR="00B01DC6" w:rsidRPr="003B1C88" w:rsidRDefault="00B01DC6" w:rsidP="007601B9">
            <w:pPr>
              <w:autoSpaceDE w:val="0"/>
              <w:autoSpaceDN w:val="0"/>
              <w:adjustRightInd w:val="0"/>
              <w:jc w:val="center"/>
              <w:rPr>
                <w:rFonts w:cs="Times New Roman"/>
              </w:rPr>
            </w:pPr>
          </w:p>
        </w:tc>
      </w:tr>
    </w:tbl>
    <w:p w:rsidR="005D3075" w:rsidRPr="003B1C88" w:rsidRDefault="005D3075" w:rsidP="00700BFB">
      <w:pPr>
        <w:rPr>
          <w:rFonts w:cs="Times New Roman"/>
        </w:rPr>
      </w:pPr>
    </w:p>
    <w:sectPr w:rsidR="005D3075" w:rsidRPr="003B1C88" w:rsidSect="005D30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93A" w:rsidRDefault="006D493A" w:rsidP="00CA3925">
      <w:pPr>
        <w:spacing w:after="0" w:line="240" w:lineRule="auto"/>
      </w:pPr>
      <w:r>
        <w:separator/>
      </w:r>
    </w:p>
  </w:endnote>
  <w:endnote w:type="continuationSeparator" w:id="0">
    <w:p w:rsidR="006D493A" w:rsidRDefault="006D493A" w:rsidP="00CA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B9" w:rsidRDefault="00760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B9" w:rsidRDefault="007601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B9" w:rsidRDefault="00760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93A" w:rsidRDefault="006D493A" w:rsidP="00CA3925">
      <w:pPr>
        <w:spacing w:after="0" w:line="240" w:lineRule="auto"/>
      </w:pPr>
      <w:r>
        <w:separator/>
      </w:r>
    </w:p>
  </w:footnote>
  <w:footnote w:type="continuationSeparator" w:id="0">
    <w:p w:rsidR="006D493A" w:rsidRDefault="006D493A" w:rsidP="00CA3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B9" w:rsidRDefault="007601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B9" w:rsidRDefault="007601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B9" w:rsidRDefault="007601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92"/>
    <w:rsid w:val="002E6797"/>
    <w:rsid w:val="002E765D"/>
    <w:rsid w:val="00317657"/>
    <w:rsid w:val="00394BEE"/>
    <w:rsid w:val="003B1C88"/>
    <w:rsid w:val="003D7ABD"/>
    <w:rsid w:val="00495444"/>
    <w:rsid w:val="004977A0"/>
    <w:rsid w:val="005D3075"/>
    <w:rsid w:val="005E360E"/>
    <w:rsid w:val="00604CA6"/>
    <w:rsid w:val="006D493A"/>
    <w:rsid w:val="00700BFB"/>
    <w:rsid w:val="007601B9"/>
    <w:rsid w:val="007E427E"/>
    <w:rsid w:val="007F1DE1"/>
    <w:rsid w:val="009C4C6A"/>
    <w:rsid w:val="009D3487"/>
    <w:rsid w:val="00B01DC6"/>
    <w:rsid w:val="00CA3925"/>
    <w:rsid w:val="00CB16E5"/>
    <w:rsid w:val="00D02983"/>
    <w:rsid w:val="00D343B1"/>
    <w:rsid w:val="00DA3992"/>
    <w:rsid w:val="00E55456"/>
    <w:rsid w:val="00E5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487"/>
    <w:rPr>
      <w:rFonts w:ascii="Tahoma" w:hAnsi="Tahoma" w:cs="Tahoma"/>
      <w:sz w:val="16"/>
      <w:szCs w:val="16"/>
    </w:rPr>
  </w:style>
  <w:style w:type="table" w:styleId="TableGrid">
    <w:name w:val="Table Grid"/>
    <w:basedOn w:val="TableNormal"/>
    <w:uiPriority w:val="59"/>
    <w:rsid w:val="009D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qFormat/>
    <w:rsid w:val="009D3487"/>
    <w:pPr>
      <w:spacing w:after="0" w:line="240" w:lineRule="auto"/>
    </w:pPr>
    <w:tblPr>
      <w:tblStyleColBandSize w:val="1"/>
    </w:tblPr>
  </w:style>
  <w:style w:type="paragraph" w:styleId="Header">
    <w:name w:val="header"/>
    <w:basedOn w:val="Normal"/>
    <w:link w:val="HeaderChar"/>
    <w:uiPriority w:val="99"/>
    <w:unhideWhenUsed/>
    <w:rsid w:val="00CA3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925"/>
  </w:style>
  <w:style w:type="paragraph" w:styleId="Footer">
    <w:name w:val="footer"/>
    <w:basedOn w:val="Normal"/>
    <w:link w:val="FooterChar"/>
    <w:uiPriority w:val="99"/>
    <w:unhideWhenUsed/>
    <w:rsid w:val="00CA3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487"/>
    <w:rPr>
      <w:rFonts w:ascii="Tahoma" w:hAnsi="Tahoma" w:cs="Tahoma"/>
      <w:sz w:val="16"/>
      <w:szCs w:val="16"/>
    </w:rPr>
  </w:style>
  <w:style w:type="table" w:styleId="TableGrid">
    <w:name w:val="Table Grid"/>
    <w:basedOn w:val="TableNormal"/>
    <w:uiPriority w:val="59"/>
    <w:rsid w:val="009D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qFormat/>
    <w:rsid w:val="009D3487"/>
    <w:pPr>
      <w:spacing w:after="0" w:line="240" w:lineRule="auto"/>
    </w:pPr>
    <w:tblPr>
      <w:tblStyleColBandSize w:val="1"/>
    </w:tblPr>
  </w:style>
  <w:style w:type="paragraph" w:styleId="Header">
    <w:name w:val="header"/>
    <w:basedOn w:val="Normal"/>
    <w:link w:val="HeaderChar"/>
    <w:uiPriority w:val="99"/>
    <w:unhideWhenUsed/>
    <w:rsid w:val="00CA3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925"/>
  </w:style>
  <w:style w:type="paragraph" w:styleId="Footer">
    <w:name w:val="footer"/>
    <w:basedOn w:val="Normal"/>
    <w:link w:val="FooterChar"/>
    <w:uiPriority w:val="99"/>
    <w:unhideWhenUsed/>
    <w:rsid w:val="00CA3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2015-03-25T19:36:00Z</dcterms:created>
  <dcterms:modified xsi:type="dcterms:W3CDTF">2015-03-25T19:36:00Z</dcterms:modified>
</cp:coreProperties>
</file>